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5C71" w14:paraId="71194279" w14:textId="77777777" w:rsidTr="0010095E">
        <w:trPr>
          <w:trHeight w:hRule="exact" w:val="1418"/>
        </w:trPr>
        <w:tc>
          <w:tcPr>
            <w:tcW w:w="6804" w:type="dxa"/>
            <w:shd w:val="clear" w:color="auto" w:fill="auto"/>
            <w:vAlign w:val="center"/>
          </w:tcPr>
          <w:p w14:paraId="67949A88" w14:textId="77777777" w:rsidR="00751A4A" w:rsidRPr="005A5C71" w:rsidRDefault="00771194" w:rsidP="0010095E">
            <w:pPr>
              <w:pStyle w:val="EPName"/>
            </w:pPr>
            <w:bookmarkStart w:id="0" w:name="_GoBack"/>
            <w:bookmarkEnd w:id="0"/>
            <w:r w:rsidRPr="005A5C71">
              <w:t>Europa-Parlamentet</w:t>
            </w:r>
          </w:p>
          <w:p w14:paraId="4AF945D2" w14:textId="77777777" w:rsidR="00751A4A" w:rsidRPr="005A5C71" w:rsidRDefault="005F1B17" w:rsidP="005F1B17">
            <w:pPr>
              <w:pStyle w:val="EPTerm"/>
              <w:rPr>
                <w:rStyle w:val="HideTWBExt"/>
                <w:noProof w:val="0"/>
                <w:vanish w:val="0"/>
                <w:color w:val="auto"/>
              </w:rPr>
            </w:pPr>
            <w:r w:rsidRPr="005A5C71">
              <w:t>2024</w:t>
            </w:r>
            <w:r w:rsidR="00817416" w:rsidRPr="005A5C71">
              <w:t>-202</w:t>
            </w:r>
            <w:r w:rsidRPr="005A5C71">
              <w:t>9</w:t>
            </w:r>
          </w:p>
        </w:tc>
        <w:tc>
          <w:tcPr>
            <w:tcW w:w="2268" w:type="dxa"/>
            <w:shd w:val="clear" w:color="auto" w:fill="auto"/>
          </w:tcPr>
          <w:p w14:paraId="57F87123" w14:textId="77777777" w:rsidR="00751A4A" w:rsidRPr="005A5C71" w:rsidRDefault="00187494" w:rsidP="0010095E">
            <w:pPr>
              <w:pStyle w:val="EPLogo"/>
            </w:pPr>
            <w:r w:rsidRPr="005A5C71">
              <w:rPr>
                <w:noProof/>
                <w:lang w:eastAsia="da-DK"/>
              </w:rPr>
              <w:drawing>
                <wp:inline distT="0" distB="0" distL="0" distR="0" wp14:anchorId="4C231DCC" wp14:editId="7A3B0A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181856" w14:textId="77777777" w:rsidR="00D058B8" w:rsidRPr="005A5C71" w:rsidRDefault="00D058B8" w:rsidP="004C5D52">
      <w:pPr>
        <w:pStyle w:val="LineTop"/>
      </w:pPr>
    </w:p>
    <w:p w14:paraId="446A8929" w14:textId="77777777" w:rsidR="00680577" w:rsidRPr="005A5C71" w:rsidRDefault="00771194" w:rsidP="00680577">
      <w:pPr>
        <w:pStyle w:val="EPBodyTA1"/>
      </w:pPr>
      <w:r w:rsidRPr="005A5C71">
        <w:t>VEDTAGNE TEKSTER</w:t>
      </w:r>
    </w:p>
    <w:p w14:paraId="461CD5B7" w14:textId="77777777" w:rsidR="00D058B8" w:rsidRPr="005A5C71" w:rsidRDefault="00D058B8" w:rsidP="00D058B8">
      <w:pPr>
        <w:pStyle w:val="LineBottom"/>
      </w:pPr>
    </w:p>
    <w:p w14:paraId="5B3FB5EE" w14:textId="1CB89892" w:rsidR="00771194" w:rsidRPr="005A5C71" w:rsidRDefault="00771194" w:rsidP="00771194">
      <w:pPr>
        <w:pStyle w:val="ATHeading1"/>
      </w:pPr>
      <w:bookmarkStart w:id="1" w:name="TANumber"/>
      <w:r w:rsidRPr="005A5C71">
        <w:t>P10_TA(2025)00</w:t>
      </w:r>
      <w:r w:rsidR="002165B0">
        <w:t>4</w:t>
      </w:r>
      <w:r w:rsidRPr="005A5C71">
        <w:t>0</w:t>
      </w:r>
      <w:bookmarkEnd w:id="1"/>
    </w:p>
    <w:p w14:paraId="36334D3E" w14:textId="77777777" w:rsidR="00771194" w:rsidRPr="005A5C71" w:rsidRDefault="00B6306D" w:rsidP="00771194">
      <w:pPr>
        <w:pStyle w:val="ATHeading2"/>
      </w:pPr>
      <w:bookmarkStart w:id="2" w:name="title"/>
      <w:r>
        <w:t>A</w:t>
      </w:r>
      <w:r w:rsidR="00771194" w:rsidRPr="005A5C71">
        <w:t>nmodning om ophævelse af Jana Nagyovás immunitet</w:t>
      </w:r>
      <w:bookmarkEnd w:id="2"/>
    </w:p>
    <w:p w14:paraId="69271EEF" w14:textId="77777777" w:rsidR="00771194" w:rsidRPr="005A5C71" w:rsidRDefault="00771194" w:rsidP="00771194">
      <w:pPr>
        <w:rPr>
          <w:i/>
          <w:vanish/>
        </w:rPr>
      </w:pPr>
      <w:r w:rsidRPr="005A5C71">
        <w:rPr>
          <w:i/>
        </w:rPr>
        <w:fldChar w:fldCharType="begin"/>
      </w:r>
      <w:r w:rsidRPr="005A5C71">
        <w:rPr>
          <w:i/>
        </w:rPr>
        <w:instrText xml:space="preserve"> TC"(</w:instrText>
      </w:r>
      <w:bookmarkStart w:id="3" w:name="DocNumber"/>
      <w:r w:rsidRPr="005A5C71">
        <w:rPr>
          <w:i/>
        </w:rPr>
        <w:instrText>A10-0029/2025</w:instrText>
      </w:r>
      <w:bookmarkEnd w:id="3"/>
      <w:r w:rsidRPr="005A5C71">
        <w:rPr>
          <w:i/>
        </w:rPr>
        <w:instrText xml:space="preserve"> - Ordfører: Krzysztof Śmiszek)"\l3 \n&gt; \* MERGEFORMAT </w:instrText>
      </w:r>
      <w:r w:rsidRPr="005A5C71">
        <w:rPr>
          <w:i/>
        </w:rPr>
        <w:fldChar w:fldCharType="end"/>
      </w:r>
    </w:p>
    <w:p w14:paraId="1CDAA7BE" w14:textId="77777777" w:rsidR="00771194" w:rsidRPr="005A5C71" w:rsidRDefault="00771194" w:rsidP="00771194">
      <w:pPr>
        <w:rPr>
          <w:vanish/>
        </w:rPr>
      </w:pPr>
      <w:bookmarkStart w:id="4" w:name="Commission"/>
      <w:r w:rsidRPr="005A5C71">
        <w:rPr>
          <w:vanish/>
        </w:rPr>
        <w:t>Retsudvalget</w:t>
      </w:r>
      <w:bookmarkEnd w:id="4"/>
    </w:p>
    <w:p w14:paraId="0B61F39A" w14:textId="77777777" w:rsidR="00771194" w:rsidRPr="005A5C71" w:rsidRDefault="00771194" w:rsidP="00771194">
      <w:pPr>
        <w:rPr>
          <w:vanish/>
        </w:rPr>
      </w:pPr>
      <w:bookmarkStart w:id="5" w:name="PE"/>
      <w:r w:rsidRPr="005A5C71">
        <w:rPr>
          <w:vanish/>
        </w:rPr>
        <w:t>PE766.947</w:t>
      </w:r>
      <w:bookmarkEnd w:id="5"/>
    </w:p>
    <w:p w14:paraId="47CB0AAD" w14:textId="5F187D31" w:rsidR="00771194" w:rsidRPr="005A5C71" w:rsidRDefault="00771194" w:rsidP="00771194">
      <w:pPr>
        <w:pStyle w:val="ATHeading3"/>
      </w:pPr>
      <w:bookmarkStart w:id="6" w:name="Sujet"/>
      <w:r w:rsidRPr="005A5C71">
        <w:t xml:space="preserve">Europa-Parlamentets afgørelse af </w:t>
      </w:r>
      <w:r w:rsidR="00B6306D">
        <w:t>1</w:t>
      </w:r>
      <w:r w:rsidRPr="005A5C71">
        <w:t>.</w:t>
      </w:r>
      <w:r w:rsidR="00B6306D">
        <w:t xml:space="preserve"> april</w:t>
      </w:r>
      <w:r w:rsidRPr="005A5C71">
        <w:t xml:space="preserve"> 2025 om anmodning om ophævelse af Jana Nagyovás immunitet</w:t>
      </w:r>
      <w:bookmarkEnd w:id="6"/>
      <w:r w:rsidRPr="005A5C71">
        <w:t xml:space="preserve"> </w:t>
      </w:r>
      <w:bookmarkStart w:id="7" w:name="References"/>
      <w:r w:rsidRPr="005A5C71">
        <w:t>(2024/2035(IMM))</w:t>
      </w:r>
      <w:bookmarkEnd w:id="7"/>
    </w:p>
    <w:p w14:paraId="53655D5F" w14:textId="77777777" w:rsidR="0063709D" w:rsidRPr="005A5C71" w:rsidRDefault="0063709D" w:rsidP="0063709D">
      <w:pPr>
        <w:pStyle w:val="EPComma"/>
      </w:pPr>
      <w:bookmarkStart w:id="8" w:name="TextBodyBegin"/>
      <w:bookmarkEnd w:id="8"/>
      <w:r w:rsidRPr="005A5C71">
        <w:rPr>
          <w:i/>
        </w:rPr>
        <w:t>Europa-Parlamentet,</w:t>
      </w:r>
    </w:p>
    <w:p w14:paraId="72BBED23" w14:textId="0B2FD32E" w:rsidR="0063709D" w:rsidRPr="005A5C71" w:rsidRDefault="0063709D" w:rsidP="0063709D">
      <w:pPr>
        <w:pStyle w:val="NormalHanging12a"/>
      </w:pPr>
      <w:r w:rsidRPr="005A5C71">
        <w:t>–</w:t>
      </w:r>
      <w:r w:rsidRPr="005A5C71">
        <w:tab/>
        <w:t xml:space="preserve">der henviser til anmodning af 1. juli 2024 om ophævelse af Jana Nagyovás immunitet, som er fremsendt af appeldomstolen i Prag i forbindelse med den verserende straffesag ved denne domstol (under sagsnummer </w:t>
      </w:r>
      <w:r w:rsidR="00D2086A">
        <w:t>"</w:t>
      </w:r>
      <w:r w:rsidRPr="005A5C71">
        <w:t>3 To 34/2024</w:t>
      </w:r>
      <w:r w:rsidR="00D2086A">
        <w:t>”</w:t>
      </w:r>
      <w:r w:rsidRPr="005A5C71">
        <w:t>), og hvorom der blev givet meddelelse på plenarmødet den 19. juli 2024,</w:t>
      </w:r>
    </w:p>
    <w:p w14:paraId="2E853993" w14:textId="77777777" w:rsidR="0063709D" w:rsidRPr="005A5C71" w:rsidRDefault="0063709D" w:rsidP="0063709D">
      <w:pPr>
        <w:pStyle w:val="NormalHanging12a"/>
      </w:pPr>
      <w:r w:rsidRPr="005A5C71">
        <w:t>–</w:t>
      </w:r>
      <w:r w:rsidRPr="005A5C71">
        <w:tab/>
        <w:t>der har hørt Jana Nagyová den 29. januar 2025, jf. forretningsordenens artikel 9, stk. 6,</w:t>
      </w:r>
    </w:p>
    <w:p w14:paraId="47FE7892" w14:textId="77777777" w:rsidR="0063709D" w:rsidRPr="005A5C71" w:rsidRDefault="0063709D" w:rsidP="0063709D">
      <w:pPr>
        <w:pStyle w:val="NormalHanging12a"/>
      </w:pPr>
      <w:r w:rsidRPr="005A5C71">
        <w:t>–</w:t>
      </w:r>
      <w:r w:rsidRPr="005A5C71">
        <w:tab/>
        <w:t>der henviser til artikel 8 og 9 i protokol nr. 7 vedrørende Den Europæiske Unions privilegier og immuniteter samt artikel 6, stk. 2, i akten af 20. september 1976 om almindelige direkte valg af medlemmerne af Europa-Parlamentet,</w:t>
      </w:r>
    </w:p>
    <w:p w14:paraId="08644D69" w14:textId="77777777" w:rsidR="0063709D" w:rsidRPr="005A5C71" w:rsidRDefault="0063709D" w:rsidP="0063709D">
      <w:pPr>
        <w:pStyle w:val="NormalHanging12a"/>
      </w:pPr>
      <w:r w:rsidRPr="005A5C71">
        <w:t>–</w:t>
      </w:r>
      <w:r w:rsidRPr="005A5C71">
        <w:tab/>
        <w:t>der henviser til de domme, som Den Europæiske Unions Domstol har afsagt den 21. oktober 2008, 19. marts 2010, 6. september 2011, 17. januar 2013, 19. december 2019 og 5. juli 2023</w:t>
      </w:r>
      <w:r w:rsidRPr="005A5C71">
        <w:rPr>
          <w:rStyle w:val="FootnoteReference"/>
          <w:color w:val="000000"/>
        </w:rPr>
        <w:footnoteReference w:id="1"/>
      </w:r>
      <w:r w:rsidRPr="005A5C71">
        <w:t>,</w:t>
      </w:r>
    </w:p>
    <w:p w14:paraId="0AFA7CDB" w14:textId="33333DA4" w:rsidR="0063709D" w:rsidRPr="005A5C71" w:rsidRDefault="0063709D" w:rsidP="0063709D">
      <w:pPr>
        <w:pStyle w:val="NormalHanging12a"/>
      </w:pPr>
      <w:r w:rsidRPr="005A5C71">
        <w:t>–</w:t>
      </w:r>
      <w:r w:rsidRPr="005A5C71">
        <w:tab/>
        <w:t>der henviser til artikel 27 i Den Tjekkiske Republiks forfatning og § 10, stk. 1, i lov nr. 141/1961 om strafferetspleje (</w:t>
      </w:r>
      <w:r w:rsidR="00D2086A">
        <w:t>d</w:t>
      </w:r>
      <w:r w:rsidRPr="005A5C71">
        <w:t xml:space="preserve">en </w:t>
      </w:r>
      <w:r w:rsidR="00D2086A">
        <w:t>t</w:t>
      </w:r>
      <w:r w:rsidRPr="005A5C71">
        <w:t>jekkiske</w:t>
      </w:r>
      <w:r w:rsidR="00EF3B03">
        <w:t xml:space="preserve"> </w:t>
      </w:r>
      <w:r w:rsidRPr="005A5C71">
        <w:t>strafferetsplejelov),</w:t>
      </w:r>
    </w:p>
    <w:p w14:paraId="46948A84" w14:textId="77777777" w:rsidR="0063709D" w:rsidRPr="005A5C71" w:rsidRDefault="0063709D" w:rsidP="0063709D">
      <w:pPr>
        <w:pStyle w:val="NormalHanging12a"/>
      </w:pPr>
      <w:r w:rsidRPr="005A5C71">
        <w:t>–</w:t>
      </w:r>
      <w:r w:rsidRPr="005A5C71">
        <w:tab/>
        <w:t>der henviser til forretningsordenens artikel 5, stk. 2, artikel 6, stk. 1, og artikel 9,</w:t>
      </w:r>
    </w:p>
    <w:p w14:paraId="4B92C331" w14:textId="77777777" w:rsidR="0063709D" w:rsidRPr="005A5C71" w:rsidRDefault="0063709D" w:rsidP="0063709D">
      <w:pPr>
        <w:pStyle w:val="NormalHanging12a"/>
      </w:pPr>
      <w:r w:rsidRPr="005A5C71">
        <w:t>–</w:t>
      </w:r>
      <w:r w:rsidRPr="005A5C71">
        <w:tab/>
        <w:t>der henviser til betænkning fra Retsudvalget (A10-0029/2025),</w:t>
      </w:r>
    </w:p>
    <w:p w14:paraId="58571574" w14:textId="54C6E271" w:rsidR="0063709D" w:rsidRPr="005A5C71" w:rsidRDefault="0063709D" w:rsidP="0063709D">
      <w:pPr>
        <w:pStyle w:val="NormalHanging12a"/>
      </w:pPr>
      <w:r w:rsidRPr="005A5C71">
        <w:lastRenderedPageBreak/>
        <w:t>A.</w:t>
      </w:r>
      <w:r w:rsidRPr="005A5C71">
        <w:tab/>
        <w:t>der henviser til, at appeldomstolen i Prag den 1. juli 2024 fremsendte en anmodning om ophævelse af den parlamentariske immunitet for Jana Nagyová, et medlem af Europa-Parlamentet, som er valgt i Den Tjekkiske Republik, med henblik på at fortsætte en verserende straffesag ved denne domstol angående en tiltale for at begå svig med støttemidler jf. § 212, stk. 1 og stk. 6, litra a), i lov nr. 40/2009 (den tjekkiske strafferetsplejelov) og for at skade Den Europæiske Unions finansielle interesser i henhold til samme lovs § 260, stk. 1 og 5;</w:t>
      </w:r>
    </w:p>
    <w:p w14:paraId="1FDED723" w14:textId="77777777" w:rsidR="0063709D" w:rsidRPr="005A5C71" w:rsidRDefault="0063709D" w:rsidP="0063709D">
      <w:pPr>
        <w:pStyle w:val="NormalHanging12a"/>
      </w:pPr>
      <w:r w:rsidRPr="005A5C71">
        <w:t>B.</w:t>
      </w:r>
      <w:r w:rsidRPr="005A5C71">
        <w:tab/>
        <w:t>der henviser til, at straffesagen mod Jana Nagyová føres på grundlag af anklageskriftet fra den lokale anklagemyndighed i Prag af 21. marts 2022 vedrørende en handling, som hun angiveligt har begået i fællesskab med en medtiltalt person, med den begrundelse, at hun, som en person, der har et professionelt kendskab til EU-tilskud, og i perioden fra den 17. januar 2008 til den 5. januar 2010, som næstformand for bestyrelsen for et tjekkisk selskab, ansøgte om et tilskud, selv om hun vidste, at dette selskab ikke var berettiget hertil, og gav urigtige oplysninger om, at selskabet var en lille virksomhed og en uafhængig virksomhed;</w:t>
      </w:r>
    </w:p>
    <w:p w14:paraId="42F024F1" w14:textId="77777777" w:rsidR="0063709D" w:rsidRPr="005A5C71" w:rsidRDefault="0063709D" w:rsidP="0063709D">
      <w:pPr>
        <w:pStyle w:val="NormalHanging12a"/>
      </w:pPr>
      <w:r w:rsidRPr="005A5C71">
        <w:t>C.</w:t>
      </w:r>
      <w:r w:rsidRPr="005A5C71">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11C6197B" w14:textId="62E5FFAE" w:rsidR="0063709D" w:rsidRPr="005A5C71" w:rsidRDefault="0063709D" w:rsidP="0063709D">
      <w:pPr>
        <w:pStyle w:val="NormalHanging12a"/>
      </w:pPr>
      <w:r w:rsidRPr="005A5C71">
        <w:t>D.</w:t>
      </w:r>
      <w:r w:rsidRPr="005A5C71">
        <w:tab/>
        <w:t xml:space="preserve">der henviser til, at de </w:t>
      </w:r>
      <w:r w:rsidR="00A202F6">
        <w:t>påståede</w:t>
      </w:r>
      <w:r w:rsidR="00A202F6" w:rsidRPr="009F6120">
        <w:t xml:space="preserve"> </w:t>
      </w:r>
      <w:r w:rsidRPr="005A5C71">
        <w:t>lovovertrædelser ikke vedrører meningstilkendegivelser eller stemmeafgivelser under udøvelsen af hvervet som medlem af Europa-Parlamentet som omhandlet i artikel 8 i protokol nr. 7 vedrørende Den Europæiske Unions privilegier og immuniteter;</w:t>
      </w:r>
    </w:p>
    <w:p w14:paraId="77CC34AF" w14:textId="77777777" w:rsidR="0063709D" w:rsidRPr="005A5C71" w:rsidRDefault="0063709D" w:rsidP="0063709D">
      <w:pPr>
        <w:pStyle w:val="NormalHanging12a"/>
      </w:pPr>
      <w:r w:rsidRPr="005A5C71">
        <w:t>E.</w:t>
      </w:r>
      <w:r w:rsidRPr="005A5C71">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700E15D5" w14:textId="77777777" w:rsidR="0063709D" w:rsidRPr="005A5C71" w:rsidRDefault="0063709D" w:rsidP="0063709D">
      <w:pPr>
        <w:pStyle w:val="NormalHanging12a"/>
      </w:pPr>
      <w:r w:rsidRPr="005A5C71">
        <w:t>F.</w:t>
      </w:r>
      <w:r w:rsidRPr="005A5C71">
        <w:tab/>
        <w:t>der henviser til, at artikel 27, stk. 4, i Den Tjekkiske Republiks forfatning fastsætter, at deputerede og senatorer ikke kan retsforfølges undtagen med samtykke fra det kammer, som de er medlemmer af, og at en sådan retsforfølgelse skal afvises i hele deres embedsperiode, hvis dette kammer nægter at give samtykke hertil;</w:t>
      </w:r>
    </w:p>
    <w:p w14:paraId="67687ABF" w14:textId="77777777" w:rsidR="0063709D" w:rsidRPr="005A5C71" w:rsidRDefault="0063709D" w:rsidP="0063709D">
      <w:pPr>
        <w:pStyle w:val="NormalHanging12a"/>
      </w:pPr>
      <w:r w:rsidRPr="005A5C71">
        <w:t>G.</w:t>
      </w:r>
      <w:r w:rsidRPr="005A5C71">
        <w:tab/>
        <w:t>der henviser til, at Parlamentet i den foreliggende sag ikke har fundet noget bevis på fumus persecutionis, dvs. faktiske omstændigheder, der tyder på, at den pågældende retsforfølgning er blevet indledt med det formål at skade medlemmets og dermed Europa-Parlamentets politiske virksomhed;</w:t>
      </w:r>
    </w:p>
    <w:p w14:paraId="2E39E0A8" w14:textId="77777777" w:rsidR="0063709D" w:rsidRPr="005A5C71" w:rsidRDefault="0063709D" w:rsidP="0063709D">
      <w:pPr>
        <w:pStyle w:val="NormalHanging12a"/>
      </w:pPr>
      <w:r w:rsidRPr="005A5C71">
        <w:t>H.</w:t>
      </w:r>
      <w:r w:rsidRPr="005A5C71">
        <w:tab/>
        <w:t>der henviser til, at Parlamentet på den ene side ikke kan sidestilles med en domstol, og at medlemmet på den anden side i forbindelse med en procedure om ophævelse af immunitet ikke kan betragtes som en "anklaget"</w:t>
      </w:r>
      <w:r w:rsidRPr="005A5C71">
        <w:rPr>
          <w:rStyle w:val="FootnoteReference"/>
          <w:color w:val="000000"/>
        </w:rPr>
        <w:footnoteReference w:id="2"/>
      </w:r>
      <w:r w:rsidRPr="005A5C71">
        <w:t>;</w:t>
      </w:r>
    </w:p>
    <w:p w14:paraId="7D6C5CC0" w14:textId="77777777" w:rsidR="0063709D" w:rsidRPr="005A5C71" w:rsidRDefault="0063709D" w:rsidP="0063709D">
      <w:pPr>
        <w:pStyle w:val="NormalHanging12a"/>
      </w:pPr>
      <w:r w:rsidRPr="005A5C71">
        <w:t>1.</w:t>
      </w:r>
      <w:r w:rsidRPr="005A5C71">
        <w:tab/>
        <w:t>vedtager at ophæve Jana Nagyovás immunitet;</w:t>
      </w:r>
    </w:p>
    <w:p w14:paraId="412F3C25" w14:textId="2C8EA7BB" w:rsidR="00E365E1" w:rsidRPr="005A5C71" w:rsidRDefault="0063709D" w:rsidP="00B6306D">
      <w:pPr>
        <w:ind w:left="567" w:hanging="567"/>
      </w:pPr>
      <w:r w:rsidRPr="005A5C71">
        <w:t>2.</w:t>
      </w:r>
      <w:r w:rsidRPr="005A5C71">
        <w:tab/>
        <w:t>pålægger sin formand straks at sende denne afgørelse og det kompetente udvalgs betænkning til Den Tjekkiske Republiks kompetente myndighed og Jana Nagyová.</w:t>
      </w:r>
    </w:p>
    <w:sectPr w:rsidR="00E365E1" w:rsidRPr="005A5C71" w:rsidSect="005A5C7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A1A37" w14:textId="77777777" w:rsidR="00771194" w:rsidRPr="005A5C71" w:rsidRDefault="00771194">
      <w:r w:rsidRPr="005A5C71">
        <w:separator/>
      </w:r>
    </w:p>
  </w:endnote>
  <w:endnote w:type="continuationSeparator" w:id="0">
    <w:p w14:paraId="67DD2F17" w14:textId="77777777" w:rsidR="00771194" w:rsidRPr="005A5C71" w:rsidRDefault="00771194">
      <w:r w:rsidRPr="005A5C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F9CB7" w14:textId="77777777" w:rsidR="00064002" w:rsidRPr="005A5C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C83BD" w14:textId="77777777" w:rsidR="00064002" w:rsidRPr="005A5C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2EB39" w14:textId="77777777" w:rsidR="00064002" w:rsidRPr="005A5C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DA7AC" w14:textId="77777777" w:rsidR="00771194" w:rsidRPr="005A5C71" w:rsidRDefault="00771194">
      <w:r w:rsidRPr="005A5C71">
        <w:separator/>
      </w:r>
    </w:p>
  </w:footnote>
  <w:footnote w:type="continuationSeparator" w:id="0">
    <w:p w14:paraId="6C813961" w14:textId="77777777" w:rsidR="00771194" w:rsidRPr="005A5C71" w:rsidRDefault="00771194">
      <w:r w:rsidRPr="005A5C71">
        <w:continuationSeparator/>
      </w:r>
    </w:p>
  </w:footnote>
  <w:footnote w:id="1">
    <w:p w14:paraId="668E1F36" w14:textId="77777777" w:rsidR="0063709D" w:rsidRPr="005A5C71" w:rsidRDefault="0063709D" w:rsidP="005A5C71">
      <w:pPr>
        <w:pStyle w:val="FootnoteText"/>
        <w:ind w:left="567" w:hanging="567"/>
        <w:rPr>
          <w:sz w:val="24"/>
          <w:lang w:val="da-DK"/>
        </w:rPr>
      </w:pPr>
      <w:r w:rsidRPr="005A5C71">
        <w:rPr>
          <w:rStyle w:val="FootnoteReference"/>
          <w:sz w:val="24"/>
          <w:lang w:val="da-DK"/>
        </w:rPr>
        <w:footnoteRef/>
      </w:r>
      <w:r w:rsidR="005A5C71" w:rsidRPr="005A5C71">
        <w:rPr>
          <w:sz w:val="24"/>
          <w:lang w:val="da-DK"/>
        </w:rPr>
        <w:t xml:space="preserve"> </w:t>
      </w:r>
      <w:r w:rsidR="005A5C71" w:rsidRPr="005A5C71">
        <w:rPr>
          <w:sz w:val="24"/>
          <w:lang w:val="da-DK"/>
        </w:rPr>
        <w:tab/>
      </w:r>
      <w:r w:rsidRPr="005A5C71">
        <w:rPr>
          <w:sz w:val="24"/>
          <w:lang w:val="da-DK"/>
        </w:rPr>
        <w:t>Domstolens dom af 21.10.2008, Marra mod De Gregorio og Clemente, C-200/07 og C-201/07, ECLI:EU:C:2008:579; Rettens dom af 19.3.2010, Gollnisch mod Parlamentet, T-42/06, ECLI:EU:T:2010:102; Domstolens dom af 6.9.2011, Patriciello, C-163/10, ECLI: EU:C:2011:543; Rettens dom af 17.1.2013, Gollnisch mod Parlamentet, T-346/11 og T-347/11, ECLI:EU:T:2013:23; Domstolens dom af 19.12.2019, Junqueras Vies, C-502/19, ECLI:EU:C:2019:1115; Rettens dom af 5.7.2023, Puigdemont i Casamajó m.fl., T-272/21, ECLI:EU:T:2023:373.</w:t>
      </w:r>
    </w:p>
  </w:footnote>
  <w:footnote w:id="2">
    <w:p w14:paraId="755040BE" w14:textId="77777777" w:rsidR="0063709D" w:rsidRPr="005A5C71" w:rsidRDefault="0063709D" w:rsidP="005A5C71">
      <w:pPr>
        <w:pStyle w:val="FootnoteText"/>
        <w:ind w:left="567" w:hanging="567"/>
        <w:rPr>
          <w:sz w:val="24"/>
          <w:lang w:val="da-DK"/>
        </w:rPr>
      </w:pPr>
      <w:r w:rsidRPr="005A5C71">
        <w:rPr>
          <w:rStyle w:val="FootnoteReference"/>
          <w:sz w:val="24"/>
          <w:lang w:val="da-DK"/>
        </w:rPr>
        <w:footnoteRef/>
      </w:r>
      <w:r w:rsidR="005A5C71" w:rsidRPr="005A5C71">
        <w:rPr>
          <w:sz w:val="24"/>
          <w:lang w:val="da-DK"/>
        </w:rPr>
        <w:t xml:space="preserve"> </w:t>
      </w:r>
      <w:r w:rsidR="005A5C71" w:rsidRPr="005A5C71">
        <w:rPr>
          <w:sz w:val="24"/>
          <w:lang w:val="da-DK"/>
        </w:rPr>
        <w:tab/>
      </w:r>
      <w:r w:rsidRPr="005A5C71">
        <w:rPr>
          <w:sz w:val="24"/>
          <w:lang w:val="da-DK"/>
        </w:rPr>
        <w:t>Rettens dom af 30.4.2019,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1AC80" w14:textId="77777777" w:rsidR="00064002" w:rsidRPr="005A5C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38184" w14:textId="77777777" w:rsidR="00064002" w:rsidRPr="005A5C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66F98" w14:textId="77777777" w:rsidR="00064002" w:rsidRPr="005A5C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DA"/>
    <w:docVar w:name="dvnumam" w:val="0"/>
    <w:docVar w:name="dvpe" w:val="766.947"/>
    <w:docVar w:name="dvrapporteur" w:val="Ordfører: "/>
    <w:docVar w:name="dvtitre" w:val="Europa-Parlamentets afgørelse af xx.xx 2025 om anmodning om ophævelse af Jana Nagyovás immunitet(2024/2035(IMM))"/>
  </w:docVars>
  <w:rsids>
    <w:rsidRoot w:val="00771194"/>
    <w:rsid w:val="00002272"/>
    <w:rsid w:val="00064002"/>
    <w:rsid w:val="000677B9"/>
    <w:rsid w:val="000831BA"/>
    <w:rsid w:val="000A42CC"/>
    <w:rsid w:val="000E7DD9"/>
    <w:rsid w:val="0010095E"/>
    <w:rsid w:val="0011273E"/>
    <w:rsid w:val="00125B37"/>
    <w:rsid w:val="00187494"/>
    <w:rsid w:val="001F32AE"/>
    <w:rsid w:val="00212851"/>
    <w:rsid w:val="002165B0"/>
    <w:rsid w:val="002767FF"/>
    <w:rsid w:val="002B18FE"/>
    <w:rsid w:val="002B5493"/>
    <w:rsid w:val="00343214"/>
    <w:rsid w:val="00361C00"/>
    <w:rsid w:val="00371C8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C71"/>
    <w:rsid w:val="005C2568"/>
    <w:rsid w:val="005F1B17"/>
    <w:rsid w:val="006037C0"/>
    <w:rsid w:val="0063709D"/>
    <w:rsid w:val="006631B6"/>
    <w:rsid w:val="00680577"/>
    <w:rsid w:val="006F74FA"/>
    <w:rsid w:val="00731ADD"/>
    <w:rsid w:val="00734777"/>
    <w:rsid w:val="00747932"/>
    <w:rsid w:val="00751A4A"/>
    <w:rsid w:val="00756632"/>
    <w:rsid w:val="00762C74"/>
    <w:rsid w:val="0077119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2F6"/>
    <w:rsid w:val="00A43E52"/>
    <w:rsid w:val="00A4678D"/>
    <w:rsid w:val="00A52CB6"/>
    <w:rsid w:val="00A778C7"/>
    <w:rsid w:val="00AB441E"/>
    <w:rsid w:val="00AB6293"/>
    <w:rsid w:val="00AE0928"/>
    <w:rsid w:val="00AF3B82"/>
    <w:rsid w:val="00B12E95"/>
    <w:rsid w:val="00B22876"/>
    <w:rsid w:val="00B558F0"/>
    <w:rsid w:val="00B6306D"/>
    <w:rsid w:val="00BD48FE"/>
    <w:rsid w:val="00BD7BD8"/>
    <w:rsid w:val="00BE6ADC"/>
    <w:rsid w:val="00C05BFE"/>
    <w:rsid w:val="00C23CD4"/>
    <w:rsid w:val="00C61C0C"/>
    <w:rsid w:val="00C941CB"/>
    <w:rsid w:val="00CC2357"/>
    <w:rsid w:val="00CF071A"/>
    <w:rsid w:val="00D058B8"/>
    <w:rsid w:val="00D2086A"/>
    <w:rsid w:val="00D56C11"/>
    <w:rsid w:val="00D834A0"/>
    <w:rsid w:val="00D872DF"/>
    <w:rsid w:val="00D91E21"/>
    <w:rsid w:val="00DA7FCD"/>
    <w:rsid w:val="00E365E1"/>
    <w:rsid w:val="00E820A4"/>
    <w:rsid w:val="00EB006A"/>
    <w:rsid w:val="00EB4772"/>
    <w:rsid w:val="00ED169E"/>
    <w:rsid w:val="00ED4235"/>
    <w:rsid w:val="00EF3B0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1CAE2"/>
  <w15:chartTrackingRefBased/>
  <w15:docId w15:val="{3D470DD3-AF31-459E-9A08-B7FAFF902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3709D"/>
    <w:pPr>
      <w:spacing w:after="240"/>
      <w:ind w:left="567" w:hanging="567"/>
    </w:pPr>
  </w:style>
  <w:style w:type="paragraph" w:customStyle="1" w:styleId="EPComma">
    <w:name w:val="EPComma"/>
    <w:basedOn w:val="Normal"/>
    <w:rsid w:val="0063709D"/>
    <w:pPr>
      <w:spacing w:before="480" w:after="240"/>
    </w:pPr>
  </w:style>
  <w:style w:type="character" w:styleId="CommentReference">
    <w:name w:val="annotation reference"/>
    <w:basedOn w:val="DefaultParagraphFont"/>
    <w:rsid w:val="00EF3B03"/>
    <w:rPr>
      <w:sz w:val="16"/>
      <w:szCs w:val="16"/>
    </w:rPr>
  </w:style>
  <w:style w:type="paragraph" w:styleId="CommentText">
    <w:name w:val="annotation text"/>
    <w:basedOn w:val="Normal"/>
    <w:link w:val="CommentTextChar"/>
    <w:rsid w:val="00EF3B03"/>
    <w:rPr>
      <w:sz w:val="20"/>
    </w:rPr>
  </w:style>
  <w:style w:type="character" w:customStyle="1" w:styleId="CommentTextChar">
    <w:name w:val="Comment Text Char"/>
    <w:basedOn w:val="DefaultParagraphFont"/>
    <w:link w:val="CommentText"/>
    <w:rsid w:val="00EF3B03"/>
    <w:rPr>
      <w:lang w:val="da-DK"/>
    </w:rPr>
  </w:style>
  <w:style w:type="paragraph" w:styleId="CommentSubject">
    <w:name w:val="annotation subject"/>
    <w:basedOn w:val="CommentText"/>
    <w:next w:val="CommentText"/>
    <w:link w:val="CommentSubjectChar"/>
    <w:rsid w:val="00EF3B03"/>
    <w:rPr>
      <w:b/>
      <w:bCs/>
    </w:rPr>
  </w:style>
  <w:style w:type="character" w:customStyle="1" w:styleId="CommentSubjectChar">
    <w:name w:val="Comment Subject Char"/>
    <w:basedOn w:val="CommentTextChar"/>
    <w:link w:val="CommentSubject"/>
    <w:rsid w:val="00EF3B03"/>
    <w:rPr>
      <w:b/>
      <w:bCs/>
      <w:lang w:val="da-DK"/>
    </w:rPr>
  </w:style>
  <w:style w:type="paragraph" w:styleId="BalloonText">
    <w:name w:val="Balloon Text"/>
    <w:basedOn w:val="Normal"/>
    <w:link w:val="BalloonTextChar"/>
    <w:rsid w:val="00EF3B03"/>
    <w:rPr>
      <w:rFonts w:ascii="Segoe UI" w:hAnsi="Segoe UI" w:cs="Segoe UI"/>
      <w:sz w:val="18"/>
      <w:szCs w:val="18"/>
    </w:rPr>
  </w:style>
  <w:style w:type="character" w:customStyle="1" w:styleId="BalloonTextChar">
    <w:name w:val="Balloon Text Char"/>
    <w:basedOn w:val="DefaultParagraphFont"/>
    <w:link w:val="BalloonText"/>
    <w:rsid w:val="00EF3B0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B614E-7C99-4B27-9520-046EB4512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682</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2025-04-01T05:54:00Z</dcterms:created>
  <dcterms:modified xsi:type="dcterms:W3CDTF">2025-04-01T10:19:00Z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A10-0029/2025</vt:lpwstr>
  </property>
  <property fmtid="{D5CDD505-2E9C-101B-9397-08002B2CF9AE}" pid="4" name="&lt;Type&gt;">
    <vt:lpwstr>RR</vt:lpwstr>
  </property>
</Properties>
</file>