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C93" w14:paraId="11DF07C1" w14:textId="77777777" w:rsidTr="0010095E">
        <w:trPr>
          <w:trHeight w:hRule="exact" w:val="1418"/>
        </w:trPr>
        <w:tc>
          <w:tcPr>
            <w:tcW w:w="6804" w:type="dxa"/>
            <w:shd w:val="clear" w:color="auto" w:fill="auto"/>
            <w:vAlign w:val="center"/>
          </w:tcPr>
          <w:p w14:paraId="70E6FD78" w14:textId="77777777" w:rsidR="00751A4A" w:rsidRPr="00F74C93" w:rsidRDefault="00E32CCA" w:rsidP="00B44EFE">
            <w:pPr>
              <w:pStyle w:val="EPName"/>
              <w:widowControl/>
            </w:pPr>
            <w:bookmarkStart w:id="0" w:name="_GoBack"/>
            <w:bookmarkEnd w:id="0"/>
            <w:r w:rsidRPr="00F74C93">
              <w:t>Euroopan parlamentti</w:t>
            </w:r>
          </w:p>
          <w:p w14:paraId="6896CFAA" w14:textId="77777777" w:rsidR="00751A4A" w:rsidRPr="00F74C93" w:rsidRDefault="005F1B17" w:rsidP="00B44EFE">
            <w:pPr>
              <w:pStyle w:val="EPTerm"/>
              <w:widowControl/>
              <w:rPr>
                <w:rStyle w:val="HideTWBExt"/>
                <w:noProof w:val="0"/>
                <w:vanish w:val="0"/>
                <w:color w:val="auto"/>
              </w:rPr>
            </w:pPr>
            <w:r w:rsidRPr="00F74C93">
              <w:t>2024</w:t>
            </w:r>
            <w:r w:rsidR="00817416" w:rsidRPr="00F74C93">
              <w:t>-202</w:t>
            </w:r>
            <w:r w:rsidRPr="00F74C93">
              <w:t>9</w:t>
            </w:r>
          </w:p>
        </w:tc>
        <w:tc>
          <w:tcPr>
            <w:tcW w:w="2268" w:type="dxa"/>
            <w:shd w:val="clear" w:color="auto" w:fill="auto"/>
          </w:tcPr>
          <w:p w14:paraId="7CA99C53" w14:textId="77777777" w:rsidR="00751A4A" w:rsidRPr="00F74C93" w:rsidRDefault="00187494" w:rsidP="00B44EFE">
            <w:pPr>
              <w:pStyle w:val="EPLogo"/>
              <w:widowControl/>
            </w:pPr>
            <w:r w:rsidRPr="00F74C93">
              <w:rPr>
                <w:noProof/>
                <w:lang w:eastAsia="fi-FI"/>
              </w:rPr>
              <w:drawing>
                <wp:inline distT="0" distB="0" distL="0" distR="0" wp14:anchorId="0B7EBD2A" wp14:editId="182BBB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39244C" w14:textId="77777777" w:rsidR="00D058B8" w:rsidRPr="00F74C93" w:rsidRDefault="00D058B8" w:rsidP="00B44EFE">
      <w:pPr>
        <w:pStyle w:val="LineTop"/>
        <w:widowControl/>
      </w:pPr>
    </w:p>
    <w:p w14:paraId="0F323F65" w14:textId="77777777" w:rsidR="00680577" w:rsidRPr="00F74C93" w:rsidRDefault="00E32CCA" w:rsidP="00B44EFE">
      <w:pPr>
        <w:pStyle w:val="EPBodyTA1"/>
        <w:widowControl/>
      </w:pPr>
      <w:r w:rsidRPr="00F74C93">
        <w:t>HYVÄKSYTYT TEKSTIT</w:t>
      </w:r>
    </w:p>
    <w:p w14:paraId="15B6B99F" w14:textId="77777777" w:rsidR="00D058B8" w:rsidRPr="00F74C93" w:rsidRDefault="00D058B8" w:rsidP="00B44EFE">
      <w:pPr>
        <w:pStyle w:val="LineBottom"/>
        <w:widowControl/>
      </w:pPr>
    </w:p>
    <w:p w14:paraId="1DFBB785" w14:textId="00D8F676" w:rsidR="00E32CCA" w:rsidRPr="00F74C93" w:rsidRDefault="00E32CCA" w:rsidP="00B44EFE">
      <w:pPr>
        <w:pStyle w:val="ATHeading1"/>
      </w:pPr>
      <w:bookmarkStart w:id="1" w:name="TANumber"/>
      <w:r w:rsidRPr="00F74C93">
        <w:t>P10_</w:t>
      </w:r>
      <w:proofErr w:type="gramStart"/>
      <w:r w:rsidRPr="00F74C93">
        <w:t>TA(</w:t>
      </w:r>
      <w:proofErr w:type="gramEnd"/>
      <w:r w:rsidRPr="00F74C93">
        <w:t>2025)00</w:t>
      </w:r>
      <w:r w:rsidR="00F74C93" w:rsidRPr="00F74C93">
        <w:t>4</w:t>
      </w:r>
      <w:r w:rsidRPr="00F74C93">
        <w:t>0</w:t>
      </w:r>
      <w:bookmarkEnd w:id="1"/>
    </w:p>
    <w:p w14:paraId="5CBC29FA" w14:textId="77777777" w:rsidR="00E32CCA" w:rsidRPr="00F74C93" w:rsidRDefault="00E32CCA" w:rsidP="00B44EFE">
      <w:pPr>
        <w:pStyle w:val="ATHeading2"/>
      </w:pPr>
      <w:bookmarkStart w:id="2" w:name="title"/>
      <w:r w:rsidRPr="00F74C93">
        <w:t xml:space="preserve">Jana </w:t>
      </w:r>
      <w:proofErr w:type="spellStart"/>
      <w:r w:rsidRPr="00F74C93">
        <w:t>Nagyován</w:t>
      </w:r>
      <w:proofErr w:type="spellEnd"/>
      <w:r w:rsidRPr="00F74C93">
        <w:t xml:space="preserve"> koskemattomuuden pidättämistä koskeva pyyntö</w:t>
      </w:r>
      <w:bookmarkEnd w:id="2"/>
    </w:p>
    <w:p w14:paraId="39A352A8" w14:textId="77777777" w:rsidR="00E32CCA" w:rsidRPr="00F74C93" w:rsidRDefault="00E32CCA" w:rsidP="00B44EFE">
      <w:pPr>
        <w:widowControl/>
        <w:rPr>
          <w:i/>
          <w:vanish/>
        </w:rPr>
      </w:pPr>
      <w:r w:rsidRPr="00F74C93">
        <w:rPr>
          <w:i/>
        </w:rPr>
        <w:fldChar w:fldCharType="begin"/>
      </w:r>
      <w:r w:rsidRPr="00F74C93">
        <w:rPr>
          <w:i/>
        </w:rPr>
        <w:instrText xml:space="preserve"> TC"(</w:instrText>
      </w:r>
      <w:bookmarkStart w:id="3" w:name="DocNumber"/>
      <w:r w:rsidRPr="00F74C93">
        <w:rPr>
          <w:i/>
        </w:rPr>
        <w:instrText>A10-0029/2025</w:instrText>
      </w:r>
      <w:bookmarkEnd w:id="3"/>
      <w:r w:rsidRPr="00F74C93">
        <w:rPr>
          <w:i/>
        </w:rPr>
        <w:instrText xml:space="preserve"> - Esittelijä: </w:instrText>
      </w:r>
      <w:proofErr w:type="spellStart"/>
      <w:r w:rsidRPr="00F74C93">
        <w:rPr>
          <w:i/>
        </w:rPr>
        <w:instrText>Krzysztof</w:instrText>
      </w:r>
      <w:proofErr w:type="spellEnd"/>
      <w:r w:rsidRPr="00F74C93">
        <w:rPr>
          <w:i/>
        </w:rPr>
        <w:instrText xml:space="preserve"> </w:instrText>
      </w:r>
      <w:proofErr w:type="spellStart"/>
      <w:r w:rsidRPr="00F74C93">
        <w:rPr>
          <w:i/>
        </w:rPr>
        <w:instrText>Śmiszek</w:instrText>
      </w:r>
      <w:proofErr w:type="spellEnd"/>
      <w:r w:rsidRPr="00F74C93">
        <w:rPr>
          <w:i/>
        </w:rPr>
        <w:instrText xml:space="preserve">)"\l3 \n&gt; \* MERGEFORMAT </w:instrText>
      </w:r>
      <w:r w:rsidRPr="00F74C93">
        <w:rPr>
          <w:i/>
        </w:rPr>
        <w:fldChar w:fldCharType="end"/>
      </w:r>
    </w:p>
    <w:p w14:paraId="49A6D404" w14:textId="77777777" w:rsidR="00E32CCA" w:rsidRPr="00F74C93" w:rsidRDefault="00E32CCA" w:rsidP="00B44EFE">
      <w:pPr>
        <w:widowControl/>
        <w:rPr>
          <w:vanish/>
        </w:rPr>
      </w:pPr>
      <w:bookmarkStart w:id="4" w:name="Commission"/>
      <w:r w:rsidRPr="00F74C93">
        <w:rPr>
          <w:vanish/>
        </w:rPr>
        <w:t>Oikeudellisten asioiden valiokunta</w:t>
      </w:r>
      <w:bookmarkEnd w:id="4"/>
    </w:p>
    <w:p w14:paraId="20208741" w14:textId="77777777" w:rsidR="00E32CCA" w:rsidRPr="00F74C93" w:rsidRDefault="00E32CCA" w:rsidP="00B44EFE">
      <w:pPr>
        <w:widowControl/>
        <w:rPr>
          <w:vanish/>
        </w:rPr>
      </w:pPr>
      <w:bookmarkStart w:id="5" w:name="PE"/>
      <w:r w:rsidRPr="00F74C93">
        <w:rPr>
          <w:vanish/>
        </w:rPr>
        <w:t>PE766.947</w:t>
      </w:r>
      <w:bookmarkEnd w:id="5"/>
    </w:p>
    <w:p w14:paraId="1AF18E60" w14:textId="34C4B9E5" w:rsidR="00E32CCA" w:rsidRPr="00F74C93" w:rsidRDefault="00E32CCA" w:rsidP="00B44EFE">
      <w:pPr>
        <w:pStyle w:val="ATHeading3"/>
      </w:pPr>
      <w:bookmarkStart w:id="6" w:name="Sujet"/>
      <w:r w:rsidRPr="00F74C93">
        <w:t xml:space="preserve">Euroopan parlamentin päätös </w:t>
      </w:r>
      <w:r w:rsidR="007C41FA" w:rsidRPr="00F74C93">
        <w:t>1</w:t>
      </w:r>
      <w:r w:rsidRPr="00F74C93">
        <w:t xml:space="preserve">. huhtikuuta 2025 Jana </w:t>
      </w:r>
      <w:proofErr w:type="spellStart"/>
      <w:r w:rsidRPr="00F74C93">
        <w:t>Nagyován</w:t>
      </w:r>
      <w:proofErr w:type="spellEnd"/>
      <w:r w:rsidRPr="00F74C93">
        <w:t xml:space="preserve"> koskemattomuuden pidättämistä koskevasta pyynnöstä</w:t>
      </w:r>
      <w:bookmarkEnd w:id="6"/>
      <w:r w:rsidRPr="00F74C93">
        <w:t xml:space="preserve"> </w:t>
      </w:r>
      <w:bookmarkStart w:id="7" w:name="References"/>
      <w:r w:rsidRPr="00F74C93">
        <w:t>(2024/2035(IMM))</w:t>
      </w:r>
      <w:bookmarkEnd w:id="7"/>
    </w:p>
    <w:p w14:paraId="3FEFB079" w14:textId="77777777" w:rsidR="000023A1" w:rsidRPr="00F74C93" w:rsidRDefault="000023A1" w:rsidP="00B44EFE">
      <w:pPr>
        <w:pStyle w:val="EPComma"/>
        <w:widowControl/>
      </w:pPr>
      <w:bookmarkStart w:id="8" w:name="TextBodyBegin"/>
      <w:bookmarkEnd w:id="8"/>
      <w:r w:rsidRPr="00F74C93">
        <w:rPr>
          <w:i/>
          <w:iCs/>
        </w:rPr>
        <w:t>Euroopan parlamentti</w:t>
      </w:r>
      <w:r w:rsidRPr="00F74C93">
        <w:t>, joka</w:t>
      </w:r>
    </w:p>
    <w:p w14:paraId="6951E341" w14:textId="77777777" w:rsidR="000023A1" w:rsidRPr="00F74C93" w:rsidRDefault="000023A1" w:rsidP="00B44EFE">
      <w:pPr>
        <w:pStyle w:val="NormalHanging12a"/>
        <w:widowControl/>
      </w:pPr>
      <w:r w:rsidRPr="00F74C93">
        <w:t>–</w:t>
      </w:r>
      <w:r w:rsidRPr="00F74C93">
        <w:tab/>
        <w:t xml:space="preserve">ottaa huomioon Jana </w:t>
      </w:r>
      <w:proofErr w:type="spellStart"/>
      <w:r w:rsidRPr="00F74C93">
        <w:t>Nagyován</w:t>
      </w:r>
      <w:proofErr w:type="spellEnd"/>
      <w:r w:rsidRPr="00F74C93">
        <w:t xml:space="preserve"> koskemattomuuden pidättämistä koskevan, 1. heinäkuuta 2024 päivätyn pyynnön, jonka toimitti Prahan alueellinen ylioikeus kyseisessä ylioikeudessa vireillä olevassa rikosasiassa (viitenumero 3 To 34/2024) ja josta ilmoitettiin täysistunnossa 19. heinäkuuta 2024,</w:t>
      </w:r>
    </w:p>
    <w:p w14:paraId="05881187" w14:textId="77777777" w:rsidR="000023A1" w:rsidRPr="00F74C93" w:rsidRDefault="000023A1" w:rsidP="00B44EFE">
      <w:pPr>
        <w:pStyle w:val="NormalHanging12a"/>
        <w:widowControl/>
      </w:pPr>
      <w:r w:rsidRPr="00F74C93">
        <w:t>–</w:t>
      </w:r>
      <w:r w:rsidRPr="00F74C93">
        <w:tab/>
        <w:t xml:space="preserve">on kuullut Jana </w:t>
      </w:r>
      <w:proofErr w:type="spellStart"/>
      <w:r w:rsidRPr="00F74C93">
        <w:t>Nagyováa</w:t>
      </w:r>
      <w:proofErr w:type="spellEnd"/>
      <w:r w:rsidRPr="00F74C93">
        <w:t xml:space="preserve"> 29. tammikuuta 2025 työjärjestyksen 9 artiklan 6 kohdan mukaisesti,</w:t>
      </w:r>
    </w:p>
    <w:p w14:paraId="50152482" w14:textId="77777777" w:rsidR="000023A1" w:rsidRPr="00F74C93" w:rsidRDefault="000023A1" w:rsidP="00B44EFE">
      <w:pPr>
        <w:pStyle w:val="NormalHanging12a"/>
        <w:widowControl/>
      </w:pPr>
      <w:r w:rsidRPr="00F74C93">
        <w:t>–</w:t>
      </w:r>
      <w:r w:rsidRPr="00F74C93">
        <w:tab/>
        <w:t xml:space="preserve">ottaa huomioon Euroopan unionin erioikeuksista ja vapauksista tehdyssä pöytäkirjassa </w:t>
      </w:r>
      <w:proofErr w:type="gramStart"/>
      <w:r w:rsidRPr="00F74C93">
        <w:t>N:o</w:t>
      </w:r>
      <w:proofErr w:type="gramEnd"/>
      <w:r w:rsidRPr="00F74C93">
        <w:t> 7 olevan 8 ja 9 artiklan sekä Euroopan parlamentin jäsenten valitsemisesta yleisillä välittömillä vaaleilla 20. syyskuuta 1976 annetun säädöksen 6 artiklan 2 kohdan,</w:t>
      </w:r>
    </w:p>
    <w:p w14:paraId="56267F78" w14:textId="77777777" w:rsidR="000023A1" w:rsidRPr="00F74C93" w:rsidRDefault="000023A1" w:rsidP="00B44EFE">
      <w:pPr>
        <w:pStyle w:val="NormalHanging12a"/>
        <w:widowControl/>
      </w:pPr>
      <w:r w:rsidRPr="00F74C93">
        <w:t>–</w:t>
      </w:r>
      <w:r w:rsidRPr="00F74C93">
        <w:tab/>
        <w:t>ottaa huomioon Euroopan unionin tuomioistuimen 21. lokakuuta 2008, 19. maaliskuuta 2010, 6. syyskuuta 2011, 17. tammikuuta 2013, 19. joulukuuta 2019 ja 5. heinäkuuta 2023 antamat tuomiot</w:t>
      </w:r>
      <w:r w:rsidRPr="00F74C93">
        <w:rPr>
          <w:rStyle w:val="FootnoteReference"/>
          <w:color w:val="000000"/>
        </w:rPr>
        <w:footnoteReference w:id="1"/>
      </w:r>
      <w:r w:rsidRPr="00F74C93">
        <w:t>,</w:t>
      </w:r>
    </w:p>
    <w:p w14:paraId="1DF4FC2E" w14:textId="77777777" w:rsidR="000023A1" w:rsidRPr="00F74C93" w:rsidRDefault="000023A1" w:rsidP="00B44EFE">
      <w:pPr>
        <w:pStyle w:val="NormalHanging12a"/>
        <w:widowControl/>
      </w:pPr>
      <w:r w:rsidRPr="00F74C93">
        <w:t>–</w:t>
      </w:r>
      <w:r w:rsidRPr="00F74C93">
        <w:tab/>
        <w:t xml:space="preserve">ottaa huomioon Tšekin tasavallan perustuslain 27 §:n ja rikosprosessilain nro 141/1961 (Tšekin </w:t>
      </w:r>
      <w:r w:rsidR="007C41FA" w:rsidRPr="00F74C93">
        <w:t xml:space="preserve">tasavallan </w:t>
      </w:r>
      <w:r w:rsidRPr="00F74C93">
        <w:t>rikosprosessilaki) 10 §:n 1 momentin,</w:t>
      </w:r>
    </w:p>
    <w:p w14:paraId="5A7B4587" w14:textId="77777777" w:rsidR="000023A1" w:rsidRPr="00F74C93" w:rsidRDefault="000023A1" w:rsidP="00B44EFE">
      <w:pPr>
        <w:pStyle w:val="NormalHanging12a"/>
        <w:widowControl/>
      </w:pPr>
      <w:r w:rsidRPr="00F74C93">
        <w:t>–</w:t>
      </w:r>
      <w:r w:rsidRPr="00F74C93">
        <w:tab/>
        <w:t>ottaa huomioon työjärjestyksen 5 artiklan 2 kohdan, 6 artiklan 1 kohdan ja 9 artiklan,</w:t>
      </w:r>
    </w:p>
    <w:p w14:paraId="46273D8F" w14:textId="77777777" w:rsidR="000023A1" w:rsidRPr="00F74C93" w:rsidRDefault="000023A1" w:rsidP="00B44EFE">
      <w:pPr>
        <w:pStyle w:val="NormalHanging12a"/>
        <w:widowControl/>
      </w:pPr>
      <w:r w:rsidRPr="00F74C93">
        <w:lastRenderedPageBreak/>
        <w:t>–</w:t>
      </w:r>
      <w:r w:rsidRPr="00F74C93">
        <w:tab/>
        <w:t>ottaa huomioon oikeudellisten asioiden valiokunnan mietinnön (A10-0029/2025),</w:t>
      </w:r>
    </w:p>
    <w:p w14:paraId="6A7177E7" w14:textId="77777777" w:rsidR="000023A1" w:rsidRPr="00F74C93" w:rsidRDefault="000023A1" w:rsidP="00B44EFE">
      <w:pPr>
        <w:pStyle w:val="NormalHanging12a"/>
        <w:widowControl/>
      </w:pPr>
      <w:r w:rsidRPr="00F74C93">
        <w:t>A.</w:t>
      </w:r>
      <w:r w:rsidRPr="00F74C93">
        <w:tab/>
        <w:t xml:space="preserve">ottaa huomioon, että Prahan alueellinen ylioikeus esitti 1. heinäkuuta 2024 Tšekin tasavallasta valitun Euroopan parlamentin jäsenen Jana </w:t>
      </w:r>
      <w:proofErr w:type="spellStart"/>
      <w:r w:rsidRPr="00F74C93">
        <w:t>Nagyován</w:t>
      </w:r>
      <w:proofErr w:type="spellEnd"/>
      <w:r w:rsidRPr="00F74C93">
        <w:t xml:space="preserve"> parlamentaarisen koskemattomuuden pidättämistä koskevan pyynnön, jotta se voisi jatkaa kyseisessä ylioikeudessa muutoksenhakuvaiheessa vireillä olevaa rikosoikeudellista menettelyä, joka koskee lain 40/2009 (Tšekin tasavallan rikoslaki) 212 §:n 1 momentin ja 6 momentin a alakohdan mukaisen tukipetosrikoksen ja 260 §:n 1 ja 5 momentin mukaisen Euroopan unionin taloudellisten etujen vahingoittamista koskevan rikoksen tekemistä;</w:t>
      </w:r>
    </w:p>
    <w:p w14:paraId="1E11DAC5" w14:textId="77777777" w:rsidR="000023A1" w:rsidRPr="00F74C93" w:rsidRDefault="000023A1" w:rsidP="00B44EFE">
      <w:pPr>
        <w:pStyle w:val="NormalHanging12a"/>
        <w:widowControl/>
      </w:pPr>
      <w:r w:rsidRPr="00F74C93">
        <w:t>B.</w:t>
      </w:r>
      <w:r w:rsidRPr="00F74C93">
        <w:tab/>
        <w:t xml:space="preserve">ottaa huomioon, että Jana </w:t>
      </w:r>
      <w:proofErr w:type="spellStart"/>
      <w:r w:rsidRPr="00F74C93">
        <w:t>Nagyováa</w:t>
      </w:r>
      <w:proofErr w:type="spellEnd"/>
      <w:r w:rsidRPr="00F74C93">
        <w:t xml:space="preserve"> vastaan aloitettiin rikosoikeudellinen menettely Prahan kaupungin syyttäjänviraston 21. maaliskuuta 2022 päivätyn syytteen perusteella ja että syyte koskee tekoa, johon hänen väitetään syyllistyneen yhdessä toisen syytetyn kanssa, sillä Jana </w:t>
      </w:r>
      <w:proofErr w:type="spellStart"/>
      <w:r w:rsidRPr="00F74C93">
        <w:t>Nagyová</w:t>
      </w:r>
      <w:proofErr w:type="spellEnd"/>
      <w:r w:rsidRPr="00F74C93">
        <w:t xml:space="preserve"> haki 17. tammikuuta 2008 ja 5. tammikuuta 2010 välisenä aikana erään tšekkiläisen yhtiön hallituksen varapuheenjohtajana ja EU:n avustuksiin työssään keskittyvänä henkilönä avustusta tietoisena siitä, ettei kyseisellä yhtiöllä ollut siihen oikeutta, ja antamalla vääriä tietoja siitä, että yhtiö olisi pieni ja itsenäinen yritys;</w:t>
      </w:r>
    </w:p>
    <w:p w14:paraId="2E028917" w14:textId="77777777" w:rsidR="000023A1" w:rsidRPr="00F74C93" w:rsidRDefault="000023A1" w:rsidP="00B44EFE">
      <w:pPr>
        <w:pStyle w:val="NormalHanging12a"/>
        <w:widowControl/>
      </w:pPr>
      <w:r w:rsidRPr="00F74C93">
        <w:t>C.</w:t>
      </w:r>
      <w:r w:rsidRPr="00F74C93">
        <w:tab/>
        <w:t>ottaa huomioon, että parlamentaarisen koskemattomuuden tarkoituksena on suojella parlamenttia ja sen jäseniä oikeudenkäynneiltä, jotka liittyvät toimintaan, jota harjoitetaan hoidettaessa parlamentin jäsenten tehtäviä ja jota ei voida erottaa kyseisistä tehtävistä;</w:t>
      </w:r>
    </w:p>
    <w:p w14:paraId="325202CF" w14:textId="77777777" w:rsidR="000023A1" w:rsidRPr="00F74C93" w:rsidRDefault="000023A1" w:rsidP="00B44EFE">
      <w:pPr>
        <w:pStyle w:val="NormalHanging12a"/>
        <w:widowControl/>
      </w:pPr>
      <w:r w:rsidRPr="00F74C93">
        <w:t>D.</w:t>
      </w:r>
      <w:r w:rsidRPr="00F74C93">
        <w:tab/>
        <w:t xml:space="preserve">toteaa, että näin ollen väitetyt rikkomukset eivät koske Euroopan unionin erioikeuksista ja vapauksista tehdyssä pöytäkirjassa </w:t>
      </w:r>
      <w:proofErr w:type="gramStart"/>
      <w:r w:rsidRPr="00F74C93">
        <w:t>N:o</w:t>
      </w:r>
      <w:proofErr w:type="gramEnd"/>
      <w:r w:rsidRPr="00F74C93">
        <w:t> 7 olevassa 8 artiklassa tarkoitettuja Euroopan parlamentin jäsenten tehtäviään hoitaessaan ilmaisemia mielipiteitä tai äänestyksiä;</w:t>
      </w:r>
    </w:p>
    <w:p w14:paraId="0F4295AB" w14:textId="77777777" w:rsidR="000023A1" w:rsidRPr="00F74C93" w:rsidRDefault="000023A1" w:rsidP="00B44EFE">
      <w:pPr>
        <w:pStyle w:val="NormalHanging12a"/>
        <w:widowControl/>
      </w:pPr>
      <w:r w:rsidRPr="00F74C93">
        <w:t>E.</w:t>
      </w:r>
      <w:r w:rsidRPr="00F74C93">
        <w:tab/>
        <w:t xml:space="preserve">ottaa huomioon, että Euroopan unionin erioikeuksista ja vapauksista tehdyssä pöytäkirjassa </w:t>
      </w:r>
      <w:proofErr w:type="gramStart"/>
      <w:r w:rsidRPr="00F74C93">
        <w:t>N:o</w:t>
      </w:r>
      <w:proofErr w:type="gramEnd"/>
      <w:r w:rsidRPr="00F74C93">
        <w:t> 7 olevassa 9 artiklan ensimmäisen kohdan a alakohdassa määrätään, että Euroopan parlamentin jäsenillä on oman valtionsa alueella sen parlamentin jäsenille myönnetty koskemattomuus;</w:t>
      </w:r>
    </w:p>
    <w:p w14:paraId="08748C21" w14:textId="77777777" w:rsidR="000023A1" w:rsidRPr="00F74C93" w:rsidRDefault="000023A1" w:rsidP="00B44EFE">
      <w:pPr>
        <w:pStyle w:val="NormalHanging12a"/>
        <w:widowControl/>
      </w:pPr>
      <w:r w:rsidRPr="00F74C93">
        <w:t>F.</w:t>
      </w:r>
      <w:r w:rsidRPr="00F74C93">
        <w:tab/>
        <w:t>ottaa huomioon, että Tšekin tasavallan perustuslain 27 §:n 4 momentissa säädetään, että parlamentin ja senaatin jäseniä ei saa asettaa syytteeseen muutoin kuin sen kamarin suostumuksella, johon jäsen kuuluu, ja että jos kyseinen kamari ei anna suostumustaan, syytettä ei voi nostaa heidän toimikautensa aikana;</w:t>
      </w:r>
    </w:p>
    <w:p w14:paraId="7A307AA4" w14:textId="460C84AD" w:rsidR="000023A1" w:rsidRPr="00F74C93" w:rsidRDefault="000023A1" w:rsidP="00B44EFE">
      <w:pPr>
        <w:pStyle w:val="NormalHanging12a"/>
        <w:widowControl/>
      </w:pPr>
      <w:r w:rsidRPr="00F74C93">
        <w:t>G.</w:t>
      </w:r>
      <w:r w:rsidRPr="00F74C93">
        <w:tab/>
      </w:r>
      <w:r w:rsidR="00D44EC2" w:rsidRPr="00F74C93">
        <w:t>toteaa</w:t>
      </w:r>
      <w:r w:rsidRPr="00F74C93">
        <w:t xml:space="preserve">, että tässä tapauksessa parlamentti ei ole löytänyt todisteita </w:t>
      </w:r>
      <w:proofErr w:type="spellStart"/>
      <w:r w:rsidRPr="00F74C93">
        <w:t>fumus</w:t>
      </w:r>
      <w:proofErr w:type="spellEnd"/>
      <w:r w:rsidRPr="00F74C93">
        <w:t xml:space="preserve"> </w:t>
      </w:r>
      <w:proofErr w:type="spellStart"/>
      <w:r w:rsidRPr="00F74C93">
        <w:t>persecutionis</w:t>
      </w:r>
      <w:proofErr w:type="spellEnd"/>
      <w:r w:rsidRPr="00F74C93">
        <w:t xml:space="preserve"> -tilanteesta eli tosiseikkoja, jotka viittaisivat siihen, että </w:t>
      </w:r>
      <w:r w:rsidR="00D44EC2" w:rsidRPr="00F74C93">
        <w:t>oikeudenkäyntimenettelyssä voi olla</w:t>
      </w:r>
      <w:r w:rsidRPr="00F74C93">
        <w:t xml:space="preserve"> tarkoituksena vahingoittaa jäsenen poliittista toimintaa ja siten Euroopan parlamenttia;</w:t>
      </w:r>
    </w:p>
    <w:p w14:paraId="30DDEFAC" w14:textId="77777777" w:rsidR="000023A1" w:rsidRPr="00F74C93" w:rsidRDefault="000023A1" w:rsidP="00B44EFE">
      <w:pPr>
        <w:pStyle w:val="NormalHanging12a"/>
        <w:widowControl/>
      </w:pPr>
      <w:r w:rsidRPr="00F74C93">
        <w:t>H.</w:t>
      </w:r>
      <w:r w:rsidRPr="00F74C93">
        <w:tab/>
        <w:t>ottaa huomioon, että parlamenttia ei voida rinnastaa tuomioistuimeen eikä parlamentin jäsentä voida pitää koskemattomuuden pidättämistä koskevassa menettelyssä ’syytettynä’</w:t>
      </w:r>
      <w:r w:rsidRPr="00F74C93">
        <w:rPr>
          <w:rStyle w:val="FootnoteReference"/>
          <w:color w:val="000000"/>
        </w:rPr>
        <w:footnoteReference w:id="2"/>
      </w:r>
      <w:r w:rsidRPr="00F74C93">
        <w:t>;</w:t>
      </w:r>
    </w:p>
    <w:p w14:paraId="4D406A55" w14:textId="77777777" w:rsidR="000023A1" w:rsidRPr="00F74C93" w:rsidRDefault="000023A1" w:rsidP="00B44EFE">
      <w:pPr>
        <w:pStyle w:val="NormalHanging12a"/>
        <w:widowControl/>
      </w:pPr>
      <w:r w:rsidRPr="00F74C93">
        <w:t>1.</w:t>
      </w:r>
      <w:r w:rsidRPr="00F74C93">
        <w:tab/>
        <w:t xml:space="preserve">päättää pidättää Jana </w:t>
      </w:r>
      <w:proofErr w:type="spellStart"/>
      <w:r w:rsidRPr="00F74C93">
        <w:t>Nagyován</w:t>
      </w:r>
      <w:proofErr w:type="spellEnd"/>
      <w:r w:rsidRPr="00F74C93">
        <w:t xml:space="preserve"> koskemattomuuden;</w:t>
      </w:r>
    </w:p>
    <w:p w14:paraId="3B3C1858" w14:textId="77777777" w:rsidR="00E365E1" w:rsidRPr="00F74C93" w:rsidRDefault="000023A1" w:rsidP="00B44EFE">
      <w:pPr>
        <w:pStyle w:val="NormalHanging12a"/>
        <w:widowControl/>
      </w:pPr>
      <w:r w:rsidRPr="00F74C93">
        <w:lastRenderedPageBreak/>
        <w:t>2.</w:t>
      </w:r>
      <w:r w:rsidRPr="00F74C93">
        <w:tab/>
        <w:t xml:space="preserve">kehottaa puhemiestä välittämään tämän päätöksen sekä asiasta vastaavan valiokunnan mietinnön viipymättä Tšekin tasavallan toimivaltaiselle viranomaiselle ja Jana </w:t>
      </w:r>
      <w:proofErr w:type="spellStart"/>
      <w:r w:rsidRPr="00F74C93">
        <w:t>Nagyoválle</w:t>
      </w:r>
      <w:proofErr w:type="spellEnd"/>
      <w:r w:rsidRPr="00F74C93">
        <w:t>.</w:t>
      </w:r>
    </w:p>
    <w:sectPr w:rsidR="00E365E1" w:rsidRPr="00F74C93" w:rsidSect="0010150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0B75B" w14:textId="77777777" w:rsidR="00E32CCA" w:rsidRPr="0010150C" w:rsidRDefault="00E32CCA">
      <w:r w:rsidRPr="0010150C">
        <w:separator/>
      </w:r>
    </w:p>
  </w:endnote>
  <w:endnote w:type="continuationSeparator" w:id="0">
    <w:p w14:paraId="1E4AF805" w14:textId="77777777" w:rsidR="00E32CCA" w:rsidRPr="0010150C" w:rsidRDefault="00E32CCA">
      <w:r w:rsidRPr="001015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09BE3" w14:textId="77777777" w:rsidR="00E32CCA" w:rsidRPr="0010150C" w:rsidRDefault="00E32CCA">
      <w:r w:rsidRPr="0010150C">
        <w:separator/>
      </w:r>
    </w:p>
  </w:footnote>
  <w:footnote w:type="continuationSeparator" w:id="0">
    <w:p w14:paraId="27C0A825" w14:textId="77777777" w:rsidR="00E32CCA" w:rsidRPr="0010150C" w:rsidRDefault="00E32CCA">
      <w:r w:rsidRPr="0010150C">
        <w:continuationSeparator/>
      </w:r>
    </w:p>
  </w:footnote>
  <w:footnote w:id="1">
    <w:p w14:paraId="1FEB6B72" w14:textId="77777777" w:rsidR="000023A1" w:rsidRPr="0010150C" w:rsidRDefault="000023A1" w:rsidP="0010150C">
      <w:pPr>
        <w:pStyle w:val="FootnoteText"/>
        <w:ind w:left="567" w:hanging="567"/>
        <w:rPr>
          <w:sz w:val="24"/>
          <w:lang w:val="fi-FI"/>
        </w:rPr>
      </w:pPr>
      <w:r w:rsidRPr="0010150C">
        <w:rPr>
          <w:rStyle w:val="FootnoteReference"/>
          <w:sz w:val="24"/>
          <w:lang w:val="fi-FI"/>
        </w:rPr>
        <w:footnoteRef/>
      </w:r>
      <w:r w:rsidR="0010150C" w:rsidRPr="0010150C">
        <w:rPr>
          <w:sz w:val="24"/>
          <w:lang w:val="fi-FI"/>
        </w:rPr>
        <w:t xml:space="preserve"> </w:t>
      </w:r>
      <w:r w:rsidR="0010150C" w:rsidRPr="0010150C">
        <w:rPr>
          <w:sz w:val="24"/>
          <w:lang w:val="fi-FI"/>
        </w:rPr>
        <w:tab/>
      </w:r>
      <w:r w:rsidRPr="0010150C">
        <w:rPr>
          <w:sz w:val="24"/>
          <w:lang w:val="fi-FI"/>
        </w:rPr>
        <w:t xml:space="preserve">Yhteisöjen tuomioistuimen tuomio 21.10.2008, </w:t>
      </w:r>
      <w:proofErr w:type="spellStart"/>
      <w:r w:rsidRPr="0010150C">
        <w:rPr>
          <w:sz w:val="24"/>
          <w:lang w:val="fi-FI"/>
        </w:rPr>
        <w:t>Marra</w:t>
      </w:r>
      <w:proofErr w:type="spellEnd"/>
      <w:r w:rsidRPr="0010150C">
        <w:rPr>
          <w:sz w:val="24"/>
          <w:lang w:val="fi-FI"/>
        </w:rPr>
        <w:t xml:space="preserve"> v. De </w:t>
      </w:r>
      <w:proofErr w:type="spellStart"/>
      <w:r w:rsidRPr="0010150C">
        <w:rPr>
          <w:sz w:val="24"/>
          <w:lang w:val="fi-FI"/>
        </w:rPr>
        <w:t>Gregorio</w:t>
      </w:r>
      <w:proofErr w:type="spellEnd"/>
      <w:r w:rsidRPr="0010150C">
        <w:rPr>
          <w:sz w:val="24"/>
          <w:lang w:val="fi-FI"/>
        </w:rPr>
        <w:t xml:space="preserve"> ja </w:t>
      </w:r>
      <w:proofErr w:type="spellStart"/>
      <w:r w:rsidRPr="0010150C">
        <w:rPr>
          <w:sz w:val="24"/>
          <w:lang w:val="fi-FI"/>
        </w:rPr>
        <w:t>Clemente</w:t>
      </w:r>
      <w:proofErr w:type="spellEnd"/>
      <w:r w:rsidRPr="0010150C">
        <w:rPr>
          <w:sz w:val="24"/>
          <w:lang w:val="fi-FI"/>
        </w:rPr>
        <w:t xml:space="preserve">, C-200/07 ja C-201/07, ECLI:EU:C:2008:579, unionin yleisen tuomioistuimen tuomio 19.3.2010, </w:t>
      </w:r>
      <w:proofErr w:type="spellStart"/>
      <w:r w:rsidRPr="0010150C">
        <w:rPr>
          <w:sz w:val="24"/>
          <w:lang w:val="fi-FI"/>
        </w:rPr>
        <w:t>Gollnisch</w:t>
      </w:r>
      <w:proofErr w:type="spellEnd"/>
      <w:r w:rsidRPr="0010150C">
        <w:rPr>
          <w:sz w:val="24"/>
          <w:lang w:val="fi-FI"/>
        </w:rPr>
        <w:t xml:space="preserve"> v. parlamentti, T-42/06, ECLI:EU:T:2010:102, unionin tuomioistuimen tuomio 6.9.2011, </w:t>
      </w:r>
      <w:proofErr w:type="spellStart"/>
      <w:r w:rsidRPr="0010150C">
        <w:rPr>
          <w:sz w:val="24"/>
          <w:lang w:val="fi-FI"/>
        </w:rPr>
        <w:t>Patriciello</w:t>
      </w:r>
      <w:proofErr w:type="spellEnd"/>
      <w:r w:rsidRPr="0010150C">
        <w:rPr>
          <w:sz w:val="24"/>
          <w:lang w:val="fi-FI"/>
        </w:rPr>
        <w:t xml:space="preserve">, C-163/10, ECLI: EU:C:2011:543, unionin yleisen tuomioistuimen tuomio 17.1.2013, </w:t>
      </w:r>
      <w:proofErr w:type="spellStart"/>
      <w:r w:rsidRPr="0010150C">
        <w:rPr>
          <w:sz w:val="24"/>
          <w:lang w:val="fi-FI"/>
        </w:rPr>
        <w:t>Gollnisch</w:t>
      </w:r>
      <w:proofErr w:type="spellEnd"/>
      <w:r w:rsidRPr="0010150C">
        <w:rPr>
          <w:sz w:val="24"/>
          <w:lang w:val="fi-FI"/>
        </w:rPr>
        <w:t xml:space="preserve"> v. parlamentti, T-346/11 ja T-347/11, ECLI:EU:T:2013:23, unionin tuomioistuimen tuomio 19.12.2019, </w:t>
      </w:r>
      <w:proofErr w:type="spellStart"/>
      <w:r w:rsidRPr="0010150C">
        <w:rPr>
          <w:sz w:val="24"/>
          <w:lang w:val="fi-FI"/>
        </w:rPr>
        <w:t>Junqueras</w:t>
      </w:r>
      <w:proofErr w:type="spellEnd"/>
      <w:r w:rsidRPr="0010150C">
        <w:rPr>
          <w:sz w:val="24"/>
          <w:lang w:val="fi-FI"/>
        </w:rPr>
        <w:t xml:space="preserve"> Vies, C-502/19, ECLI:EU:C:2019:1115 sekä unionin yleisen tuomioistuimen tuomio 5.7.2023, </w:t>
      </w:r>
      <w:proofErr w:type="spellStart"/>
      <w:r w:rsidRPr="0010150C">
        <w:rPr>
          <w:sz w:val="24"/>
          <w:lang w:val="fi-FI"/>
        </w:rPr>
        <w:t>Puigdemont</w:t>
      </w:r>
      <w:proofErr w:type="spellEnd"/>
      <w:r w:rsidRPr="0010150C">
        <w:rPr>
          <w:sz w:val="24"/>
          <w:lang w:val="fi-FI"/>
        </w:rPr>
        <w:t xml:space="preserve"> i </w:t>
      </w:r>
      <w:proofErr w:type="spellStart"/>
      <w:r w:rsidRPr="0010150C">
        <w:rPr>
          <w:sz w:val="24"/>
          <w:lang w:val="fi-FI"/>
        </w:rPr>
        <w:t>Casamajó</w:t>
      </w:r>
      <w:proofErr w:type="spellEnd"/>
      <w:r w:rsidRPr="0010150C">
        <w:rPr>
          <w:sz w:val="24"/>
          <w:lang w:val="fi-FI"/>
        </w:rPr>
        <w:t xml:space="preserve"> ja muut v. parlamentti, T-272/21, ECLI:EU:T:2023:373.</w:t>
      </w:r>
    </w:p>
  </w:footnote>
  <w:footnote w:id="2">
    <w:p w14:paraId="2585B095" w14:textId="77777777" w:rsidR="000023A1" w:rsidRPr="0010150C" w:rsidRDefault="000023A1" w:rsidP="0010150C">
      <w:pPr>
        <w:pStyle w:val="FootnoteText"/>
        <w:ind w:left="567" w:hanging="567"/>
        <w:rPr>
          <w:sz w:val="24"/>
          <w:lang w:val="fi-FI"/>
        </w:rPr>
      </w:pPr>
      <w:r w:rsidRPr="0010150C">
        <w:rPr>
          <w:rStyle w:val="FootnoteReference"/>
          <w:sz w:val="24"/>
          <w:lang w:val="fi-FI"/>
        </w:rPr>
        <w:footnoteRef/>
      </w:r>
      <w:r w:rsidR="0010150C" w:rsidRPr="0010150C">
        <w:rPr>
          <w:sz w:val="24"/>
          <w:lang w:val="fi-FI"/>
        </w:rPr>
        <w:t xml:space="preserve"> </w:t>
      </w:r>
      <w:r w:rsidR="0010150C" w:rsidRPr="0010150C">
        <w:rPr>
          <w:sz w:val="24"/>
          <w:lang w:val="fi-FI"/>
        </w:rPr>
        <w:tab/>
      </w:r>
      <w:r w:rsidRPr="0010150C">
        <w:rPr>
          <w:sz w:val="24"/>
          <w:lang w:val="fi-FI"/>
        </w:rPr>
        <w:t xml:space="preserve">Unionin yleisen tuomioistuimen tuomio 30.4.2019, </w:t>
      </w:r>
      <w:proofErr w:type="spellStart"/>
      <w:r w:rsidRPr="0010150C">
        <w:rPr>
          <w:sz w:val="24"/>
          <w:lang w:val="fi-FI"/>
        </w:rPr>
        <w:t>Briois</w:t>
      </w:r>
      <w:proofErr w:type="spellEnd"/>
      <w:r w:rsidRPr="0010150C">
        <w:rPr>
          <w:sz w:val="24"/>
          <w:lang w:val="fi-FI"/>
        </w:rPr>
        <w:t xml:space="preserve"> v. parlamentti, T-214/18, ECLI:</w:t>
      </w:r>
      <w:proofErr w:type="gramStart"/>
      <w:r w:rsidRPr="0010150C">
        <w:rPr>
          <w:sz w:val="24"/>
          <w:lang w:val="fi-FI"/>
        </w:rPr>
        <w:t>EU:T</w:t>
      </w:r>
      <w:proofErr w:type="gramEnd"/>
      <w:r w:rsidRPr="0010150C">
        <w:rPr>
          <w:sz w:val="24"/>
          <w:lang w:val="fi-FI"/>
        </w:rPr>
        <w: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9/2025"/>
    <w:docVar w:name="dvlangue" w:val="FI"/>
    <w:docVar w:name="dvnumam" w:val="0"/>
    <w:docVar w:name="dvpe" w:val="766.947"/>
    <w:docVar w:name="dvrapporteur" w:val="Esittelijä: "/>
    <w:docVar w:name="dvtitre" w:val="Euroopan parlamentin päätöslauselma xx. huhtikuuta 2025 Jana Nagyován koskemattomuuden pidättämistä koskevasta pyynnöstä(2024/2035(IMM))"/>
  </w:docVars>
  <w:rsids>
    <w:rsidRoot w:val="00E32CCA"/>
    <w:rsid w:val="00002272"/>
    <w:rsid w:val="000023A1"/>
    <w:rsid w:val="00064002"/>
    <w:rsid w:val="000677B9"/>
    <w:rsid w:val="000831BA"/>
    <w:rsid w:val="000A42CC"/>
    <w:rsid w:val="000E7DD9"/>
    <w:rsid w:val="0010095E"/>
    <w:rsid w:val="0010150C"/>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370D"/>
    <w:rsid w:val="007C41F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5F7"/>
    <w:rsid w:val="00A1687D"/>
    <w:rsid w:val="00A43E52"/>
    <w:rsid w:val="00A4678D"/>
    <w:rsid w:val="00A778C7"/>
    <w:rsid w:val="00AB441E"/>
    <w:rsid w:val="00AB6293"/>
    <w:rsid w:val="00AE0928"/>
    <w:rsid w:val="00AF3B82"/>
    <w:rsid w:val="00B12E95"/>
    <w:rsid w:val="00B22876"/>
    <w:rsid w:val="00B44EFE"/>
    <w:rsid w:val="00B558F0"/>
    <w:rsid w:val="00BB64E6"/>
    <w:rsid w:val="00BD48FE"/>
    <w:rsid w:val="00BD7BD8"/>
    <w:rsid w:val="00BE6ADC"/>
    <w:rsid w:val="00C05BFE"/>
    <w:rsid w:val="00C23CD4"/>
    <w:rsid w:val="00C61C0C"/>
    <w:rsid w:val="00C941CB"/>
    <w:rsid w:val="00CC2357"/>
    <w:rsid w:val="00CF071A"/>
    <w:rsid w:val="00D058B8"/>
    <w:rsid w:val="00D44EC2"/>
    <w:rsid w:val="00D56C11"/>
    <w:rsid w:val="00D834A0"/>
    <w:rsid w:val="00D872DF"/>
    <w:rsid w:val="00D91E21"/>
    <w:rsid w:val="00DA7FCD"/>
    <w:rsid w:val="00E32CCA"/>
    <w:rsid w:val="00E365E1"/>
    <w:rsid w:val="00E820A4"/>
    <w:rsid w:val="00EB006A"/>
    <w:rsid w:val="00EB4772"/>
    <w:rsid w:val="00ED169E"/>
    <w:rsid w:val="00ED4235"/>
    <w:rsid w:val="00F04346"/>
    <w:rsid w:val="00F075DC"/>
    <w:rsid w:val="00F149E9"/>
    <w:rsid w:val="00F5134D"/>
    <w:rsid w:val="00F74202"/>
    <w:rsid w:val="00F74C9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3FA94"/>
  <w15:chartTrackingRefBased/>
  <w15:docId w15:val="{CAEDCC76-C8AA-4631-B79A-438F109F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23A1"/>
    <w:pPr>
      <w:spacing w:after="240"/>
      <w:ind w:left="567" w:hanging="567"/>
    </w:pPr>
  </w:style>
  <w:style w:type="paragraph" w:customStyle="1" w:styleId="EPComma">
    <w:name w:val="EPComma"/>
    <w:basedOn w:val="Normal"/>
    <w:rsid w:val="000023A1"/>
    <w:pPr>
      <w:spacing w:before="480" w:after="240"/>
    </w:pPr>
  </w:style>
  <w:style w:type="paragraph" w:styleId="Footer">
    <w:name w:val="footer"/>
    <w:basedOn w:val="Normal"/>
    <w:link w:val="FooterChar"/>
    <w:rsid w:val="00B44EFE"/>
    <w:pPr>
      <w:tabs>
        <w:tab w:val="center" w:pos="4513"/>
        <w:tab w:val="right" w:pos="9026"/>
      </w:tabs>
    </w:pPr>
  </w:style>
  <w:style w:type="character" w:customStyle="1" w:styleId="FooterChar">
    <w:name w:val="Footer Char"/>
    <w:basedOn w:val="DefaultParagraphFont"/>
    <w:link w:val="Footer"/>
    <w:rsid w:val="00B44EFE"/>
    <w:rPr>
      <w:sz w:val="24"/>
      <w:lang w:val="fi-FI"/>
    </w:rPr>
  </w:style>
  <w:style w:type="character" w:styleId="CommentReference">
    <w:name w:val="annotation reference"/>
    <w:basedOn w:val="DefaultParagraphFont"/>
    <w:rsid w:val="00BB64E6"/>
    <w:rPr>
      <w:sz w:val="16"/>
      <w:szCs w:val="16"/>
    </w:rPr>
  </w:style>
  <w:style w:type="paragraph" w:styleId="CommentText">
    <w:name w:val="annotation text"/>
    <w:basedOn w:val="Normal"/>
    <w:link w:val="CommentTextChar"/>
    <w:rsid w:val="00BB64E6"/>
    <w:rPr>
      <w:sz w:val="20"/>
    </w:rPr>
  </w:style>
  <w:style w:type="character" w:customStyle="1" w:styleId="CommentTextChar">
    <w:name w:val="Comment Text Char"/>
    <w:basedOn w:val="DefaultParagraphFont"/>
    <w:link w:val="CommentText"/>
    <w:rsid w:val="00BB64E6"/>
    <w:rPr>
      <w:lang w:val="fi-FI"/>
    </w:rPr>
  </w:style>
  <w:style w:type="paragraph" w:styleId="CommentSubject">
    <w:name w:val="annotation subject"/>
    <w:basedOn w:val="CommentText"/>
    <w:next w:val="CommentText"/>
    <w:link w:val="CommentSubjectChar"/>
    <w:rsid w:val="00BB64E6"/>
    <w:rPr>
      <w:b/>
      <w:bCs/>
    </w:rPr>
  </w:style>
  <w:style w:type="character" w:customStyle="1" w:styleId="CommentSubjectChar">
    <w:name w:val="Comment Subject Char"/>
    <w:basedOn w:val="CommentTextChar"/>
    <w:link w:val="CommentSubject"/>
    <w:rsid w:val="00BB64E6"/>
    <w:rPr>
      <w:b/>
      <w:bCs/>
      <w:lang w:val="fi-FI"/>
    </w:rPr>
  </w:style>
  <w:style w:type="paragraph" w:styleId="Revision">
    <w:name w:val="Revision"/>
    <w:hidden/>
    <w:uiPriority w:val="99"/>
    <w:semiHidden/>
    <w:rsid w:val="00BB64E6"/>
    <w:rPr>
      <w:sz w:val="24"/>
      <w:lang w:val="fi-FI"/>
    </w:rPr>
  </w:style>
  <w:style w:type="paragraph" w:styleId="BalloonText">
    <w:name w:val="Balloon Text"/>
    <w:basedOn w:val="Normal"/>
    <w:link w:val="BalloonTextChar"/>
    <w:rsid w:val="00BB64E6"/>
    <w:rPr>
      <w:rFonts w:ascii="Segoe UI" w:hAnsi="Segoe UI" w:cs="Segoe UI"/>
      <w:sz w:val="18"/>
      <w:szCs w:val="18"/>
    </w:rPr>
  </w:style>
  <w:style w:type="character" w:customStyle="1" w:styleId="BalloonTextChar">
    <w:name w:val="Balloon Text Char"/>
    <w:basedOn w:val="DefaultParagraphFont"/>
    <w:link w:val="BalloonText"/>
    <w:rsid w:val="00BB64E6"/>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B796-1D3E-496C-8120-4FBF8E322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2025-04-01T09:03:00Z</dcterms:created>
  <dcterms:modified xsi:type="dcterms:W3CDTF">2025-04-01T09:03:00Z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A10-0029/2025</vt:lpwstr>
  </property>
  <property fmtid="{D5CDD505-2E9C-101B-9397-08002B2CF9AE}" pid="4" name="&lt;Type&gt;">
    <vt:lpwstr>RR</vt:lpwstr>
  </property>
</Properties>
</file>