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CDC" w14:paraId="6290B0F0" w14:textId="77777777" w:rsidTr="0010095E">
        <w:trPr>
          <w:trHeight w:hRule="exact" w:val="1418"/>
        </w:trPr>
        <w:tc>
          <w:tcPr>
            <w:tcW w:w="6804" w:type="dxa"/>
            <w:shd w:val="clear" w:color="auto" w:fill="auto"/>
            <w:vAlign w:val="center"/>
          </w:tcPr>
          <w:p w14:paraId="5971364B" w14:textId="77777777" w:rsidR="00751A4A" w:rsidRPr="00386CDC" w:rsidRDefault="00CA06F8" w:rsidP="0010095E">
            <w:pPr>
              <w:pStyle w:val="EPName"/>
            </w:pPr>
            <w:r w:rsidRPr="00386CDC">
              <w:t>Europski parlament</w:t>
            </w:r>
          </w:p>
          <w:p w14:paraId="673CC86A" w14:textId="77777777" w:rsidR="00751A4A" w:rsidRPr="00386CDC" w:rsidRDefault="005F1B17" w:rsidP="005F1B17">
            <w:pPr>
              <w:pStyle w:val="EPTerm"/>
              <w:rPr>
                <w:rStyle w:val="HideTWBExt"/>
                <w:noProof w:val="0"/>
                <w:vanish w:val="0"/>
                <w:color w:val="auto"/>
              </w:rPr>
            </w:pPr>
            <w:r w:rsidRPr="00386CDC">
              <w:t>2024</w:t>
            </w:r>
            <w:r w:rsidR="00817416" w:rsidRPr="00386CDC">
              <w:t>-202</w:t>
            </w:r>
            <w:r w:rsidRPr="00386CDC">
              <w:t>9</w:t>
            </w:r>
          </w:p>
        </w:tc>
        <w:tc>
          <w:tcPr>
            <w:tcW w:w="2268" w:type="dxa"/>
            <w:shd w:val="clear" w:color="auto" w:fill="auto"/>
          </w:tcPr>
          <w:p w14:paraId="21E17D4D" w14:textId="77777777" w:rsidR="00751A4A" w:rsidRPr="00386CDC" w:rsidRDefault="00187494" w:rsidP="0010095E">
            <w:pPr>
              <w:pStyle w:val="EPLogo"/>
            </w:pPr>
            <w:r w:rsidRPr="00386CDC">
              <w:rPr>
                <w:noProof/>
                <w:lang w:val="en-GB" w:eastAsia="zh-CN"/>
              </w:rPr>
              <w:drawing>
                <wp:inline distT="0" distB="0" distL="0" distR="0" wp14:anchorId="7ACBA344" wp14:editId="71434E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E0C957" w14:textId="77777777" w:rsidR="00D058B8" w:rsidRPr="00386CDC" w:rsidRDefault="00D058B8" w:rsidP="004C5D52">
      <w:pPr>
        <w:pStyle w:val="LineTop"/>
      </w:pPr>
    </w:p>
    <w:p w14:paraId="41990CDC" w14:textId="77777777" w:rsidR="00680577" w:rsidRPr="00386CDC" w:rsidRDefault="00CA06F8" w:rsidP="00680577">
      <w:pPr>
        <w:pStyle w:val="EPBodyTA1"/>
      </w:pPr>
      <w:r w:rsidRPr="00386CDC">
        <w:t>USVOJENI TEKSTOVI</w:t>
      </w:r>
    </w:p>
    <w:p w14:paraId="278F303C" w14:textId="77777777" w:rsidR="00D058B8" w:rsidRPr="00386CDC" w:rsidRDefault="00D058B8" w:rsidP="00D058B8">
      <w:pPr>
        <w:pStyle w:val="LineBottom"/>
      </w:pPr>
    </w:p>
    <w:p w14:paraId="3B3A3F3F" w14:textId="7CF7D441" w:rsidR="00CA06F8" w:rsidRPr="00386CDC" w:rsidRDefault="00CA06F8" w:rsidP="00CA06F8">
      <w:pPr>
        <w:pStyle w:val="ATHeading1"/>
      </w:pPr>
      <w:bookmarkStart w:id="0" w:name="TANumber"/>
      <w:r w:rsidRPr="00386CDC">
        <w:t>P10_TA(2025)00</w:t>
      </w:r>
      <w:bookmarkStart w:id="1" w:name="_GoBack"/>
      <w:bookmarkEnd w:id="1"/>
      <w:r w:rsidR="005E41C0">
        <w:t>4</w:t>
      </w:r>
      <w:r w:rsidRPr="00386CDC">
        <w:t>0</w:t>
      </w:r>
      <w:bookmarkEnd w:id="0"/>
    </w:p>
    <w:p w14:paraId="4499185F" w14:textId="77777777" w:rsidR="00CA06F8" w:rsidRPr="00AD4750" w:rsidRDefault="00AD4750" w:rsidP="00CA06F8">
      <w:pPr>
        <w:pStyle w:val="ATHeading2"/>
        <w:rPr>
          <w:szCs w:val="28"/>
        </w:rPr>
      </w:pPr>
      <w:bookmarkStart w:id="2" w:name="title"/>
      <w:r w:rsidRPr="00AD4750">
        <w:rPr>
          <w:bCs/>
          <w:szCs w:val="28"/>
          <w:shd w:val="clear" w:color="auto" w:fill="FFFFFF"/>
        </w:rPr>
        <w:t>Zahtjev za ukidanje imuniteta Jani Nagyovoj</w:t>
      </w:r>
      <w:bookmarkEnd w:id="2"/>
    </w:p>
    <w:p w14:paraId="4048CF1A" w14:textId="77777777" w:rsidR="00CA06F8" w:rsidRPr="00386CDC" w:rsidRDefault="00CA06F8" w:rsidP="00CA06F8">
      <w:pPr>
        <w:rPr>
          <w:i/>
          <w:vanish/>
        </w:rPr>
      </w:pPr>
      <w:r w:rsidRPr="00386CDC">
        <w:rPr>
          <w:i/>
        </w:rPr>
        <w:fldChar w:fldCharType="begin"/>
      </w:r>
      <w:r w:rsidRPr="00386CDC">
        <w:rPr>
          <w:i/>
        </w:rPr>
        <w:instrText xml:space="preserve"> TC"(</w:instrText>
      </w:r>
      <w:bookmarkStart w:id="3" w:name="DocNumber"/>
      <w:r w:rsidRPr="00386CDC">
        <w:rPr>
          <w:i/>
        </w:rPr>
        <w:instrText>A10-0029/2025</w:instrText>
      </w:r>
      <w:bookmarkEnd w:id="3"/>
      <w:r w:rsidRPr="00386CDC">
        <w:rPr>
          <w:i/>
        </w:rPr>
        <w:instrText xml:space="preserve"> - Izvjestitelj: Krzysztof Śmiszek)"\l3 \n&gt; \* MERGEFORMAT </w:instrText>
      </w:r>
      <w:r w:rsidRPr="00386CDC">
        <w:rPr>
          <w:i/>
        </w:rPr>
        <w:fldChar w:fldCharType="end"/>
      </w:r>
    </w:p>
    <w:p w14:paraId="443DE313" w14:textId="77777777" w:rsidR="00CA06F8" w:rsidRPr="00386CDC" w:rsidRDefault="00CA06F8" w:rsidP="00CA06F8">
      <w:pPr>
        <w:rPr>
          <w:vanish/>
        </w:rPr>
      </w:pPr>
      <w:bookmarkStart w:id="4" w:name="Commission"/>
      <w:r w:rsidRPr="00386CDC">
        <w:rPr>
          <w:vanish/>
        </w:rPr>
        <w:t>Odbor za pravna pitanja</w:t>
      </w:r>
      <w:bookmarkEnd w:id="4"/>
    </w:p>
    <w:p w14:paraId="153D2673" w14:textId="77777777" w:rsidR="00CA06F8" w:rsidRPr="00386CDC" w:rsidRDefault="00CA06F8" w:rsidP="00CA06F8">
      <w:pPr>
        <w:rPr>
          <w:vanish/>
        </w:rPr>
      </w:pPr>
      <w:bookmarkStart w:id="5" w:name="PE"/>
      <w:r w:rsidRPr="00386CDC">
        <w:rPr>
          <w:vanish/>
        </w:rPr>
        <w:t>PE766.947</w:t>
      </w:r>
      <w:bookmarkEnd w:id="5"/>
    </w:p>
    <w:p w14:paraId="65F8B562" w14:textId="77777777" w:rsidR="00CA06F8" w:rsidRPr="00386CDC" w:rsidRDefault="00CA06F8" w:rsidP="00CA06F8">
      <w:pPr>
        <w:pStyle w:val="ATHeading3"/>
      </w:pPr>
      <w:bookmarkStart w:id="6" w:name="Sujet"/>
      <w:r w:rsidRPr="00386CDC">
        <w:t>Od</w:t>
      </w:r>
      <w:r w:rsidR="00386CDC">
        <w:t>luka Europskog parlamenta od 1</w:t>
      </w:r>
      <w:r w:rsidRPr="00386CDC">
        <w:t xml:space="preserve">. </w:t>
      </w:r>
      <w:r w:rsidR="00386CDC">
        <w:t xml:space="preserve">travnja </w:t>
      </w:r>
      <w:r w:rsidRPr="00386CDC">
        <w:t>2025. o zahtjevu za ukidanje imuniteta Jani Nagyovoj</w:t>
      </w:r>
      <w:bookmarkEnd w:id="6"/>
      <w:r w:rsidRPr="00386CDC">
        <w:t xml:space="preserve"> </w:t>
      </w:r>
      <w:bookmarkStart w:id="7" w:name="References"/>
      <w:r w:rsidRPr="00386CDC">
        <w:t>(2024/2035(IMM))</w:t>
      </w:r>
      <w:bookmarkEnd w:id="7"/>
    </w:p>
    <w:p w14:paraId="115365DE" w14:textId="77777777" w:rsidR="00C33A8F" w:rsidRPr="00386CDC" w:rsidRDefault="00C33A8F" w:rsidP="00C33A8F">
      <w:pPr>
        <w:pStyle w:val="EPComma"/>
      </w:pPr>
      <w:bookmarkStart w:id="8" w:name="TextBodyBegin"/>
      <w:bookmarkEnd w:id="8"/>
      <w:r w:rsidRPr="00386CDC">
        <w:rPr>
          <w:i/>
        </w:rPr>
        <w:t>Europski parlament</w:t>
      </w:r>
      <w:r w:rsidRPr="00386CDC">
        <w:t>,</w:t>
      </w:r>
    </w:p>
    <w:p w14:paraId="4777B364" w14:textId="77777777" w:rsidR="00C33A8F" w:rsidRPr="00386CDC" w:rsidRDefault="00C33A8F" w:rsidP="004E4363">
      <w:pPr>
        <w:pStyle w:val="NormalHanging12a"/>
      </w:pPr>
      <w:r w:rsidRPr="00386CDC">
        <w:t>–</w:t>
      </w:r>
      <w:r w:rsidRPr="00386CDC">
        <w:tab/>
        <w:t>uzimajući u obzir zahtjev za ukidanje imuniteta Jani Nagyovoj od 1. srpnja 2024., koji je Visoki sud u Pragu podnio u vezi s kaznenim postupkom u tijeku pred tim sudom na temelju žalbe, pod brojem 3 To 34/2024, i koji je objavljen na plenarnoj sjednici 19. srpnja 2024.,</w:t>
      </w:r>
    </w:p>
    <w:p w14:paraId="5629D094" w14:textId="77777777" w:rsidR="00C33A8F" w:rsidRPr="00386CDC" w:rsidRDefault="00C33A8F" w:rsidP="004E4363">
      <w:pPr>
        <w:pStyle w:val="NormalHanging12a"/>
      </w:pPr>
      <w:r w:rsidRPr="00386CDC">
        <w:t>–</w:t>
      </w:r>
      <w:r w:rsidRPr="00386CDC">
        <w:tab/>
        <w:t>nakon saslušanja Jane Nagyove 29. siječnja 2025. u skladu s člankom 9. stavkom 6. Poslovnika,</w:t>
      </w:r>
    </w:p>
    <w:p w14:paraId="1D33A206" w14:textId="77777777" w:rsidR="00C33A8F" w:rsidRPr="00386CDC" w:rsidRDefault="00C33A8F" w:rsidP="004E4363">
      <w:pPr>
        <w:pStyle w:val="NormalHanging12a"/>
      </w:pPr>
      <w:r w:rsidRPr="00386CDC">
        <w:t>–</w:t>
      </w:r>
      <w:r w:rsidRPr="00386CDC">
        <w:tab/>
        <w:t>uzimajući u obzir članke 8. i 9. Protokola br. 7 o povlasticama i imunitetima Europske unije te članak 6. stavak 2. Akta od 20. rujna 1976. o izboru zastupnika u Europski parlament neposrednim općim izborima,</w:t>
      </w:r>
    </w:p>
    <w:p w14:paraId="60DB7501" w14:textId="77777777" w:rsidR="00C33A8F" w:rsidRPr="00386CDC" w:rsidRDefault="00C33A8F" w:rsidP="004E4363">
      <w:pPr>
        <w:pStyle w:val="NormalHanging12a"/>
      </w:pPr>
      <w:r w:rsidRPr="00386CDC">
        <w:t>–</w:t>
      </w:r>
      <w:r w:rsidRPr="00386CDC">
        <w:tab/>
        <w:t>uzimajući u obzir presude Suda Europske unije od 21. listopada 2008., 19. ožujka 2010., 6. rujna 2011., 17. siječnja 2013., 19. prosinca 2019. i 5. srpnja 2023.</w:t>
      </w:r>
      <w:r w:rsidRPr="00386CDC">
        <w:rPr>
          <w:rStyle w:val="FootnoteReference"/>
        </w:rPr>
        <w:footnoteReference w:id="1"/>
      </w:r>
      <w:r w:rsidRPr="00386CDC">
        <w:t>,</w:t>
      </w:r>
    </w:p>
    <w:p w14:paraId="5E248360" w14:textId="25CC5E5A" w:rsidR="00C33A8F" w:rsidRPr="00386CDC" w:rsidRDefault="00C33A8F" w:rsidP="004E4363">
      <w:pPr>
        <w:pStyle w:val="NormalHanging12a"/>
      </w:pPr>
      <w:r w:rsidRPr="00386CDC">
        <w:t>–</w:t>
      </w:r>
      <w:r w:rsidRPr="00386CDC">
        <w:tab/>
        <w:t>uzimajući u obzir članak 27. Ustava Češke Republike i članak l0. stavak 1. Zakona br. 141/1961 Zb. o kaznenom postupku (Zakon o kaznenom postupku</w:t>
      </w:r>
      <w:r w:rsidR="007D3BAC">
        <w:t xml:space="preserve"> Češke</w:t>
      </w:r>
      <w:r w:rsidR="007D3BAC" w:rsidRPr="007D3BAC">
        <w:t xml:space="preserve"> </w:t>
      </w:r>
      <w:r w:rsidR="007D3BAC">
        <w:t>Republike</w:t>
      </w:r>
      <w:r w:rsidRPr="00386CDC">
        <w:t>),</w:t>
      </w:r>
    </w:p>
    <w:p w14:paraId="39D0D5D0" w14:textId="77777777" w:rsidR="00C33A8F" w:rsidRPr="00386CDC" w:rsidRDefault="00C33A8F" w:rsidP="004E4363">
      <w:pPr>
        <w:pStyle w:val="NormalHanging12a"/>
      </w:pPr>
      <w:r w:rsidRPr="00386CDC">
        <w:t>–</w:t>
      </w:r>
      <w:r w:rsidRPr="00386CDC">
        <w:tab/>
        <w:t>uzimajući u obzir članak 5. stavak 2., članak 6. stavak 1. i članak 9. Poslovnika,</w:t>
      </w:r>
    </w:p>
    <w:p w14:paraId="1BA76189" w14:textId="77777777" w:rsidR="00C33A8F" w:rsidRPr="00386CDC" w:rsidRDefault="00C33A8F" w:rsidP="004E4363">
      <w:pPr>
        <w:pStyle w:val="NormalHanging12a"/>
      </w:pPr>
      <w:r w:rsidRPr="00386CDC">
        <w:lastRenderedPageBreak/>
        <w:t>–</w:t>
      </w:r>
      <w:r w:rsidRPr="00386CDC">
        <w:tab/>
        <w:t>uzimajući u obzir izvješće Odbora za pravna pitanja (A10</w:t>
      </w:r>
      <w:r w:rsidRPr="00386CDC">
        <w:noBreakHyphen/>
        <w:t>0029/2025),</w:t>
      </w:r>
    </w:p>
    <w:p w14:paraId="7F55777E" w14:textId="61519BB5" w:rsidR="00C33A8F" w:rsidRPr="00386CDC" w:rsidRDefault="00C33A8F" w:rsidP="004E4363">
      <w:pPr>
        <w:pStyle w:val="NormalHanging12a"/>
      </w:pPr>
      <w:r w:rsidRPr="00386CDC">
        <w:t>A.</w:t>
      </w:r>
      <w:r w:rsidRPr="00386CDC">
        <w:tab/>
        <w:t>budući da je Visoki sud u Pragu 1. srpnja 2024. podnio zahtjev za ukidanje parlamentarnog imuniteta Jani Nagyovoj, zastupnici u Europskom parlamentu izabranoj u Češkoj</w:t>
      </w:r>
      <w:r w:rsidR="007D3BAC">
        <w:t xml:space="preserve"> Republici</w:t>
      </w:r>
      <w:r w:rsidRPr="00386CDC">
        <w:t>, radi nastavka kaznenog postupka koji je na temelju žalbe u tijeku pred tim sudom, u vezi s optužbom za počinjenje kaznenog djela prijevare povezane s bespovratnim sredstvima na temelju članka 212. stavka 1. i stavka 6. točke (a) te kaznenim djelom štete financijskim interesima Europske unije na temelju članka 260. stavaka 1. i 5. Zakona br. 40/2009 Zb. (Kazneni zakon Češke</w:t>
      </w:r>
      <w:r w:rsidR="007D3BAC">
        <w:t xml:space="preserve"> Republike</w:t>
      </w:r>
      <w:r w:rsidRPr="00386CDC">
        <w:t>);</w:t>
      </w:r>
    </w:p>
    <w:p w14:paraId="0CD61BDB" w14:textId="2C4C6190" w:rsidR="00C33A8F" w:rsidRPr="00386CDC" w:rsidRDefault="00C33A8F" w:rsidP="004E4363">
      <w:pPr>
        <w:pStyle w:val="NormalHanging12a"/>
      </w:pPr>
      <w:r w:rsidRPr="00386CDC">
        <w:t>B.</w:t>
      </w:r>
      <w:r w:rsidRPr="00386CDC">
        <w:tab/>
        <w:t>budući da se kazneni postupak protiv Jane Nagyove vodi na temelju optužnice Općinskog državnog odvjetništva u Pragu od 21. ožujka 2022. za djelo koje je navodno počinila zajedno sa suoptuženikom, uz obrazloženje da je u svojstvu stručnjakinje u području bespovratnih sredstava</w:t>
      </w:r>
      <w:r w:rsidR="007D3BAC">
        <w:t xml:space="preserve"> Unije</w:t>
      </w:r>
      <w:r w:rsidRPr="00386CDC">
        <w:t xml:space="preserve"> te u razdoblju od 17. siječnja 2008. do 5. siječnja 2010. kao potpredsjednica upravnog odbora jednog češkog poduzeća zatražila bespovratna sredstva znajući da to poduzeće na njih nije imalo pravo te je lažno navela da se radi o malom i neovisnom poduzeću;</w:t>
      </w:r>
    </w:p>
    <w:p w14:paraId="0CF7566F" w14:textId="09479401" w:rsidR="00C33A8F" w:rsidRPr="00386CDC" w:rsidRDefault="00C33A8F" w:rsidP="004E4363">
      <w:pPr>
        <w:pStyle w:val="NormalHanging12a"/>
      </w:pPr>
      <w:r w:rsidRPr="00386CDC">
        <w:t>C.</w:t>
      </w:r>
      <w:r w:rsidRPr="00386CDC">
        <w:tab/>
        <w:t xml:space="preserve">budući da je svrha </w:t>
      </w:r>
      <w:r w:rsidR="004F7DC6">
        <w:t>parlamentarnog</w:t>
      </w:r>
      <w:r w:rsidRPr="00386CDC">
        <w:t xml:space="preserve"> imuniteta zaštititi Parlament i njegove zastupnike od sudskih postupaka u vezi s aktivnostima koje se provode pri obnašanju zastupničkih dužnosti i koje se od tih dužnosti ne mogu odvojiti;</w:t>
      </w:r>
    </w:p>
    <w:p w14:paraId="07BBAACF" w14:textId="77777777" w:rsidR="00C33A8F" w:rsidRPr="00386CDC" w:rsidRDefault="00C33A8F" w:rsidP="004E4363">
      <w:pPr>
        <w:pStyle w:val="NormalHanging12a"/>
      </w:pPr>
      <w:r w:rsidRPr="00386CDC">
        <w:t>D.</w:t>
      </w:r>
      <w:r w:rsidRPr="00386CDC">
        <w:tab/>
        <w:t>budući da navodna kaznena djela nisu povezana s izraženim mišljenjima ili glasovanjem pri obnašanju dužnosti zastupnika u Europskom parlamentu u smislu članka 8. Protokola br. 7 o povlasticama i imunitetima Europske unije;</w:t>
      </w:r>
    </w:p>
    <w:p w14:paraId="45946971" w14:textId="77777777" w:rsidR="00C33A8F" w:rsidRPr="00386CDC" w:rsidRDefault="00C33A8F" w:rsidP="004E4363">
      <w:pPr>
        <w:pStyle w:val="NormalHanging12a"/>
      </w:pPr>
      <w:r w:rsidRPr="00386CDC">
        <w:t>E.</w:t>
      </w:r>
      <w:r w:rsidRPr="00386CDC">
        <w:tab/>
        <w:t>budući da u skladu s člankom 9. prvim stavkom točkom (a) Protokola br. 7 o povlasticama i imunitetima Europske unije zastupnici u Europskom parlamentu na nacionalnom području svoje države uživaju imunitet priznat zastupnicima parlamenta te države;</w:t>
      </w:r>
    </w:p>
    <w:p w14:paraId="699DEE43" w14:textId="77777777" w:rsidR="00C33A8F" w:rsidRPr="00386CDC" w:rsidRDefault="00C33A8F" w:rsidP="004E4363">
      <w:pPr>
        <w:pStyle w:val="NormalHanging12a"/>
      </w:pPr>
      <w:r w:rsidRPr="00386CDC">
        <w:t>F.</w:t>
      </w:r>
      <w:r w:rsidRPr="00386CDC">
        <w:tab/>
        <w:t>budući da se u članku 27. stavku 4. Ustava Češke Republike navodi da je kazneni progon zastupnika i senatora moguć samo uz suglasnost doma čiji su članovi, a ako taj dom ne da svoju suglasnost, kazneni progon obustavlja se do isteka njihova mandata;</w:t>
      </w:r>
    </w:p>
    <w:p w14:paraId="6ACA74DA" w14:textId="77777777" w:rsidR="00C33A8F" w:rsidRPr="00386CDC" w:rsidRDefault="00C33A8F" w:rsidP="004E4363">
      <w:pPr>
        <w:pStyle w:val="NormalHanging12a"/>
      </w:pPr>
      <w:r w:rsidRPr="00386CDC">
        <w:t>G.</w:t>
      </w:r>
      <w:r w:rsidRPr="00386CDC">
        <w:tab/>
        <w:t xml:space="preserve">budući da u ovom slučaju Parlament nije pronašao dokaze o postojanju </w:t>
      </w:r>
      <w:r w:rsidRPr="00386CDC">
        <w:rPr>
          <w:i/>
          <w:iCs/>
        </w:rPr>
        <w:t>fumus persecutionis</w:t>
      </w:r>
      <w:r w:rsidRPr="00386CDC">
        <w:t>, odnosno o postojanju činjeničnih elemenata koji bi upućivali na to da se pravnim postupkom nastoji nanijeti šteta političkoj aktivnosti zastupnice, a time i Europskom parlamentu;</w:t>
      </w:r>
    </w:p>
    <w:p w14:paraId="73F1BA57" w14:textId="77777777" w:rsidR="00C33A8F" w:rsidRPr="00386CDC" w:rsidRDefault="00C33A8F" w:rsidP="004E4363">
      <w:pPr>
        <w:pStyle w:val="NormalHanging12a"/>
      </w:pPr>
      <w:r w:rsidRPr="00386CDC">
        <w:t>H.</w:t>
      </w:r>
      <w:r w:rsidRPr="00386CDC">
        <w:tab/>
        <w:t>budući da Parlament ne može preuzeti ulogu suda te da se zastupnik u kontekstu postupka ukidanja imuniteta ne može smatrati optuženikom</w:t>
      </w:r>
      <w:r w:rsidRPr="00386CDC">
        <w:rPr>
          <w:rStyle w:val="FootnoteReference"/>
          <w:color w:val="000000"/>
        </w:rPr>
        <w:footnoteReference w:id="2"/>
      </w:r>
      <w:r w:rsidRPr="00386CDC">
        <w:t>;</w:t>
      </w:r>
    </w:p>
    <w:p w14:paraId="1B869238" w14:textId="77777777" w:rsidR="00C33A8F" w:rsidRPr="00386CDC" w:rsidRDefault="00C33A8F" w:rsidP="004E4363">
      <w:pPr>
        <w:pStyle w:val="NormalHanging12a"/>
      </w:pPr>
      <w:r w:rsidRPr="00386CDC">
        <w:t>1.</w:t>
      </w:r>
      <w:r w:rsidRPr="00386CDC">
        <w:tab/>
        <w:t>odlučuje ukinuti imunitet Jani Nagyovoj;</w:t>
      </w:r>
    </w:p>
    <w:p w14:paraId="14A43681" w14:textId="77777777" w:rsidR="00E365E1" w:rsidRPr="00386CDC" w:rsidRDefault="00C33A8F" w:rsidP="004E4363">
      <w:pPr>
        <w:ind w:left="567" w:hanging="567"/>
      </w:pPr>
      <w:r w:rsidRPr="00386CDC">
        <w:t>2.</w:t>
      </w:r>
      <w:r w:rsidRPr="00386CDC">
        <w:tab/>
        <w:t>nalaže svojoj predsjednici da odmah proslijedi ovu Odluku i izvješće nadležnog odbora nadležnom tijelu Češke Republike i Jani Nagyovoj.</w:t>
      </w:r>
    </w:p>
    <w:sectPr w:rsidR="00E365E1" w:rsidRPr="00386CDC" w:rsidSect="00AD204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B43E0" w14:textId="77777777" w:rsidR="00CA06F8" w:rsidRPr="00AD2047" w:rsidRDefault="00CA06F8">
      <w:r w:rsidRPr="00AD2047">
        <w:separator/>
      </w:r>
    </w:p>
  </w:endnote>
  <w:endnote w:type="continuationSeparator" w:id="0">
    <w:p w14:paraId="1BAAF981" w14:textId="77777777" w:rsidR="00CA06F8" w:rsidRPr="00AD2047" w:rsidRDefault="00CA06F8">
      <w:r w:rsidRPr="00AD20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09144" w14:textId="77777777" w:rsidR="00064002" w:rsidRPr="00AD20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92101" w14:textId="77777777" w:rsidR="00064002" w:rsidRPr="00AD20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13902" w14:textId="77777777" w:rsidR="00064002" w:rsidRPr="00AD20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177C7" w14:textId="77777777" w:rsidR="00CA06F8" w:rsidRPr="00AD2047" w:rsidRDefault="00CA06F8">
      <w:r w:rsidRPr="00AD2047">
        <w:separator/>
      </w:r>
    </w:p>
  </w:footnote>
  <w:footnote w:type="continuationSeparator" w:id="0">
    <w:p w14:paraId="1AA4B0B4" w14:textId="77777777" w:rsidR="00CA06F8" w:rsidRPr="00AD2047" w:rsidRDefault="00CA06F8">
      <w:r w:rsidRPr="00AD2047">
        <w:continuationSeparator/>
      </w:r>
    </w:p>
  </w:footnote>
  <w:footnote w:id="1">
    <w:p w14:paraId="361E70CF" w14:textId="77777777" w:rsidR="00C33A8F" w:rsidRPr="00AD2047" w:rsidRDefault="00C33A8F" w:rsidP="00AD2047">
      <w:pPr>
        <w:pStyle w:val="FootnoteText"/>
        <w:ind w:left="567" w:hanging="567"/>
        <w:rPr>
          <w:sz w:val="24"/>
          <w:lang w:val="hr-HR"/>
        </w:rPr>
      </w:pPr>
      <w:r w:rsidRPr="00AD2047">
        <w:rPr>
          <w:rStyle w:val="FootnoteReference"/>
          <w:sz w:val="24"/>
          <w:lang w:val="hr-HR"/>
        </w:rPr>
        <w:footnoteRef/>
      </w:r>
      <w:r w:rsidR="00AD2047" w:rsidRPr="00AD2047">
        <w:rPr>
          <w:sz w:val="24"/>
          <w:lang w:val="hr-HR"/>
        </w:rPr>
        <w:t xml:space="preserve"> </w:t>
      </w:r>
      <w:r w:rsidR="00AD2047" w:rsidRPr="00AD2047">
        <w:rPr>
          <w:sz w:val="24"/>
          <w:lang w:val="hr-HR"/>
        </w:rPr>
        <w:tab/>
      </w:r>
      <w:r w:rsidRPr="00AD2047">
        <w:rPr>
          <w:sz w:val="24"/>
          <w:lang w:val="hr-HR"/>
        </w:rPr>
        <w:t xml:space="preserve">Presuda Suda od 21. listopada 2008., </w:t>
      </w:r>
      <w:r w:rsidRPr="00AD2047">
        <w:rPr>
          <w:i/>
          <w:sz w:val="24"/>
          <w:lang w:val="hr-HR"/>
        </w:rPr>
        <w:t>Marra / De Gregorio i Clemente</w:t>
      </w:r>
      <w:r w:rsidRPr="00AD2047">
        <w:rPr>
          <w:sz w:val="24"/>
          <w:lang w:val="hr-HR"/>
        </w:rPr>
        <w:t xml:space="preserve">, C 200/07 i C-201/07, ECLI:EU:C:2008:579; presuda Općeg suda od 19. ožujka 2010., </w:t>
      </w:r>
      <w:r w:rsidRPr="00AD2047">
        <w:rPr>
          <w:i/>
          <w:sz w:val="24"/>
          <w:lang w:val="hr-HR"/>
        </w:rPr>
        <w:t>Gollnisch/Parlament</w:t>
      </w:r>
      <w:r w:rsidRPr="00AD2047">
        <w:rPr>
          <w:sz w:val="24"/>
          <w:lang w:val="hr-HR"/>
        </w:rPr>
        <w:t xml:space="preserve">, T-42/06, ECLI:EU:T:2010:102; presuda Suda od 6. rujna 2011., </w:t>
      </w:r>
      <w:r w:rsidRPr="00AD2047">
        <w:rPr>
          <w:i/>
          <w:sz w:val="24"/>
          <w:lang w:val="hr-HR"/>
        </w:rPr>
        <w:t>Patriciello</w:t>
      </w:r>
      <w:r w:rsidRPr="00AD2047">
        <w:rPr>
          <w:sz w:val="24"/>
          <w:lang w:val="hr-HR"/>
        </w:rPr>
        <w:t xml:space="preserve">, C 163/10, ECLI: EU:C:2011:543; presuda Općeg suda od 17. siječnja 2013., </w:t>
      </w:r>
      <w:r w:rsidRPr="00AD2047">
        <w:rPr>
          <w:i/>
          <w:sz w:val="24"/>
          <w:lang w:val="hr-HR"/>
        </w:rPr>
        <w:t>Gollnisch/Parlament</w:t>
      </w:r>
      <w:r w:rsidRPr="00AD2047">
        <w:rPr>
          <w:sz w:val="24"/>
          <w:lang w:val="hr-HR"/>
        </w:rPr>
        <w:t xml:space="preserve">, T-346/11 i T-347/11, ECLI:EU:T:2013:23.; presuda Suda od 19. prosinca 2019., </w:t>
      </w:r>
      <w:r w:rsidRPr="00AD2047">
        <w:rPr>
          <w:i/>
          <w:sz w:val="24"/>
          <w:lang w:val="hr-HR"/>
        </w:rPr>
        <w:t>Junqueras Vies</w:t>
      </w:r>
      <w:r w:rsidRPr="00AD2047">
        <w:rPr>
          <w:sz w:val="24"/>
          <w:lang w:val="hr-HR"/>
        </w:rPr>
        <w:t xml:space="preserve">, C-502/19, ECLI:EU:C:2019:1115. presuda Općeg suda od 5. srpnja 2023., </w:t>
      </w:r>
      <w:r w:rsidRPr="00AD2047">
        <w:rPr>
          <w:i/>
          <w:sz w:val="24"/>
          <w:lang w:val="hr-HR"/>
        </w:rPr>
        <w:t>Puigdemont i Casamajó i dr. / Parlamen</w:t>
      </w:r>
      <w:r w:rsidRPr="00AD2047">
        <w:rPr>
          <w:sz w:val="24"/>
          <w:lang w:val="hr-HR"/>
        </w:rPr>
        <w:t>t, T-272/21, ECLI:EU:T:2023:373.</w:t>
      </w:r>
    </w:p>
  </w:footnote>
  <w:footnote w:id="2">
    <w:p w14:paraId="48DA8479" w14:textId="77777777" w:rsidR="00C33A8F" w:rsidRPr="00AD2047" w:rsidRDefault="00C33A8F" w:rsidP="00AD2047">
      <w:pPr>
        <w:pStyle w:val="FootnoteText"/>
        <w:ind w:left="567" w:hanging="567"/>
        <w:rPr>
          <w:sz w:val="24"/>
          <w:lang w:val="hr-HR"/>
        </w:rPr>
      </w:pPr>
      <w:r w:rsidRPr="00AD2047">
        <w:rPr>
          <w:rStyle w:val="FootnoteReference"/>
          <w:sz w:val="24"/>
          <w:lang w:val="hr-HR"/>
        </w:rPr>
        <w:footnoteRef/>
      </w:r>
      <w:r w:rsidR="00AD2047" w:rsidRPr="00AD2047">
        <w:rPr>
          <w:sz w:val="24"/>
          <w:lang w:val="hr-HR"/>
        </w:rPr>
        <w:t xml:space="preserve"> </w:t>
      </w:r>
      <w:r w:rsidR="00AD2047" w:rsidRPr="00AD2047">
        <w:rPr>
          <w:sz w:val="24"/>
          <w:lang w:val="hr-HR"/>
        </w:rPr>
        <w:tab/>
      </w:r>
      <w:r w:rsidRPr="00AD2047">
        <w:rPr>
          <w:sz w:val="24"/>
          <w:lang w:val="hr-HR"/>
        </w:rPr>
        <w:t xml:space="preserve">Presuda Općeg suda od 30. travnja 2019., </w:t>
      </w:r>
      <w:r w:rsidRPr="00AD2047">
        <w:rPr>
          <w:i/>
          <w:iCs/>
          <w:sz w:val="24"/>
          <w:lang w:val="hr-HR"/>
        </w:rPr>
        <w:t>Briois/Parlament</w:t>
      </w:r>
      <w:r w:rsidRPr="00AD2047">
        <w:rPr>
          <w:sz w:val="24"/>
          <w:lang w:val="hr-HR"/>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813A6" w14:textId="77777777" w:rsidR="00064002" w:rsidRPr="00AD20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0729E" w14:textId="77777777" w:rsidR="00064002" w:rsidRPr="00AD20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9BB5D" w14:textId="77777777" w:rsidR="00064002" w:rsidRPr="00AD20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HR"/>
    <w:docVar w:name="dvnumam" w:val="0"/>
    <w:docVar w:name="dvpe" w:val="766.947"/>
    <w:docVar w:name="dvrapporteur" w:val="Izvjestitelj: "/>
    <w:docVar w:name="dvtitre" w:val="Odluka Europskog parlamenta od .... 2025. o zahtjevu za ukidanje imuniteta Jani Nagyovoj(2024/2035(IMM))"/>
  </w:docVars>
  <w:rsids>
    <w:rsidRoot w:val="00CA06F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6CDC"/>
    <w:rsid w:val="00395FA1"/>
    <w:rsid w:val="003E15D4"/>
    <w:rsid w:val="00411CCE"/>
    <w:rsid w:val="0041666E"/>
    <w:rsid w:val="00421060"/>
    <w:rsid w:val="00471C19"/>
    <w:rsid w:val="004867E3"/>
    <w:rsid w:val="00494A28"/>
    <w:rsid w:val="004C0004"/>
    <w:rsid w:val="004C5D52"/>
    <w:rsid w:val="004E4363"/>
    <w:rsid w:val="004F7DC6"/>
    <w:rsid w:val="0050519A"/>
    <w:rsid w:val="005072A1"/>
    <w:rsid w:val="00514517"/>
    <w:rsid w:val="00545827"/>
    <w:rsid w:val="00560270"/>
    <w:rsid w:val="005C2568"/>
    <w:rsid w:val="005E41C0"/>
    <w:rsid w:val="005F1B17"/>
    <w:rsid w:val="006037C0"/>
    <w:rsid w:val="006631B6"/>
    <w:rsid w:val="00680577"/>
    <w:rsid w:val="006F74FA"/>
    <w:rsid w:val="00731ADD"/>
    <w:rsid w:val="00734777"/>
    <w:rsid w:val="00747932"/>
    <w:rsid w:val="00751A4A"/>
    <w:rsid w:val="00756632"/>
    <w:rsid w:val="00762C74"/>
    <w:rsid w:val="00786EC0"/>
    <w:rsid w:val="007D1690"/>
    <w:rsid w:val="007D3BAC"/>
    <w:rsid w:val="007E22AD"/>
    <w:rsid w:val="00817416"/>
    <w:rsid w:val="00842779"/>
    <w:rsid w:val="00865F67"/>
    <w:rsid w:val="00881A7B"/>
    <w:rsid w:val="008840E5"/>
    <w:rsid w:val="00887B3E"/>
    <w:rsid w:val="008C2AC6"/>
    <w:rsid w:val="00930C23"/>
    <w:rsid w:val="0093193B"/>
    <w:rsid w:val="009509D8"/>
    <w:rsid w:val="00950B64"/>
    <w:rsid w:val="00980859"/>
    <w:rsid w:val="00981893"/>
    <w:rsid w:val="00A1687D"/>
    <w:rsid w:val="00A43E52"/>
    <w:rsid w:val="00A4678D"/>
    <w:rsid w:val="00A778C7"/>
    <w:rsid w:val="00AB441E"/>
    <w:rsid w:val="00AB6293"/>
    <w:rsid w:val="00AD2047"/>
    <w:rsid w:val="00AD4750"/>
    <w:rsid w:val="00AE0928"/>
    <w:rsid w:val="00AF3B82"/>
    <w:rsid w:val="00B12E95"/>
    <w:rsid w:val="00B22876"/>
    <w:rsid w:val="00B558F0"/>
    <w:rsid w:val="00BD48FE"/>
    <w:rsid w:val="00BD7BD8"/>
    <w:rsid w:val="00BE6ADC"/>
    <w:rsid w:val="00C05BFE"/>
    <w:rsid w:val="00C23CD4"/>
    <w:rsid w:val="00C33A8F"/>
    <w:rsid w:val="00C371DE"/>
    <w:rsid w:val="00C61C0C"/>
    <w:rsid w:val="00C941CB"/>
    <w:rsid w:val="00CA06F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AD2CC"/>
  <w15:chartTrackingRefBased/>
  <w15:docId w15:val="{61FAD71B-824B-4C35-9133-F950D8E3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3A8F"/>
    <w:pPr>
      <w:spacing w:after="240"/>
      <w:ind w:left="567" w:hanging="567"/>
    </w:pPr>
  </w:style>
  <w:style w:type="paragraph" w:customStyle="1" w:styleId="EPComma">
    <w:name w:val="EPComma"/>
    <w:basedOn w:val="Normal"/>
    <w:rsid w:val="00C33A8F"/>
    <w:pPr>
      <w:spacing w:before="480" w:after="240"/>
    </w:pPr>
  </w:style>
  <w:style w:type="character" w:styleId="CommentReference">
    <w:name w:val="annotation reference"/>
    <w:basedOn w:val="DefaultParagraphFont"/>
    <w:rsid w:val="004F7DC6"/>
    <w:rPr>
      <w:sz w:val="16"/>
      <w:szCs w:val="16"/>
    </w:rPr>
  </w:style>
  <w:style w:type="paragraph" w:styleId="CommentText">
    <w:name w:val="annotation text"/>
    <w:basedOn w:val="Normal"/>
    <w:link w:val="CommentTextChar"/>
    <w:rsid w:val="004F7DC6"/>
    <w:rPr>
      <w:sz w:val="20"/>
    </w:rPr>
  </w:style>
  <w:style w:type="character" w:customStyle="1" w:styleId="CommentTextChar">
    <w:name w:val="Comment Text Char"/>
    <w:basedOn w:val="DefaultParagraphFont"/>
    <w:link w:val="CommentText"/>
    <w:rsid w:val="004F7DC6"/>
    <w:rPr>
      <w:lang w:val="hr-HR"/>
    </w:rPr>
  </w:style>
  <w:style w:type="paragraph" w:styleId="CommentSubject">
    <w:name w:val="annotation subject"/>
    <w:basedOn w:val="CommentText"/>
    <w:next w:val="CommentText"/>
    <w:link w:val="CommentSubjectChar"/>
    <w:rsid w:val="004F7DC6"/>
    <w:rPr>
      <w:b/>
      <w:bCs/>
    </w:rPr>
  </w:style>
  <w:style w:type="character" w:customStyle="1" w:styleId="CommentSubjectChar">
    <w:name w:val="Comment Subject Char"/>
    <w:basedOn w:val="CommentTextChar"/>
    <w:link w:val="CommentSubject"/>
    <w:rsid w:val="004F7DC6"/>
    <w:rPr>
      <w:b/>
      <w:bCs/>
      <w:lang w:val="hr-HR"/>
    </w:rPr>
  </w:style>
  <w:style w:type="paragraph" w:styleId="BalloonText">
    <w:name w:val="Balloon Text"/>
    <w:basedOn w:val="Normal"/>
    <w:link w:val="BalloonTextChar"/>
    <w:rsid w:val="004F7DC6"/>
    <w:rPr>
      <w:rFonts w:ascii="Segoe UI" w:hAnsi="Segoe UI" w:cs="Segoe UI"/>
      <w:sz w:val="18"/>
      <w:szCs w:val="18"/>
    </w:rPr>
  </w:style>
  <w:style w:type="character" w:customStyle="1" w:styleId="BalloonTextChar">
    <w:name w:val="Balloon Text Char"/>
    <w:basedOn w:val="DefaultParagraphFont"/>
    <w:link w:val="BalloonText"/>
    <w:rsid w:val="004F7DC6"/>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F46DB-2D7E-4E0A-B754-9366700B2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616</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2025-04-01T09:53:00Z</dcterms:created>
  <dcterms:modified xsi:type="dcterms:W3CDTF">2025-04-01T09:53:00Z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A10-0029/2025</vt:lpwstr>
  </property>
  <property fmtid="{D5CDD505-2E9C-101B-9397-08002B2CF9AE}" pid="4" name="&lt;Type&gt;">
    <vt:lpwstr>RR</vt:lpwstr>
  </property>
</Properties>
</file>