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6A95" w14:paraId="4BEE64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DF7D09" w14:textId="77777777" w:rsidR="00751A4A" w:rsidRPr="003C6A95" w:rsidRDefault="00891745" w:rsidP="0010095E">
            <w:pPr>
              <w:pStyle w:val="EPName"/>
            </w:pPr>
            <w:bookmarkStart w:id="0" w:name="_GoBack"/>
            <w:bookmarkEnd w:id="0"/>
            <w:r w:rsidRPr="003C6A95">
              <w:t>Parlamento europeo</w:t>
            </w:r>
          </w:p>
          <w:p w14:paraId="3DCCA600" w14:textId="77777777" w:rsidR="00751A4A" w:rsidRPr="003C6A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6A95">
              <w:t>2024</w:t>
            </w:r>
            <w:r w:rsidR="00817416" w:rsidRPr="003C6A95">
              <w:t>-202</w:t>
            </w:r>
            <w:r w:rsidRPr="003C6A95">
              <w:t>9</w:t>
            </w:r>
          </w:p>
        </w:tc>
        <w:tc>
          <w:tcPr>
            <w:tcW w:w="2268" w:type="dxa"/>
            <w:shd w:val="clear" w:color="auto" w:fill="auto"/>
          </w:tcPr>
          <w:p w14:paraId="6F091EC5" w14:textId="77777777" w:rsidR="00751A4A" w:rsidRPr="003C6A95" w:rsidRDefault="00187494" w:rsidP="0010095E">
            <w:pPr>
              <w:pStyle w:val="EPLogo"/>
            </w:pPr>
            <w:r w:rsidRPr="003C6A95">
              <w:rPr>
                <w:noProof/>
                <w:lang w:val="en-GB"/>
              </w:rPr>
              <w:drawing>
                <wp:inline distT="0" distB="0" distL="0" distR="0" wp14:anchorId="2A8ABEE2" wp14:editId="27C9BF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8F82FD" w14:textId="77777777" w:rsidR="00D058B8" w:rsidRPr="003C6A95" w:rsidRDefault="00D058B8" w:rsidP="004C5D52">
      <w:pPr>
        <w:pStyle w:val="LineTop"/>
      </w:pPr>
    </w:p>
    <w:p w14:paraId="03A0F224" w14:textId="77777777" w:rsidR="00680577" w:rsidRPr="003C6A95" w:rsidRDefault="00891745" w:rsidP="00680577">
      <w:pPr>
        <w:pStyle w:val="EPBodyTA1"/>
      </w:pPr>
      <w:r w:rsidRPr="003C6A95">
        <w:t>TESTI APPROVATI</w:t>
      </w:r>
    </w:p>
    <w:p w14:paraId="5075F477" w14:textId="77777777" w:rsidR="00D058B8" w:rsidRPr="003C6A95" w:rsidRDefault="00D058B8" w:rsidP="00D058B8">
      <w:pPr>
        <w:pStyle w:val="LineBottom"/>
      </w:pPr>
    </w:p>
    <w:p w14:paraId="58306B92" w14:textId="59471E3E" w:rsidR="00891745" w:rsidRPr="003C6A95" w:rsidRDefault="00891745" w:rsidP="00891745">
      <w:pPr>
        <w:pStyle w:val="ATHeading1"/>
      </w:pPr>
      <w:bookmarkStart w:id="1" w:name="TANumber"/>
      <w:r w:rsidRPr="003C6A95">
        <w:t>P10_</w:t>
      </w:r>
      <w:proofErr w:type="gramStart"/>
      <w:r w:rsidRPr="003C6A95">
        <w:t>TA(</w:t>
      </w:r>
      <w:proofErr w:type="gramEnd"/>
      <w:r w:rsidRPr="003C6A95">
        <w:t>2025)00</w:t>
      </w:r>
      <w:bookmarkEnd w:id="1"/>
      <w:r w:rsidR="003C6A95" w:rsidRPr="003C6A95">
        <w:t>40</w:t>
      </w:r>
    </w:p>
    <w:p w14:paraId="549BA0EC" w14:textId="54DC1E52" w:rsidR="00891745" w:rsidRPr="003C6A95" w:rsidRDefault="00A30722" w:rsidP="00891745">
      <w:pPr>
        <w:pStyle w:val="ATHeading2"/>
      </w:pPr>
      <w:bookmarkStart w:id="2" w:name="title"/>
      <w:r w:rsidRPr="003C6A95">
        <w:t xml:space="preserve">Richiesta di revoca dell'immunità di Jana </w:t>
      </w:r>
      <w:proofErr w:type="spellStart"/>
      <w:r w:rsidRPr="003C6A95">
        <w:t>Nagyová</w:t>
      </w:r>
      <w:bookmarkEnd w:id="2"/>
      <w:proofErr w:type="spellEnd"/>
    </w:p>
    <w:p w14:paraId="71795240" w14:textId="77777777" w:rsidR="00891745" w:rsidRPr="003C6A95" w:rsidRDefault="00891745" w:rsidP="00891745">
      <w:pPr>
        <w:rPr>
          <w:i/>
          <w:vanish/>
        </w:rPr>
      </w:pPr>
      <w:r w:rsidRPr="003C6A95">
        <w:rPr>
          <w:i/>
        </w:rPr>
        <w:fldChar w:fldCharType="begin"/>
      </w:r>
      <w:r w:rsidRPr="003C6A95">
        <w:rPr>
          <w:i/>
        </w:rPr>
        <w:instrText xml:space="preserve"> TC"(</w:instrText>
      </w:r>
      <w:bookmarkStart w:id="3" w:name="DocNumber"/>
      <w:r w:rsidRPr="003C6A95">
        <w:rPr>
          <w:i/>
        </w:rPr>
        <w:instrText>A10-0029/2025</w:instrText>
      </w:r>
      <w:bookmarkEnd w:id="3"/>
      <w:r w:rsidRPr="003C6A95">
        <w:rPr>
          <w:i/>
        </w:rPr>
        <w:instrText xml:space="preserve"> - Relatore: </w:instrText>
      </w:r>
      <w:proofErr w:type="spellStart"/>
      <w:r w:rsidRPr="003C6A95">
        <w:rPr>
          <w:i/>
        </w:rPr>
        <w:instrText>Krzysztof</w:instrText>
      </w:r>
      <w:proofErr w:type="spellEnd"/>
      <w:r w:rsidRPr="003C6A95">
        <w:rPr>
          <w:i/>
        </w:rPr>
        <w:instrText xml:space="preserve"> </w:instrText>
      </w:r>
      <w:proofErr w:type="spellStart"/>
      <w:r w:rsidRPr="003C6A95">
        <w:rPr>
          <w:i/>
        </w:rPr>
        <w:instrText>Śmiszek</w:instrText>
      </w:r>
      <w:proofErr w:type="spellEnd"/>
      <w:r w:rsidRPr="003C6A95">
        <w:rPr>
          <w:i/>
        </w:rPr>
        <w:instrText xml:space="preserve">)"\l3 \n&gt; \* MERGEFORMAT </w:instrText>
      </w:r>
      <w:r w:rsidRPr="003C6A95">
        <w:rPr>
          <w:i/>
        </w:rPr>
        <w:fldChar w:fldCharType="end"/>
      </w:r>
    </w:p>
    <w:p w14:paraId="56555D41" w14:textId="77777777" w:rsidR="00891745" w:rsidRPr="003C6A95" w:rsidRDefault="00891745" w:rsidP="00891745">
      <w:pPr>
        <w:rPr>
          <w:vanish/>
        </w:rPr>
      </w:pPr>
      <w:bookmarkStart w:id="4" w:name="Commission"/>
      <w:r w:rsidRPr="003C6A95">
        <w:rPr>
          <w:vanish/>
        </w:rPr>
        <w:t>Commissione giuridica</w:t>
      </w:r>
      <w:bookmarkEnd w:id="4"/>
    </w:p>
    <w:p w14:paraId="23E77822" w14:textId="77777777" w:rsidR="00891745" w:rsidRPr="003C6A95" w:rsidRDefault="00891745" w:rsidP="00891745">
      <w:pPr>
        <w:rPr>
          <w:vanish/>
        </w:rPr>
      </w:pPr>
      <w:bookmarkStart w:id="5" w:name="PE"/>
      <w:r w:rsidRPr="003C6A95">
        <w:rPr>
          <w:vanish/>
        </w:rPr>
        <w:t>PE766.947</w:t>
      </w:r>
      <w:bookmarkEnd w:id="5"/>
    </w:p>
    <w:p w14:paraId="01F86AF3" w14:textId="77777777" w:rsidR="00891745" w:rsidRPr="003C6A95" w:rsidRDefault="00891745" w:rsidP="003D5FA4">
      <w:pPr>
        <w:pStyle w:val="ATHeading3"/>
      </w:pPr>
      <w:bookmarkStart w:id="6" w:name="Sujet"/>
      <w:r w:rsidRPr="003C6A95">
        <w:t>Decisione del Parlamento europeo del 1</w:t>
      </w:r>
      <w:r w:rsidR="003D5FA4" w:rsidRPr="003C6A95">
        <w:t>º</w:t>
      </w:r>
      <w:r w:rsidRPr="003C6A95">
        <w:t xml:space="preserve"> aprile 2025 sulla richiesta di revoca dell'immunità di Jana </w:t>
      </w:r>
      <w:proofErr w:type="spellStart"/>
      <w:r w:rsidRPr="003C6A95">
        <w:t>Nagyová</w:t>
      </w:r>
      <w:bookmarkEnd w:id="6"/>
      <w:proofErr w:type="spellEnd"/>
      <w:r w:rsidRPr="003C6A95">
        <w:t xml:space="preserve"> </w:t>
      </w:r>
      <w:bookmarkStart w:id="7" w:name="References"/>
      <w:r w:rsidRPr="003C6A95">
        <w:t>(2024/2035(IMM))</w:t>
      </w:r>
      <w:bookmarkEnd w:id="7"/>
    </w:p>
    <w:p w14:paraId="322BA167" w14:textId="77777777" w:rsidR="003875C7" w:rsidRPr="003C6A95" w:rsidRDefault="003875C7" w:rsidP="003D5FA4">
      <w:pPr>
        <w:pStyle w:val="EPComma"/>
      </w:pPr>
      <w:bookmarkStart w:id="8" w:name="TextBodyBegin"/>
      <w:bookmarkEnd w:id="8"/>
      <w:r w:rsidRPr="003C6A95">
        <w:rPr>
          <w:i/>
        </w:rPr>
        <w:t>Il Parlamento europeo</w:t>
      </w:r>
      <w:r w:rsidRPr="003C6A95">
        <w:t>,</w:t>
      </w:r>
    </w:p>
    <w:p w14:paraId="4EDBBDF1" w14:textId="1E083382" w:rsidR="003875C7" w:rsidRPr="003C6A95" w:rsidRDefault="003875C7" w:rsidP="003C6A95">
      <w:pPr>
        <w:pStyle w:val="NormalHanging12a"/>
      </w:pPr>
      <w:r w:rsidRPr="003C6A95">
        <w:t>–</w:t>
      </w:r>
      <w:r w:rsidRPr="003C6A95">
        <w:tab/>
        <w:t xml:space="preserve">vista la richiesta di revoca dell'immunità di Jana </w:t>
      </w:r>
      <w:proofErr w:type="spellStart"/>
      <w:r w:rsidRPr="003C6A95">
        <w:t>Nagyová</w:t>
      </w:r>
      <w:proofErr w:type="spellEnd"/>
      <w:r w:rsidRPr="003C6A95">
        <w:t xml:space="preserve">, </w:t>
      </w:r>
      <w:r w:rsidR="00A30722" w:rsidRPr="003C6A95">
        <w:t>del</w:t>
      </w:r>
      <w:r w:rsidRPr="003C6A95">
        <w:t xml:space="preserve"> 1º luglio 2024</w:t>
      </w:r>
      <w:r w:rsidR="00A30722" w:rsidRPr="003C6A95">
        <w:t>,</w:t>
      </w:r>
      <w:r w:rsidRPr="003C6A95">
        <w:t xml:space="preserve"> </w:t>
      </w:r>
      <w:r w:rsidR="00A30722" w:rsidRPr="003C6A95">
        <w:t xml:space="preserve">trasmessa </w:t>
      </w:r>
      <w:r w:rsidRPr="003C6A95">
        <w:t xml:space="preserve">dall'Alta Corte di Praga, nel quadro di un procedimento penale pendente in appello davanti a </w:t>
      </w:r>
      <w:r w:rsidR="00A30722" w:rsidRPr="003C6A95">
        <w:t xml:space="preserve">tale </w:t>
      </w:r>
      <w:r w:rsidRPr="003C6A95">
        <w:t xml:space="preserve">Corte, con il riferimento </w:t>
      </w:r>
      <w:r w:rsidR="00A30722" w:rsidRPr="003C6A95">
        <w:t>“</w:t>
      </w:r>
      <w:r w:rsidRPr="003C6A95">
        <w:t>3 To 34/2024</w:t>
      </w:r>
      <w:r w:rsidR="00A30722" w:rsidRPr="003C6A95">
        <w:t>”</w:t>
      </w:r>
      <w:r w:rsidRPr="003C6A95">
        <w:t>, e comunicata in Aula il 19 luglio 2024,</w:t>
      </w:r>
    </w:p>
    <w:p w14:paraId="5F12A901" w14:textId="6D41E65C" w:rsidR="003875C7" w:rsidRPr="003C6A95" w:rsidRDefault="003875C7" w:rsidP="003C6A95">
      <w:pPr>
        <w:pStyle w:val="NormalHanging12a"/>
      </w:pPr>
      <w:r w:rsidRPr="003C6A95">
        <w:t>–</w:t>
      </w:r>
      <w:r w:rsidRPr="003C6A95">
        <w:tab/>
        <w:t xml:space="preserve">avendo ascoltato Jana </w:t>
      </w:r>
      <w:proofErr w:type="spellStart"/>
      <w:r w:rsidRPr="003C6A95">
        <w:t>Nagyová</w:t>
      </w:r>
      <w:proofErr w:type="spellEnd"/>
      <w:r w:rsidRPr="003C6A95">
        <w:t xml:space="preserve"> il 29 gennaio 2025 </w:t>
      </w:r>
      <w:r w:rsidR="00A30722" w:rsidRPr="003C6A95">
        <w:t>in conformità</w:t>
      </w:r>
      <w:r w:rsidRPr="003C6A95">
        <w:t xml:space="preserve"> dell'articolo 9, paragrafo 6, del suo regolamento,</w:t>
      </w:r>
    </w:p>
    <w:p w14:paraId="69EA7F20" w14:textId="77777777" w:rsidR="003875C7" w:rsidRPr="003C6A95" w:rsidRDefault="003875C7" w:rsidP="003C6A95">
      <w:pPr>
        <w:pStyle w:val="NormalHanging12a"/>
      </w:pPr>
      <w:r w:rsidRPr="003C6A95">
        <w:t>–</w:t>
      </w:r>
      <w:r w:rsidRPr="003C6A95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14:paraId="641BE0D0" w14:textId="77777777" w:rsidR="003875C7" w:rsidRPr="003C6A95" w:rsidRDefault="003875C7" w:rsidP="003C6A95">
      <w:pPr>
        <w:pStyle w:val="NormalHanging12a"/>
      </w:pPr>
      <w:r w:rsidRPr="003C6A95">
        <w:t>–</w:t>
      </w:r>
      <w:r w:rsidRPr="003C6A95">
        <w:tab/>
        <w:t xml:space="preserve">viste le sentenze pronunciate dalla Corte di giustizia dell'Unione europea il 21 ottobre 2008, </w:t>
      </w:r>
      <w:r w:rsidR="00A30722" w:rsidRPr="003C6A95">
        <w:t xml:space="preserve">il </w:t>
      </w:r>
      <w:r w:rsidRPr="003C6A95">
        <w:t xml:space="preserve">19 marzo 2010, </w:t>
      </w:r>
      <w:r w:rsidR="00A30722" w:rsidRPr="003C6A95">
        <w:t xml:space="preserve">il </w:t>
      </w:r>
      <w:r w:rsidRPr="003C6A95">
        <w:t xml:space="preserve">6 settembre 2011, </w:t>
      </w:r>
      <w:r w:rsidR="00A30722" w:rsidRPr="003C6A95">
        <w:t xml:space="preserve">il </w:t>
      </w:r>
      <w:r w:rsidRPr="003C6A95">
        <w:t xml:space="preserve">17 gennaio 2013, </w:t>
      </w:r>
      <w:r w:rsidR="00A30722" w:rsidRPr="003C6A95">
        <w:t xml:space="preserve">il </w:t>
      </w:r>
      <w:r w:rsidRPr="003C6A95">
        <w:t xml:space="preserve">19 dicembre 2019 e </w:t>
      </w:r>
      <w:r w:rsidR="00A30722" w:rsidRPr="003C6A95">
        <w:t xml:space="preserve">il </w:t>
      </w:r>
      <w:r w:rsidRPr="003C6A95">
        <w:t>5 luglio 2023</w:t>
      </w:r>
      <w:r w:rsidRPr="003C6A95">
        <w:rPr>
          <w:rStyle w:val="FootnoteReference"/>
          <w:color w:val="000000"/>
        </w:rPr>
        <w:footnoteReference w:id="1"/>
      </w:r>
      <w:r w:rsidRPr="003C6A95">
        <w:t>,</w:t>
      </w:r>
    </w:p>
    <w:p w14:paraId="1C8C84E0" w14:textId="422E3BF6" w:rsidR="003875C7" w:rsidRPr="003C6A95" w:rsidRDefault="003875C7" w:rsidP="003C6A95">
      <w:pPr>
        <w:pStyle w:val="NormalHanging12a"/>
      </w:pPr>
      <w:r w:rsidRPr="003C6A95">
        <w:t>–</w:t>
      </w:r>
      <w:r w:rsidRPr="003C6A95">
        <w:tab/>
        <w:t xml:space="preserve">visti l'articolo 27 della Costituzione della Repubblica ceca e la sezione </w:t>
      </w:r>
      <w:r w:rsidR="00A30722" w:rsidRPr="003C6A95">
        <w:t>1</w:t>
      </w:r>
      <w:r w:rsidRPr="003C6A95">
        <w:t xml:space="preserve">0, paragrafo </w:t>
      </w:r>
      <w:r w:rsidR="00A30722" w:rsidRPr="003C6A95">
        <w:t>1</w:t>
      </w:r>
      <w:r w:rsidRPr="003C6A95">
        <w:t xml:space="preserve">, della legge n. 141/1961 </w:t>
      </w:r>
      <w:proofErr w:type="spellStart"/>
      <w:r w:rsidRPr="003C6A95">
        <w:t>Racc</w:t>
      </w:r>
      <w:proofErr w:type="spellEnd"/>
      <w:r w:rsidRPr="003C6A95">
        <w:t xml:space="preserve">. sulla procedura penale (codice di procedura penale </w:t>
      </w:r>
      <w:r w:rsidR="00A30722" w:rsidRPr="003C6A95">
        <w:t>della Repubblica ceca</w:t>
      </w:r>
      <w:r w:rsidRPr="003C6A95">
        <w:t>),</w:t>
      </w:r>
    </w:p>
    <w:p w14:paraId="55D23BC6" w14:textId="77777777" w:rsidR="003875C7" w:rsidRPr="003C6A95" w:rsidRDefault="003875C7" w:rsidP="003C6A95">
      <w:pPr>
        <w:pStyle w:val="NormalHanging12a"/>
      </w:pPr>
      <w:r w:rsidRPr="003C6A95">
        <w:lastRenderedPageBreak/>
        <w:t>–</w:t>
      </w:r>
      <w:r w:rsidRPr="003C6A95">
        <w:tab/>
        <w:t>visti l'articolo 5, paragrafo 2, l'articolo 6, paragrafo 1, e l'articolo 9 del suo regolamento,</w:t>
      </w:r>
    </w:p>
    <w:p w14:paraId="7D4BEFD2" w14:textId="77777777" w:rsidR="003875C7" w:rsidRPr="003C6A95" w:rsidRDefault="003875C7" w:rsidP="003C6A95">
      <w:pPr>
        <w:pStyle w:val="NormalHanging12a"/>
      </w:pPr>
      <w:r w:rsidRPr="003C6A95">
        <w:t>–</w:t>
      </w:r>
      <w:r w:rsidRPr="003C6A95">
        <w:tab/>
        <w:t>vista la relazione della commissione giuridica (A10-0029/2025),</w:t>
      </w:r>
    </w:p>
    <w:p w14:paraId="653C43C6" w14:textId="02BF2264" w:rsidR="003875C7" w:rsidRPr="003C6A95" w:rsidRDefault="003875C7" w:rsidP="003C6A95">
      <w:pPr>
        <w:pStyle w:val="NormalHanging12a"/>
      </w:pPr>
      <w:r w:rsidRPr="003C6A95">
        <w:t>A.</w:t>
      </w:r>
      <w:r w:rsidRPr="003C6A95">
        <w:tab/>
        <w:t xml:space="preserve">considerando che il 1º luglio 2024 l'Alta Corte di Praga ha presentato una richiesta di revoca dell'immunità parlamentare di Jana </w:t>
      </w:r>
      <w:proofErr w:type="spellStart"/>
      <w:r w:rsidRPr="003C6A95">
        <w:t>Nagyová</w:t>
      </w:r>
      <w:proofErr w:type="spellEnd"/>
      <w:r w:rsidRPr="003C6A95">
        <w:t xml:space="preserve">, deputata al Parlamento europeo eletta nella Repubblica ceca, per poter proseguire il procedimento penale attualmente pendente in appello dinnanzi a </w:t>
      </w:r>
      <w:r w:rsidR="001F1EEC" w:rsidRPr="003C6A95">
        <w:t xml:space="preserve">tale </w:t>
      </w:r>
      <w:r w:rsidRPr="003C6A95">
        <w:t>Corte, relativo all'accusa di frode in materia di sovvenzioni, a norma della sezione 212, paragrafi 1 e 6, lettera a), e di danno agli interessi finanziari dell'Unione europea, a norma della sezione 260, paragrafi 1 e 5, della legge n. 40/2009 (codice penale della Repubblica ceca);</w:t>
      </w:r>
    </w:p>
    <w:p w14:paraId="5400DFC4" w14:textId="2D4C557A" w:rsidR="003875C7" w:rsidRPr="003C6A95" w:rsidRDefault="003875C7" w:rsidP="003C6A95">
      <w:pPr>
        <w:pStyle w:val="NormalHanging12a"/>
      </w:pPr>
      <w:r w:rsidRPr="003C6A95">
        <w:t>B.</w:t>
      </w:r>
      <w:r w:rsidRPr="003C6A95">
        <w:tab/>
        <w:t xml:space="preserve">considerando che il procedimento penale a carico di Jana </w:t>
      </w:r>
      <w:proofErr w:type="spellStart"/>
      <w:r w:rsidRPr="003C6A95">
        <w:t>Nagyová</w:t>
      </w:r>
      <w:proofErr w:type="spellEnd"/>
      <w:r w:rsidRPr="003C6A95">
        <w:t xml:space="preserve"> è condotto sulla base dell'imputazione della sezione municipale della procura di Praga, datata 21 marzo 2022, per un atto che sarebbe stato commesso </w:t>
      </w:r>
      <w:r w:rsidR="001C46B4" w:rsidRPr="003C6A95">
        <w:t>in concorso con</w:t>
      </w:r>
      <w:r w:rsidRPr="003C6A95">
        <w:t xml:space="preserve"> un coimputato, in quanto </w:t>
      </w:r>
      <w:proofErr w:type="spellStart"/>
      <w:r w:rsidRPr="003C6A95">
        <w:t>Nagyová</w:t>
      </w:r>
      <w:proofErr w:type="spellEnd"/>
      <w:r w:rsidRPr="003C6A95">
        <w:t>, in qualità di persona con esperienza professionale in materia di sovvenzioni dell'U</w:t>
      </w:r>
      <w:r w:rsidR="001F1EEC" w:rsidRPr="003C6A95">
        <w:t>nione</w:t>
      </w:r>
      <w:r w:rsidRPr="003C6A95">
        <w:t xml:space="preserve"> e in qualità di vicepresidente del consiglio di amministrazione di una società ceca nel periodo compreso tra il 17 gennaio 2008 e il 5 gennaio 2010, ha presentato una domanda di sovvenzione sapendo che tale società non ne </w:t>
      </w:r>
      <w:r w:rsidR="001C46B4" w:rsidRPr="003C6A95">
        <w:t xml:space="preserve">avesse </w:t>
      </w:r>
      <w:r w:rsidRPr="003C6A95">
        <w:t xml:space="preserve">diritto e fornendo la falsa informazione secondo cui </w:t>
      </w:r>
      <w:r w:rsidR="001C46B4" w:rsidRPr="003C6A95">
        <w:t>tale società fosse</w:t>
      </w:r>
      <w:r w:rsidRPr="003C6A95">
        <w:t xml:space="preserve"> una piccola impresa indipendente;</w:t>
      </w:r>
    </w:p>
    <w:p w14:paraId="40953E11" w14:textId="6477FAFE" w:rsidR="003875C7" w:rsidRPr="003C6A95" w:rsidRDefault="003875C7" w:rsidP="003C6A95">
      <w:pPr>
        <w:pStyle w:val="NormalHanging12a"/>
      </w:pPr>
      <w:r w:rsidRPr="003C6A95">
        <w:t>C.</w:t>
      </w:r>
      <w:r w:rsidRPr="003C6A95">
        <w:tab/>
        <w:t xml:space="preserve">considerando che l'immunità parlamentare è intesa a proteggere il Parlamento e i deputati che lo compongono da procedimenti </w:t>
      </w:r>
      <w:r w:rsidR="008C7AB9" w:rsidRPr="003C6A95">
        <w:t xml:space="preserve">giudiziari </w:t>
      </w:r>
      <w:r w:rsidRPr="003C6A95">
        <w:t>relativi ad attività svolte nell'esercizio del mandato parlamentare e che non possono essere disgiunte da tale mandato;</w:t>
      </w:r>
    </w:p>
    <w:p w14:paraId="387AE02D" w14:textId="77777777" w:rsidR="003875C7" w:rsidRPr="003C6A95" w:rsidRDefault="003875C7" w:rsidP="003C6A95">
      <w:pPr>
        <w:pStyle w:val="NormalHanging12a"/>
      </w:pPr>
      <w:r w:rsidRPr="003C6A95">
        <w:t>D.</w:t>
      </w:r>
      <w:r w:rsidRPr="003C6A95">
        <w:tab/>
        <w:t>considerando che i presunti reati non riguardano opinioni o voti espressi nell'esercizio delle funzioni di deputata al Parlamento europeo ai sensi dell'articolo 8 del protocollo n. 7 sui privilegi e sulle immunità dell'Unione europea;</w:t>
      </w:r>
    </w:p>
    <w:p w14:paraId="5CF6FB8F" w14:textId="77777777" w:rsidR="003875C7" w:rsidRPr="003C6A95" w:rsidRDefault="003875C7" w:rsidP="003C6A95">
      <w:pPr>
        <w:pStyle w:val="NormalHanging12a"/>
      </w:pPr>
      <w:r w:rsidRPr="003C6A95">
        <w:t>E.</w:t>
      </w:r>
      <w:r w:rsidRPr="003C6A95">
        <w:tab/>
        <w:t>considerando che l'articolo 9, primo comma, lettera a), del protocollo n. 7 sui privilegi e sulle immunità dell'Unione europea stabilisce che i membri del Parlamento europeo beneficiano, sul territorio nazionale, delle immunità riconosciute ai membri del parlamento del loro paese;</w:t>
      </w:r>
    </w:p>
    <w:p w14:paraId="0A1D754B" w14:textId="69E4BBA9" w:rsidR="003875C7" w:rsidRPr="003C6A95" w:rsidRDefault="003875C7" w:rsidP="003C6A95">
      <w:pPr>
        <w:pStyle w:val="NormalHanging12a"/>
      </w:pPr>
      <w:r w:rsidRPr="003C6A95">
        <w:t>F.</w:t>
      </w:r>
      <w:r w:rsidRPr="003C6A95">
        <w:tab/>
        <w:t xml:space="preserve">considerando che l'articolo 27, paragrafo 4, della Costituzione della Repubblica ceca stabilisce che i deputati e i senatori non possono essere perseguiti penalmente in assenza di consenso da parte della camera di cui sono membri e che, se </w:t>
      </w:r>
      <w:r w:rsidR="008C7AB9" w:rsidRPr="003C6A95">
        <w:t xml:space="preserve">tale </w:t>
      </w:r>
      <w:r w:rsidRPr="003C6A95">
        <w:t>camera nega il consenso, il procedimento penale è precluso per la durata del loro mandato;</w:t>
      </w:r>
    </w:p>
    <w:p w14:paraId="272977A5" w14:textId="6693D67D" w:rsidR="003875C7" w:rsidRPr="003C6A95" w:rsidRDefault="003875C7" w:rsidP="003C6A95">
      <w:pPr>
        <w:pStyle w:val="NormalHanging12a"/>
      </w:pPr>
      <w:r w:rsidRPr="003C6A95">
        <w:t>G.</w:t>
      </w:r>
      <w:r w:rsidRPr="003C6A95">
        <w:tab/>
        <w:t xml:space="preserve">considerando che, </w:t>
      </w:r>
      <w:r w:rsidR="008C7AB9" w:rsidRPr="003C6A95">
        <w:t>nella fattispecie</w:t>
      </w:r>
      <w:r w:rsidRPr="003C6A95">
        <w:t xml:space="preserve">, il Parlamento non ha riscontrato alcuna prova di </w:t>
      </w:r>
      <w:proofErr w:type="spellStart"/>
      <w:r w:rsidRPr="003C6A95">
        <w:rPr>
          <w:i/>
        </w:rPr>
        <w:t>fumus</w:t>
      </w:r>
      <w:proofErr w:type="spellEnd"/>
      <w:r w:rsidRPr="003C6A95">
        <w:rPr>
          <w:i/>
        </w:rPr>
        <w:t xml:space="preserve"> </w:t>
      </w:r>
      <w:proofErr w:type="spellStart"/>
      <w:r w:rsidRPr="003C6A95">
        <w:rPr>
          <w:i/>
        </w:rPr>
        <w:t>persecutionis</w:t>
      </w:r>
      <w:proofErr w:type="spellEnd"/>
      <w:r w:rsidRPr="003C6A95">
        <w:t xml:space="preserve">, vale a dire elementi </w:t>
      </w:r>
      <w:r w:rsidR="008C7AB9" w:rsidRPr="003C6A95">
        <w:t xml:space="preserve">di fatto </w:t>
      </w:r>
      <w:r w:rsidRPr="003C6A95">
        <w:t xml:space="preserve">dai quali si evinca che l'intento alla base del procedimento giudiziario </w:t>
      </w:r>
      <w:r w:rsidR="008C7AB9" w:rsidRPr="003C6A95">
        <w:t>sia</w:t>
      </w:r>
      <w:r w:rsidRPr="003C6A95">
        <w:t xml:space="preserve"> quello di danneggiare l'attività politica </w:t>
      </w:r>
      <w:r w:rsidR="000A2951" w:rsidRPr="003C6A95">
        <w:t xml:space="preserve">di un </w:t>
      </w:r>
      <w:r w:rsidRPr="003C6A95">
        <w:t>deputat</w:t>
      </w:r>
      <w:r w:rsidR="000A2951" w:rsidRPr="003C6A95">
        <w:t>o</w:t>
      </w:r>
      <w:r w:rsidRPr="003C6A95">
        <w:t xml:space="preserve"> e di conseguenza il Parlamento europeo;</w:t>
      </w:r>
    </w:p>
    <w:p w14:paraId="7CDFADA9" w14:textId="7F28EB22" w:rsidR="003875C7" w:rsidRPr="003C6A95" w:rsidRDefault="003875C7" w:rsidP="003C6A95">
      <w:pPr>
        <w:pStyle w:val="NormalHanging12a"/>
      </w:pPr>
      <w:r w:rsidRPr="003C6A95">
        <w:t>H.</w:t>
      </w:r>
      <w:r w:rsidRPr="003C6A95">
        <w:tab/>
        <w:t>considerando</w:t>
      </w:r>
      <w:r w:rsidR="008C7AB9" w:rsidRPr="003C6A95">
        <w:t xml:space="preserve"> che</w:t>
      </w:r>
      <w:r w:rsidRPr="003C6A95">
        <w:t>, da un lato, il Parlamento non dovrebbe essere assimilato a un tribunale e, dall'altro</w:t>
      </w:r>
      <w:r w:rsidR="008C7AB9" w:rsidRPr="003C6A95">
        <w:t xml:space="preserve"> lato</w:t>
      </w:r>
      <w:r w:rsidRPr="003C6A95">
        <w:t xml:space="preserve">, il deputato non dovrebbe, nel contesto di una procedura di </w:t>
      </w:r>
      <w:r w:rsidRPr="003C6A95">
        <w:lastRenderedPageBreak/>
        <w:t>revoca dell'immunità, essere considerato un "accusato"</w:t>
      </w:r>
      <w:r w:rsidRPr="003C6A95">
        <w:rPr>
          <w:rStyle w:val="FootnoteReference"/>
          <w:color w:val="000000"/>
        </w:rPr>
        <w:footnoteReference w:id="2"/>
      </w:r>
      <w:r w:rsidRPr="003C6A95">
        <w:t>;</w:t>
      </w:r>
    </w:p>
    <w:p w14:paraId="2C16197E" w14:textId="77777777" w:rsidR="003875C7" w:rsidRPr="003C6A95" w:rsidRDefault="003875C7" w:rsidP="003C6A95">
      <w:pPr>
        <w:pStyle w:val="NormalHanging12a"/>
      </w:pPr>
      <w:r w:rsidRPr="003C6A95">
        <w:t>1.</w:t>
      </w:r>
      <w:r w:rsidRPr="003C6A95">
        <w:tab/>
        <w:t xml:space="preserve">decide di revocare l'immunità di Jana </w:t>
      </w:r>
      <w:proofErr w:type="spellStart"/>
      <w:r w:rsidRPr="003C6A95">
        <w:t>Nagyová</w:t>
      </w:r>
      <w:proofErr w:type="spellEnd"/>
      <w:r w:rsidRPr="003C6A95">
        <w:t>;</w:t>
      </w:r>
    </w:p>
    <w:p w14:paraId="66DCBC3B" w14:textId="77777777" w:rsidR="00402568" w:rsidRPr="003C6A95" w:rsidRDefault="003875C7" w:rsidP="003C6A95">
      <w:pPr>
        <w:pStyle w:val="NormalHanging12a"/>
      </w:pPr>
      <w:r w:rsidRPr="003C6A95">
        <w:t>2.</w:t>
      </w:r>
      <w:r w:rsidRPr="003C6A95">
        <w:tab/>
        <w:t xml:space="preserve">incarica la sua Presidente di trasmettere immediatamente la presente decisione e la relazione della sua commissione competente all'autorità competente della Repubblica ceca e a Jana </w:t>
      </w:r>
      <w:proofErr w:type="spellStart"/>
      <w:r w:rsidRPr="003C6A95">
        <w:t>Nagyová</w:t>
      </w:r>
      <w:proofErr w:type="spellEnd"/>
      <w:r w:rsidRPr="003C6A95">
        <w:t>.</w:t>
      </w:r>
    </w:p>
    <w:p w14:paraId="3D2E0BE2" w14:textId="77777777" w:rsidR="00E365E1" w:rsidRPr="003C6A95" w:rsidRDefault="00E365E1" w:rsidP="003D5FA4"/>
    <w:sectPr w:rsidR="00E365E1" w:rsidRPr="003C6A95" w:rsidSect="004025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38CC5" w14:textId="77777777" w:rsidR="00891745" w:rsidRPr="00402568" w:rsidRDefault="00891745">
      <w:r w:rsidRPr="00402568">
        <w:separator/>
      </w:r>
    </w:p>
  </w:endnote>
  <w:endnote w:type="continuationSeparator" w:id="0">
    <w:p w14:paraId="4A29AF36" w14:textId="77777777" w:rsidR="00891745" w:rsidRPr="00402568" w:rsidRDefault="00891745">
      <w:r w:rsidRPr="004025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83DB8" w14:textId="77777777" w:rsidR="00064002" w:rsidRPr="004025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4CCC8" w14:textId="77777777" w:rsidR="00064002" w:rsidRPr="004025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4AD34" w14:textId="77777777" w:rsidR="00064002" w:rsidRPr="004025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8B107" w14:textId="77777777" w:rsidR="00891745" w:rsidRPr="00402568" w:rsidRDefault="00891745">
      <w:r w:rsidRPr="00402568">
        <w:separator/>
      </w:r>
    </w:p>
  </w:footnote>
  <w:footnote w:type="continuationSeparator" w:id="0">
    <w:p w14:paraId="0CDEB23C" w14:textId="77777777" w:rsidR="00891745" w:rsidRPr="00402568" w:rsidRDefault="00891745">
      <w:r w:rsidRPr="00402568">
        <w:continuationSeparator/>
      </w:r>
    </w:p>
  </w:footnote>
  <w:footnote w:id="1">
    <w:p w14:paraId="6C448197" w14:textId="77777777" w:rsidR="003875C7" w:rsidRPr="00402568" w:rsidRDefault="003875C7" w:rsidP="00402568">
      <w:pPr>
        <w:pStyle w:val="FootnoteText"/>
        <w:ind w:left="567" w:hanging="567"/>
        <w:rPr>
          <w:sz w:val="24"/>
          <w:lang w:val="it-IT"/>
        </w:rPr>
      </w:pPr>
      <w:r w:rsidRPr="00402568">
        <w:rPr>
          <w:rStyle w:val="FootnoteReference"/>
          <w:sz w:val="24"/>
          <w:lang w:val="it-IT"/>
        </w:rPr>
        <w:footnoteRef/>
      </w:r>
      <w:r w:rsidR="00402568" w:rsidRPr="00402568">
        <w:rPr>
          <w:sz w:val="24"/>
          <w:lang w:val="it-IT"/>
        </w:rPr>
        <w:t xml:space="preserve"> </w:t>
      </w:r>
      <w:r w:rsidR="00402568" w:rsidRPr="00402568">
        <w:rPr>
          <w:sz w:val="24"/>
          <w:lang w:val="it-IT"/>
        </w:rPr>
        <w:tab/>
      </w:r>
      <w:r w:rsidRPr="00402568">
        <w:rPr>
          <w:sz w:val="24"/>
          <w:lang w:val="it-IT"/>
        </w:rPr>
        <w:t xml:space="preserve">Sentenza della Corte di giustizia del 21 ottobre 2008, </w:t>
      </w:r>
      <w:r w:rsidRPr="003C6A95">
        <w:rPr>
          <w:i/>
          <w:sz w:val="24"/>
          <w:lang w:val="it-IT"/>
        </w:rPr>
        <w:t>Marra/De Gregorio e Clemente</w:t>
      </w:r>
      <w:r w:rsidRPr="00402568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3C6A95">
        <w:rPr>
          <w:i/>
          <w:sz w:val="24"/>
          <w:lang w:val="it-IT"/>
        </w:rPr>
        <w:t>Gollnisch</w:t>
      </w:r>
      <w:proofErr w:type="spellEnd"/>
      <w:r w:rsidRPr="003C6A95">
        <w:rPr>
          <w:i/>
          <w:sz w:val="24"/>
          <w:lang w:val="it-IT"/>
        </w:rPr>
        <w:t>/Parlamento</w:t>
      </w:r>
      <w:r w:rsidRPr="00402568">
        <w:rPr>
          <w:sz w:val="24"/>
          <w:lang w:val="it-IT"/>
        </w:rPr>
        <w:t xml:space="preserve">, T-42/06, ECLI:EU:T:2010:102; sentenza della Corte di giustizia del 6 settembre 2011, </w:t>
      </w:r>
      <w:r w:rsidRPr="003C6A95">
        <w:rPr>
          <w:i/>
          <w:sz w:val="24"/>
          <w:lang w:val="it-IT"/>
        </w:rPr>
        <w:t>Patriciello</w:t>
      </w:r>
      <w:r w:rsidRPr="00402568">
        <w:rPr>
          <w:sz w:val="24"/>
          <w:lang w:val="it-IT"/>
        </w:rPr>
        <w:t xml:space="preserve">, C-163/10, ECLI: EU:C:2011:543; sentenza del Tribunale del 17 gennaio 2013, </w:t>
      </w:r>
      <w:proofErr w:type="spellStart"/>
      <w:r w:rsidRPr="003C6A95">
        <w:rPr>
          <w:i/>
          <w:sz w:val="24"/>
          <w:lang w:val="it-IT"/>
        </w:rPr>
        <w:t>Gollnisch</w:t>
      </w:r>
      <w:proofErr w:type="spellEnd"/>
      <w:r w:rsidRPr="003C6A95">
        <w:rPr>
          <w:i/>
          <w:sz w:val="24"/>
          <w:lang w:val="it-IT"/>
        </w:rPr>
        <w:t>/Parlamento</w:t>
      </w:r>
      <w:r w:rsidRPr="00402568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3C6A95">
        <w:rPr>
          <w:i/>
          <w:sz w:val="24"/>
          <w:lang w:val="it-IT"/>
        </w:rPr>
        <w:t>Junqueras</w:t>
      </w:r>
      <w:proofErr w:type="spellEnd"/>
      <w:r w:rsidRPr="003C6A95">
        <w:rPr>
          <w:i/>
          <w:sz w:val="24"/>
          <w:lang w:val="it-IT"/>
        </w:rPr>
        <w:t xml:space="preserve"> </w:t>
      </w:r>
      <w:proofErr w:type="spellStart"/>
      <w:r w:rsidRPr="003C6A95">
        <w:rPr>
          <w:i/>
          <w:sz w:val="24"/>
          <w:lang w:val="it-IT"/>
        </w:rPr>
        <w:t>Vies</w:t>
      </w:r>
      <w:proofErr w:type="spellEnd"/>
      <w:r w:rsidRPr="00402568">
        <w:rPr>
          <w:sz w:val="24"/>
          <w:lang w:val="it-IT"/>
        </w:rPr>
        <w:t xml:space="preserve">, C-502/19, ECLI:EU:C:2019:1115; sentenza del Tribunale del 5 luglio 2023, </w:t>
      </w:r>
      <w:proofErr w:type="spellStart"/>
      <w:r w:rsidRPr="003C6A95">
        <w:rPr>
          <w:i/>
          <w:sz w:val="24"/>
          <w:lang w:val="it-IT"/>
        </w:rPr>
        <w:t>Carles</w:t>
      </w:r>
      <w:proofErr w:type="spellEnd"/>
      <w:r w:rsidRPr="003C6A95">
        <w:rPr>
          <w:i/>
          <w:sz w:val="24"/>
          <w:lang w:val="it-IT"/>
        </w:rPr>
        <w:t xml:space="preserve"> </w:t>
      </w:r>
      <w:proofErr w:type="spellStart"/>
      <w:r w:rsidRPr="003C6A95">
        <w:rPr>
          <w:i/>
          <w:sz w:val="24"/>
          <w:lang w:val="it-IT"/>
        </w:rPr>
        <w:t>Puigdemont</w:t>
      </w:r>
      <w:proofErr w:type="spellEnd"/>
      <w:r w:rsidRPr="003C6A95">
        <w:rPr>
          <w:i/>
          <w:sz w:val="24"/>
          <w:lang w:val="it-IT"/>
        </w:rPr>
        <w:t xml:space="preserve"> i </w:t>
      </w:r>
      <w:proofErr w:type="spellStart"/>
      <w:r w:rsidRPr="003C6A95">
        <w:rPr>
          <w:i/>
          <w:sz w:val="24"/>
          <w:lang w:val="it-IT"/>
        </w:rPr>
        <w:t>Casamajó</w:t>
      </w:r>
      <w:proofErr w:type="spellEnd"/>
      <w:r w:rsidRPr="003C6A95">
        <w:rPr>
          <w:i/>
          <w:sz w:val="24"/>
          <w:lang w:val="it-IT"/>
        </w:rPr>
        <w:t xml:space="preserve"> e a./Parlamento</w:t>
      </w:r>
      <w:r w:rsidRPr="00402568">
        <w:rPr>
          <w:sz w:val="24"/>
          <w:lang w:val="it-IT"/>
        </w:rPr>
        <w:t>, T-272/21, ECLI:EU:T:2023:373.</w:t>
      </w:r>
    </w:p>
  </w:footnote>
  <w:footnote w:id="2">
    <w:p w14:paraId="1B2C804F" w14:textId="77777777" w:rsidR="003875C7" w:rsidRPr="00402568" w:rsidRDefault="003875C7" w:rsidP="00402568">
      <w:pPr>
        <w:pStyle w:val="FootnoteText"/>
        <w:ind w:left="567" w:hanging="567"/>
        <w:rPr>
          <w:sz w:val="24"/>
          <w:lang w:val="it-IT"/>
        </w:rPr>
      </w:pPr>
      <w:r w:rsidRPr="00402568">
        <w:rPr>
          <w:rStyle w:val="FootnoteReference"/>
          <w:sz w:val="24"/>
          <w:lang w:val="it-IT"/>
        </w:rPr>
        <w:footnoteRef/>
      </w:r>
      <w:r w:rsidR="00402568" w:rsidRPr="00402568">
        <w:rPr>
          <w:sz w:val="24"/>
          <w:lang w:val="it-IT"/>
        </w:rPr>
        <w:t xml:space="preserve"> </w:t>
      </w:r>
      <w:r w:rsidR="00402568" w:rsidRPr="00402568">
        <w:rPr>
          <w:sz w:val="24"/>
          <w:lang w:val="it-IT"/>
        </w:rPr>
        <w:tab/>
      </w:r>
      <w:r w:rsidRPr="00402568">
        <w:rPr>
          <w:sz w:val="24"/>
          <w:lang w:val="it-IT"/>
        </w:rPr>
        <w:t xml:space="preserve">Sentenza del Tribunale del 30 aprile 2019, </w:t>
      </w:r>
      <w:proofErr w:type="spellStart"/>
      <w:r w:rsidRPr="003C6A95">
        <w:rPr>
          <w:i/>
          <w:sz w:val="24"/>
          <w:lang w:val="it-IT"/>
        </w:rPr>
        <w:t>Briois</w:t>
      </w:r>
      <w:proofErr w:type="spellEnd"/>
      <w:r w:rsidRPr="003C6A95">
        <w:rPr>
          <w:i/>
          <w:sz w:val="24"/>
          <w:lang w:val="it-IT"/>
        </w:rPr>
        <w:t>/Parlamento</w:t>
      </w:r>
      <w:r w:rsidRPr="00402568">
        <w:rPr>
          <w:sz w:val="24"/>
          <w:lang w:val="it-IT"/>
        </w:rPr>
        <w:t>, T-214/18, ECLI:</w:t>
      </w:r>
      <w:proofErr w:type="gramStart"/>
      <w:r w:rsidRPr="00402568">
        <w:rPr>
          <w:sz w:val="24"/>
          <w:lang w:val="it-IT"/>
        </w:rPr>
        <w:t>EU:T</w:t>
      </w:r>
      <w:proofErr w:type="gramEnd"/>
      <w:r w:rsidRPr="00402568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14C2A" w14:textId="77777777" w:rsidR="00064002" w:rsidRPr="004025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F9F36" w14:textId="77777777" w:rsidR="00064002" w:rsidRPr="004025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18AD7" w14:textId="77777777" w:rsidR="00064002" w:rsidRPr="004025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9/2025"/>
    <w:docVar w:name="dvlangue" w:val="IT"/>
    <w:docVar w:name="dvnumam" w:val="0"/>
    <w:docVar w:name="dvpe" w:val="766.947"/>
    <w:docVar w:name="dvrapporteur" w:val="Relatore: "/>
    <w:docVar w:name="dvtitre" w:val="Decisione del Parlamento europeo del 1 aprile 2025 sulla richiesta di revoca dell'immunità di Jana Nagyová(2024/2035(IMM))"/>
  </w:docVars>
  <w:rsids>
    <w:rsidRoot w:val="00891745"/>
    <w:rsid w:val="00002272"/>
    <w:rsid w:val="00064002"/>
    <w:rsid w:val="000677B9"/>
    <w:rsid w:val="000831BA"/>
    <w:rsid w:val="000A2951"/>
    <w:rsid w:val="000A42CC"/>
    <w:rsid w:val="000E7DD9"/>
    <w:rsid w:val="0010095E"/>
    <w:rsid w:val="00125B37"/>
    <w:rsid w:val="00187494"/>
    <w:rsid w:val="001C46B4"/>
    <w:rsid w:val="001F1EEC"/>
    <w:rsid w:val="001F32AE"/>
    <w:rsid w:val="002767FF"/>
    <w:rsid w:val="002B18FE"/>
    <w:rsid w:val="002B5493"/>
    <w:rsid w:val="00343214"/>
    <w:rsid w:val="00361C00"/>
    <w:rsid w:val="003875C7"/>
    <w:rsid w:val="00395FA1"/>
    <w:rsid w:val="003C6A95"/>
    <w:rsid w:val="003D5FA4"/>
    <w:rsid w:val="003D707D"/>
    <w:rsid w:val="003E15D4"/>
    <w:rsid w:val="0040256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745"/>
    <w:rsid w:val="008C2AC6"/>
    <w:rsid w:val="008C7AB9"/>
    <w:rsid w:val="00930C23"/>
    <w:rsid w:val="0093193B"/>
    <w:rsid w:val="009509D8"/>
    <w:rsid w:val="00950B64"/>
    <w:rsid w:val="00981893"/>
    <w:rsid w:val="00A1687D"/>
    <w:rsid w:val="00A30722"/>
    <w:rsid w:val="00A43E52"/>
    <w:rsid w:val="00A4678D"/>
    <w:rsid w:val="00A778C7"/>
    <w:rsid w:val="00A8090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77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F41E23"/>
  <w15:chartTrackingRefBased/>
  <w15:docId w15:val="{00700459-D9A8-405C-A703-28E3AACF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875C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3875C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875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75C7"/>
    <w:rPr>
      <w:sz w:val="24"/>
      <w:lang w:val="it-IT"/>
    </w:rPr>
  </w:style>
  <w:style w:type="paragraph" w:customStyle="1" w:styleId="EPFooter">
    <w:name w:val="EPFooter"/>
    <w:basedOn w:val="Normal"/>
    <w:rsid w:val="003875C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875C7"/>
    <w:pPr>
      <w:spacing w:before="480" w:after="240"/>
    </w:pPr>
  </w:style>
  <w:style w:type="paragraph" w:styleId="BalloonText">
    <w:name w:val="Balloon Text"/>
    <w:basedOn w:val="Normal"/>
    <w:link w:val="BalloonTextChar"/>
    <w:rsid w:val="003D5F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D5FA4"/>
    <w:rPr>
      <w:rFonts w:ascii="Segoe UI" w:hAnsi="Segoe UI" w:cs="Segoe UI"/>
      <w:sz w:val="18"/>
      <w:szCs w:val="18"/>
      <w:lang w:val="it-IT"/>
    </w:rPr>
  </w:style>
  <w:style w:type="character" w:styleId="CommentReference">
    <w:name w:val="annotation reference"/>
    <w:basedOn w:val="DefaultParagraphFont"/>
    <w:rsid w:val="00A809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090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80902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A80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0902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CA54-9729-4A4C-A4AF-C0E05CCB6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702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AR_relfinale</dc:creator>
  <cp:keywords/>
  <cp:lastModifiedBy>AR_</cp:lastModifiedBy>
  <cp:revision>3</cp:revision>
  <cp:lastPrinted>2004-11-19T15:42:00Z</cp:lastPrinted>
  <dcterms:created xsi:type="dcterms:W3CDTF">2025-04-01T09:41:00Z</dcterms:created>
  <dcterms:modified xsi:type="dcterms:W3CDTF">2025-04-01T10:13:00Z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A10-0029/2025</vt:lpwstr>
  </property>
  <property fmtid="{D5CDD505-2E9C-101B-9397-08002B2CF9AE}" pid="4" name="&lt;Type&gt;">
    <vt:lpwstr>RR</vt:lpwstr>
  </property>
</Properties>
</file>