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618F" w:rsidTr="0010095E">
        <w:trPr>
          <w:trHeight w:hRule="exact" w:val="1418"/>
        </w:trPr>
        <w:tc>
          <w:tcPr>
            <w:tcW w:w="6804" w:type="dxa"/>
            <w:shd w:val="clear" w:color="auto" w:fill="auto"/>
            <w:vAlign w:val="center"/>
          </w:tcPr>
          <w:p w:rsidR="00751A4A" w:rsidRPr="00E0618F" w:rsidRDefault="001F1B9B" w:rsidP="0010095E">
            <w:pPr>
              <w:pStyle w:val="EPName"/>
            </w:pPr>
            <w:r w:rsidRPr="00E0618F">
              <w:t>Europos Parlamentas</w:t>
            </w:r>
          </w:p>
          <w:p w:rsidR="00751A4A" w:rsidRPr="00E0618F" w:rsidRDefault="005F1B17" w:rsidP="005F1B17">
            <w:pPr>
              <w:pStyle w:val="EPTerm"/>
              <w:rPr>
                <w:rStyle w:val="HideTWBExt"/>
                <w:noProof w:val="0"/>
                <w:vanish w:val="0"/>
                <w:color w:val="auto"/>
              </w:rPr>
            </w:pPr>
            <w:r w:rsidRPr="00E0618F">
              <w:t>2024</w:t>
            </w:r>
            <w:r w:rsidR="00817416" w:rsidRPr="00E0618F">
              <w:t>-202</w:t>
            </w:r>
            <w:r w:rsidRPr="00E0618F">
              <w:t>9</w:t>
            </w:r>
          </w:p>
        </w:tc>
        <w:tc>
          <w:tcPr>
            <w:tcW w:w="2268" w:type="dxa"/>
            <w:shd w:val="clear" w:color="auto" w:fill="auto"/>
          </w:tcPr>
          <w:p w:rsidR="00751A4A" w:rsidRPr="00E0618F" w:rsidRDefault="00187494" w:rsidP="0010095E">
            <w:pPr>
              <w:pStyle w:val="EPLogo"/>
            </w:pPr>
            <w:r w:rsidRPr="00E061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618F" w:rsidRDefault="00D058B8" w:rsidP="004C5D52">
      <w:pPr>
        <w:pStyle w:val="LineTop"/>
      </w:pPr>
    </w:p>
    <w:p w:rsidR="00680577" w:rsidRPr="00E0618F" w:rsidRDefault="001F1B9B" w:rsidP="00680577">
      <w:pPr>
        <w:pStyle w:val="EPBodyTA1"/>
      </w:pPr>
      <w:r w:rsidRPr="00E0618F">
        <w:t>PRIIMTI TEKSTAI</w:t>
      </w:r>
    </w:p>
    <w:p w:rsidR="00D058B8" w:rsidRPr="00E0618F" w:rsidRDefault="00D058B8" w:rsidP="00D058B8">
      <w:pPr>
        <w:pStyle w:val="LineBottom"/>
      </w:pPr>
    </w:p>
    <w:p w:rsidR="001F1B9B" w:rsidRPr="00E0618F" w:rsidRDefault="001F1B9B" w:rsidP="001F1B9B">
      <w:pPr>
        <w:pStyle w:val="ATHeading1"/>
      </w:pPr>
      <w:bookmarkStart w:id="0" w:name="TANumber"/>
      <w:r w:rsidRPr="00E0618F">
        <w:t>P10_TA(2025)00</w:t>
      </w:r>
      <w:r w:rsidR="00573A73">
        <w:t>4</w:t>
      </w:r>
      <w:r w:rsidRPr="00E0618F">
        <w:t>0</w:t>
      </w:r>
      <w:bookmarkEnd w:id="0"/>
    </w:p>
    <w:p w:rsidR="001F1B9B" w:rsidRPr="00E0618F" w:rsidRDefault="001F1B9B" w:rsidP="001F1B9B">
      <w:pPr>
        <w:pStyle w:val="ATHeading2"/>
      </w:pPr>
      <w:bookmarkStart w:id="1" w:name="title"/>
      <w:r w:rsidRPr="00E0618F">
        <w:t>Prašymas atšaukti Janos Nagyovos (Jana Nagyová) imunitetą</w:t>
      </w:r>
      <w:bookmarkEnd w:id="1"/>
    </w:p>
    <w:p w:rsidR="001F1B9B" w:rsidRPr="00E0618F" w:rsidRDefault="001F1B9B" w:rsidP="001F1B9B">
      <w:pPr>
        <w:rPr>
          <w:i/>
          <w:vanish/>
        </w:rPr>
      </w:pPr>
      <w:r w:rsidRPr="00E0618F">
        <w:rPr>
          <w:i/>
        </w:rPr>
        <w:fldChar w:fldCharType="begin"/>
      </w:r>
      <w:r w:rsidRPr="00E0618F">
        <w:rPr>
          <w:i/>
        </w:rPr>
        <w:instrText xml:space="preserve"> TC"(</w:instrText>
      </w:r>
      <w:bookmarkStart w:id="2" w:name="DocNumber"/>
      <w:r w:rsidRPr="00E0618F">
        <w:rPr>
          <w:i/>
        </w:rPr>
        <w:instrText>A10-0029/2025</w:instrText>
      </w:r>
      <w:bookmarkEnd w:id="2"/>
      <w:r w:rsidRPr="00E0618F">
        <w:rPr>
          <w:i/>
        </w:rPr>
        <w:instrText xml:space="preserve"> - Pranešėjas: Krzysztof Śmiszek)"\l3 \n&gt; \* MERGEFORMAT </w:instrText>
      </w:r>
      <w:r w:rsidRPr="00E0618F">
        <w:rPr>
          <w:i/>
        </w:rPr>
        <w:fldChar w:fldCharType="end"/>
      </w:r>
    </w:p>
    <w:p w:rsidR="001F1B9B" w:rsidRPr="00E0618F" w:rsidRDefault="001F1B9B" w:rsidP="001F1B9B">
      <w:pPr>
        <w:rPr>
          <w:vanish/>
        </w:rPr>
      </w:pPr>
      <w:bookmarkStart w:id="3" w:name="Commission"/>
      <w:r w:rsidRPr="00E0618F">
        <w:rPr>
          <w:vanish/>
        </w:rPr>
        <w:t>Teisės reikalų komitetas</w:t>
      </w:r>
      <w:bookmarkEnd w:id="3"/>
    </w:p>
    <w:p w:rsidR="001F1B9B" w:rsidRPr="00E0618F" w:rsidRDefault="001F1B9B" w:rsidP="001F1B9B">
      <w:pPr>
        <w:rPr>
          <w:vanish/>
        </w:rPr>
      </w:pPr>
      <w:bookmarkStart w:id="4" w:name="PE"/>
      <w:r w:rsidRPr="00E0618F">
        <w:rPr>
          <w:vanish/>
        </w:rPr>
        <w:t>PE766.947</w:t>
      </w:r>
      <w:bookmarkEnd w:id="4"/>
    </w:p>
    <w:p w:rsidR="001F1B9B" w:rsidRPr="00E0618F" w:rsidRDefault="001F1B9B" w:rsidP="003314E8">
      <w:pPr>
        <w:pStyle w:val="ATHeading3"/>
      </w:pPr>
      <w:bookmarkStart w:id="5" w:name="Sujet"/>
      <w:r w:rsidRPr="00E0618F">
        <w:t xml:space="preserve">2025 m. </w:t>
      </w:r>
      <w:r w:rsidR="002814DA" w:rsidRPr="00E0618F">
        <w:t>balandžio</w:t>
      </w:r>
      <w:r w:rsidRPr="00E0618F">
        <w:t xml:space="preserve"> 1 d. Europos Parlamento sprendimas dėl prašymo atšaukti Janos Nagyovos (Jana Nagyová) imunitetą</w:t>
      </w:r>
      <w:bookmarkEnd w:id="5"/>
      <w:r w:rsidRPr="00E0618F">
        <w:t xml:space="preserve"> </w:t>
      </w:r>
      <w:bookmarkStart w:id="6" w:name="References"/>
      <w:r w:rsidRPr="00E0618F">
        <w:t>(2024/2035(IMM))</w:t>
      </w:r>
      <w:bookmarkEnd w:id="6"/>
    </w:p>
    <w:p w:rsidR="00406341" w:rsidRPr="00E0618F" w:rsidRDefault="00406341" w:rsidP="00406341">
      <w:pPr>
        <w:pStyle w:val="EPComma"/>
      </w:pPr>
      <w:bookmarkStart w:id="7" w:name="TextBodyBegin"/>
      <w:bookmarkEnd w:id="7"/>
      <w:r w:rsidRPr="00E0618F">
        <w:rPr>
          <w:i/>
        </w:rPr>
        <w:t>Europos Parlamentas</w:t>
      </w:r>
      <w:r w:rsidRPr="00E0618F">
        <w:t>,</w:t>
      </w:r>
    </w:p>
    <w:p w:rsidR="00406341" w:rsidRPr="00E0618F" w:rsidRDefault="00406341" w:rsidP="003314E8">
      <w:pPr>
        <w:pStyle w:val="NormalHanging12a"/>
      </w:pPr>
      <w:r w:rsidRPr="00E0618F">
        <w:t>–</w:t>
      </w:r>
      <w:r w:rsidRPr="00E0618F">
        <w:tab/>
        <w:t xml:space="preserve">atsižvelgdamas į Prahos aukštojo teismo </w:t>
      </w:r>
      <w:r w:rsidR="0033403F" w:rsidRPr="00E0618F">
        <w:t>p</w:t>
      </w:r>
      <w:r w:rsidR="0033403F">
        <w:t>ateikt</w:t>
      </w:r>
      <w:r w:rsidR="0033403F" w:rsidRPr="00E0618F">
        <w:t xml:space="preserve">ą </w:t>
      </w:r>
      <w:r w:rsidRPr="00E0618F">
        <w:t xml:space="preserve">2024 m. liepos 1 d. prašymą atšaukti </w:t>
      </w:r>
      <w:proofErr w:type="spellStart"/>
      <w:r w:rsidRPr="00E0618F">
        <w:t>Janos</w:t>
      </w:r>
      <w:proofErr w:type="spellEnd"/>
      <w:r w:rsidRPr="00E0618F">
        <w:t xml:space="preserve"> </w:t>
      </w:r>
      <w:proofErr w:type="spellStart"/>
      <w:r w:rsidRPr="00E0618F">
        <w:t>Nagyovos</w:t>
      </w:r>
      <w:proofErr w:type="spellEnd"/>
      <w:r w:rsidRPr="00E0618F">
        <w:t xml:space="preserve"> imunitetą ryšium su tame teisme apeliacine tvarka nagrinėjama baudžiamąja byla Nr. 3 To 34/2024, kuris buvo</w:t>
      </w:r>
      <w:bookmarkStart w:id="8" w:name="_GoBack"/>
      <w:bookmarkEnd w:id="8"/>
      <w:r w:rsidRPr="00E0618F">
        <w:t xml:space="preserve"> paskelbtas 2024 m. liepos 19 d. plenariniame posėdyje,</w:t>
      </w:r>
    </w:p>
    <w:p w:rsidR="00406341" w:rsidRPr="00E0618F" w:rsidRDefault="00406341" w:rsidP="003314E8">
      <w:pPr>
        <w:pStyle w:val="NormalHanging12a"/>
      </w:pPr>
      <w:r w:rsidRPr="00E0618F">
        <w:t>–</w:t>
      </w:r>
      <w:r w:rsidRPr="00E0618F">
        <w:tab/>
        <w:t>2025 m. sausio 29 d. išklausęs Janos Nagyovos paaiškinimų, kaip nurodyta Darbo tvarkos taisyklių 9 straipsnio 6 dalyje,</w:t>
      </w:r>
    </w:p>
    <w:p w:rsidR="00406341" w:rsidRPr="00E0618F" w:rsidRDefault="00406341" w:rsidP="003314E8">
      <w:pPr>
        <w:pStyle w:val="NormalHanging12a"/>
      </w:pPr>
      <w:r w:rsidRPr="00E0618F">
        <w:t>–</w:t>
      </w:r>
      <w:r w:rsidRPr="00E0618F">
        <w:tab/>
        <w:t>atsižvelgdamas į Protokolo Nr. 7 dėl Europos Sąjungos privilegijų ir imunitetų 8 ir 9 straipsnius ir į 1976 m. rugsėjo 20 d. Akto dėl Europos Parlamento narių rinkimų remiantis tiesiogine visuotine rinkimų teise 6 straipsnio 2 dalį,</w:t>
      </w:r>
    </w:p>
    <w:p w:rsidR="00406341" w:rsidRPr="00E0618F" w:rsidRDefault="00406341" w:rsidP="003314E8">
      <w:pPr>
        <w:pStyle w:val="NormalHanging12a"/>
      </w:pPr>
      <w:r w:rsidRPr="00E0618F">
        <w:t>–</w:t>
      </w:r>
      <w:r w:rsidRPr="00E0618F">
        <w:tab/>
        <w:t>atsižvelgdamas į Europos Sąjungos Teisingumo Teismo 2008 m. spalio 21 d., 2010 m. kovo 19 d., 2011 m. rugsėjo 6 d., 2013 m. sausio 17 d., 2019 m. gruodžio 19 d. ir 2023 m. liepos 5 d. sprendimus</w:t>
      </w:r>
      <w:r w:rsidRPr="00E0618F">
        <w:rPr>
          <w:rStyle w:val="FootnoteReference"/>
          <w:color w:val="000000"/>
        </w:rPr>
        <w:footnoteReference w:id="1"/>
      </w:r>
      <w:r w:rsidRPr="00E0618F">
        <w:t>,</w:t>
      </w:r>
    </w:p>
    <w:p w:rsidR="00406341" w:rsidRPr="00E0618F" w:rsidRDefault="00406341" w:rsidP="003314E8">
      <w:pPr>
        <w:pStyle w:val="NormalHanging12a"/>
      </w:pPr>
      <w:r w:rsidRPr="00E0618F">
        <w:t>–</w:t>
      </w:r>
      <w:r w:rsidRPr="00E0618F">
        <w:tab/>
        <w:t>atsižvelgdamas į Čekijos Respublikos Konstitucijos 27 straipsnį ir įstatymo Nr. 141/1961 dėl baudžiamojo proceso (</w:t>
      </w:r>
      <w:r w:rsidR="002814DA" w:rsidRPr="002814DA">
        <w:t xml:space="preserve">Čekijos Respublikos </w:t>
      </w:r>
      <w:r w:rsidRPr="00E0618F">
        <w:t>Baudžiamojo proceso kodekso) 10 straipsnio 1 dalį,</w:t>
      </w:r>
    </w:p>
    <w:p w:rsidR="00406341" w:rsidRPr="00E0618F" w:rsidRDefault="00406341" w:rsidP="003314E8">
      <w:pPr>
        <w:pStyle w:val="NormalHanging12a"/>
      </w:pPr>
      <w:r w:rsidRPr="00E0618F">
        <w:lastRenderedPageBreak/>
        <w:t>–</w:t>
      </w:r>
      <w:r w:rsidRPr="00E0618F">
        <w:tab/>
        <w:t>atsižvelgdamas į Darbo tvarkos taisyklių 5 straipsnio 2 dalį, 6 straipsnio 1 dalį ir 9 straipsnį,</w:t>
      </w:r>
    </w:p>
    <w:p w:rsidR="00406341" w:rsidRPr="00E0618F" w:rsidRDefault="00406341" w:rsidP="003314E8">
      <w:pPr>
        <w:pStyle w:val="NormalHanging12a"/>
      </w:pPr>
      <w:r w:rsidRPr="00E0618F">
        <w:t>–</w:t>
      </w:r>
      <w:r w:rsidRPr="00E0618F">
        <w:tab/>
        <w:t>atsižvelgdamas į Teisės reikalų komiteto pranešimą (A10-0029/2025),</w:t>
      </w:r>
    </w:p>
    <w:p w:rsidR="00406341" w:rsidRPr="00E0618F" w:rsidRDefault="00406341" w:rsidP="003314E8">
      <w:pPr>
        <w:pStyle w:val="NormalHanging12a"/>
      </w:pPr>
      <w:r w:rsidRPr="00E0618F">
        <w:t>A.</w:t>
      </w:r>
      <w:r w:rsidRPr="00E0618F">
        <w:tab/>
        <w:t xml:space="preserve">kadangi 2024 m. liepos 1 d. Prahos aukštasis teismas pateikė prašymą atšaukti </w:t>
      </w:r>
      <w:r w:rsidR="00526E20">
        <w:t>Čekijos Respublikoje</w:t>
      </w:r>
      <w:r w:rsidR="00526E20" w:rsidRPr="00E0618F">
        <w:t xml:space="preserve"> </w:t>
      </w:r>
      <w:r w:rsidRPr="00E0618F">
        <w:t>išrinktos Europos Parlamento narės Janos Nagyovos imunitetą siekiant tęsti šiuo metu jame apeliacine tvarka nagrinėjamą baudžiamąją bylą dėl pareikštų kaltinimų padarius įstatymo Nr. 40/2009 (</w:t>
      </w:r>
      <w:r w:rsidR="00190717" w:rsidRPr="00190717">
        <w:t xml:space="preserve">Čekijos Respublikos </w:t>
      </w:r>
      <w:r w:rsidRPr="00E0618F">
        <w:t>Baudžiamojo kodekso) 212 straipsnio 1 dalyje ir 6 dalies a punkte numatytą nusikalstamą veiką – sukčiavimą subsidijomis, ir 260 straipsnio 1 ir 5 dalyse numatytą nusikalstamą veiką – žalos padarymą Europos Sąjungos finansiniams interesams;</w:t>
      </w:r>
    </w:p>
    <w:p w:rsidR="00406341" w:rsidRPr="00E0618F" w:rsidRDefault="00406341" w:rsidP="003314E8">
      <w:pPr>
        <w:pStyle w:val="NormalHanging12a"/>
      </w:pPr>
      <w:r w:rsidRPr="00E0618F">
        <w:t>B.</w:t>
      </w:r>
      <w:r w:rsidRPr="00E0618F">
        <w:tab/>
        <w:t xml:space="preserve">kadangi baudžiamasis procesas Janos Nagyovos atžvilgiu vyksta remiantis Prahos miesto prokuratūros 2022 m. kovo 21 d. kaltinamuoju aktu dėl veikos, kurią ji galimai padarė kartu su bendrakalčiu, atsižvelgiant į tai, kad ji, kaip asmuo, kurio profesinė veikla yra susijusi su </w:t>
      </w:r>
      <w:r w:rsidR="002814DA">
        <w:t>Sąjungos</w:t>
      </w:r>
      <w:r w:rsidR="002814DA" w:rsidRPr="00E0618F">
        <w:t xml:space="preserve"> </w:t>
      </w:r>
      <w:r w:rsidRPr="00E0618F">
        <w:t>dotacijomis, ir laikotarpiu nuo 2008 m. sausio 17 d. iki 2010 m. sausio 5 d. kaip Čekijos bendrovės direktorių valdybos pirmininko pavaduotoja, pateikė paraišką dėl dotacijos žinodama, kad ta bendrovė neturi teisės ją gauti, ir pateikdama melagingą informaciją apie tai, kad ta įmonė yra nepriklausoma mažoji įmonė;</w:t>
      </w:r>
    </w:p>
    <w:p w:rsidR="00406341" w:rsidRPr="00E0618F" w:rsidRDefault="00406341" w:rsidP="003314E8">
      <w:pPr>
        <w:pStyle w:val="NormalHanging12a"/>
      </w:pPr>
      <w:r w:rsidRPr="00E0618F">
        <w:t>C.</w:t>
      </w:r>
      <w:r w:rsidRPr="00E0618F">
        <w:tab/>
        <w:t>kadangi Parlamento nario imuniteto paskirtis – apsaugoti Parlamentą ir jo narius nuo patraukimo atsakomybėn už veiksmus, kurie yra padaryti vykdant Parlamento nario įgaliojimus ir kurių negalima atskirti nuo tų įgaliojimų;</w:t>
      </w:r>
    </w:p>
    <w:p w:rsidR="00406341" w:rsidRPr="00E0618F" w:rsidRDefault="00406341" w:rsidP="003314E8">
      <w:pPr>
        <w:pStyle w:val="NormalHanging12a"/>
      </w:pPr>
      <w:r w:rsidRPr="00E0618F">
        <w:t>D.</w:t>
      </w:r>
      <w:r w:rsidRPr="00E0618F">
        <w:tab/>
        <w:t>kadangi galimos nusikalstamos veikos nėra susijusios su Europos Parlamento narei einant pareigas pareikšta nuomone ar balsavimu, kaip tai suprantama Protokolo Nr. 7 dėl Europos Sąjungos privilegijų ir imunitetų 8 straipsnyje;</w:t>
      </w:r>
    </w:p>
    <w:p w:rsidR="00406341" w:rsidRPr="00E0618F" w:rsidRDefault="00406341" w:rsidP="003314E8">
      <w:pPr>
        <w:pStyle w:val="NormalHanging12a"/>
      </w:pPr>
      <w:r w:rsidRPr="00E0618F">
        <w:t>E.</w:t>
      </w:r>
      <w:r w:rsidRPr="00E0618F">
        <w:tab/>
        <w:t>kadangi Protokolo Nr. 7 dėl Europos Sąjungos privilegijų ir imunitetų 9 straipsnio pirmos pastraipos a punkte nustatyta, kad Europos Parlamento nariai savo valstybės narės teritorijoje naudojasi imunitetais, kurie toje valstybėje narėje yra suteikiami parlamento nariams;</w:t>
      </w:r>
    </w:p>
    <w:p w:rsidR="00406341" w:rsidRPr="00E0618F" w:rsidRDefault="00406341" w:rsidP="003314E8">
      <w:pPr>
        <w:pStyle w:val="NormalHanging12a"/>
      </w:pPr>
      <w:r w:rsidRPr="00E0618F">
        <w:t>F.</w:t>
      </w:r>
      <w:r w:rsidRPr="00E0618F">
        <w:tab/>
        <w:t>kadangi Čekijos Respublikos Konstitucijos 27 straipsnio 4 dalyje nustatyta, kad Atstovų Rūmų arba Senato narys negali būti traukiamas baudžiamojon atsakomybėn be Parlamento rūmų, kurių narys jis yra, sutikimo ir jei atitinkami Parlamento rūmai neduoda sutikimo, jo mandato laikotarpiu toks baudžiamasis persekiojimas negalimas;</w:t>
      </w:r>
    </w:p>
    <w:p w:rsidR="00406341" w:rsidRPr="00E0618F" w:rsidRDefault="00406341" w:rsidP="003314E8">
      <w:pPr>
        <w:pStyle w:val="NormalHanging12a"/>
      </w:pPr>
      <w:r w:rsidRPr="00E0618F">
        <w:t>G.</w:t>
      </w:r>
      <w:r w:rsidRPr="00E0618F">
        <w:tab/>
        <w:t xml:space="preserve">kadangi šiuo atveju Parlamentas nenustatė esant </w:t>
      </w:r>
      <w:r w:rsidRPr="00E0618F">
        <w:rPr>
          <w:i/>
          <w:iCs/>
        </w:rPr>
        <w:t>fumus persecutionis</w:t>
      </w:r>
      <w:r w:rsidRPr="00E0618F">
        <w:t>, t. y. faktinių aplinkybių, kurios rodytų, kad šis teismo procesas buvo pradėtas siekiant pakenkti Europos Parlamento narės, taigi ir Europos Parlamento, politinei veiklai;</w:t>
      </w:r>
    </w:p>
    <w:p w:rsidR="00406341" w:rsidRPr="00E0618F" w:rsidRDefault="00406341" w:rsidP="003314E8">
      <w:pPr>
        <w:pStyle w:val="NormalHanging12a"/>
      </w:pPr>
      <w:r w:rsidRPr="00E0618F">
        <w:t>H.</w:t>
      </w:r>
      <w:r w:rsidRPr="00E0618F">
        <w:tab/>
        <w:t>kadangi, pirma, Parlamentas negali būti prilyginamas teismui ir, antra, vykstant imuniteto atšaukimo procedūrai Parlamento narys negali būti laikomas kaltinamuoju</w:t>
      </w:r>
      <w:r w:rsidRPr="00E0618F">
        <w:rPr>
          <w:rStyle w:val="FootnoteReference"/>
          <w:color w:val="000000"/>
        </w:rPr>
        <w:footnoteReference w:id="2"/>
      </w:r>
      <w:r w:rsidRPr="00E0618F">
        <w:t>;</w:t>
      </w:r>
    </w:p>
    <w:p w:rsidR="00406341" w:rsidRPr="00E0618F" w:rsidRDefault="00406341" w:rsidP="003314E8">
      <w:pPr>
        <w:pStyle w:val="NormalHanging12a"/>
      </w:pPr>
      <w:r w:rsidRPr="00E0618F">
        <w:t>1.</w:t>
      </w:r>
      <w:r w:rsidRPr="00E0618F">
        <w:tab/>
        <w:t>nusprendžia atšaukti Janos Nagyovos imunitetą;</w:t>
      </w:r>
    </w:p>
    <w:p w:rsidR="00E365E1" w:rsidRPr="00E0618F" w:rsidRDefault="00406341" w:rsidP="003314E8">
      <w:pPr>
        <w:pStyle w:val="NormalHanging12a"/>
      </w:pPr>
      <w:r w:rsidRPr="00E0618F">
        <w:lastRenderedPageBreak/>
        <w:t>2.</w:t>
      </w:r>
      <w:r w:rsidRPr="00E0618F">
        <w:tab/>
        <w:t>paveda Pirmininkei nedelsiant perduoti šį sprendimą ir atsakingo komiteto pranešimą Čekijos Respublikos kompetentingoms institucijoms ir Janai Nagyovái.</w:t>
      </w:r>
    </w:p>
    <w:sectPr w:rsidR="00E365E1" w:rsidRPr="00E0618F" w:rsidSect="00E0618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B9B" w:rsidRPr="00E0618F" w:rsidRDefault="001F1B9B">
      <w:r w:rsidRPr="00E0618F">
        <w:separator/>
      </w:r>
    </w:p>
  </w:endnote>
  <w:endnote w:type="continuationSeparator" w:id="0">
    <w:p w:rsidR="001F1B9B" w:rsidRPr="00E0618F" w:rsidRDefault="001F1B9B">
      <w:r w:rsidRPr="00E061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618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618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61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B9B" w:rsidRPr="00E0618F" w:rsidRDefault="001F1B9B">
      <w:r w:rsidRPr="00E0618F">
        <w:separator/>
      </w:r>
    </w:p>
  </w:footnote>
  <w:footnote w:type="continuationSeparator" w:id="0">
    <w:p w:rsidR="001F1B9B" w:rsidRPr="00E0618F" w:rsidRDefault="001F1B9B">
      <w:r w:rsidRPr="00E0618F">
        <w:continuationSeparator/>
      </w:r>
    </w:p>
  </w:footnote>
  <w:footnote w:id="1">
    <w:p w:rsidR="00406341" w:rsidRPr="00E0618F" w:rsidRDefault="00406341" w:rsidP="00E0618F">
      <w:pPr>
        <w:pStyle w:val="FootnoteText"/>
        <w:ind w:left="567" w:hanging="567"/>
        <w:rPr>
          <w:sz w:val="24"/>
          <w:lang w:val="lt-LT"/>
        </w:rPr>
      </w:pPr>
      <w:r w:rsidRPr="00E0618F">
        <w:rPr>
          <w:rStyle w:val="FootnoteReference"/>
          <w:sz w:val="24"/>
          <w:lang w:val="lt-LT"/>
        </w:rPr>
        <w:footnoteRef/>
      </w:r>
      <w:r w:rsidR="00E0618F" w:rsidRPr="00E0618F">
        <w:rPr>
          <w:sz w:val="24"/>
          <w:lang w:val="lt-LT"/>
        </w:rPr>
        <w:t xml:space="preserve"> </w:t>
      </w:r>
      <w:r w:rsidR="00E0618F" w:rsidRPr="00E0618F">
        <w:rPr>
          <w:sz w:val="24"/>
          <w:lang w:val="lt-LT"/>
        </w:rPr>
        <w:tab/>
      </w:r>
      <w:r w:rsidRPr="00E0618F">
        <w:rPr>
          <w:sz w:val="24"/>
          <w:lang w:val="lt-LT"/>
        </w:rPr>
        <w:t xml:space="preserve">2008 m. spalio 21 d. Teisingumo Teismo sprendimas </w:t>
      </w:r>
      <w:r w:rsidRPr="00E0618F">
        <w:rPr>
          <w:i/>
          <w:iCs/>
          <w:sz w:val="24"/>
          <w:lang w:val="lt-LT"/>
        </w:rPr>
        <w:t>Marra / De Gregorio ir Clemente</w:t>
      </w:r>
      <w:r w:rsidRPr="00E0618F">
        <w:rPr>
          <w:sz w:val="24"/>
          <w:lang w:val="lt-LT"/>
        </w:rPr>
        <w:t xml:space="preserve">, C-200/07 ir C-201/07, ECLI:EU:C:2008:579; 2010 m. kovo 19 d. Bendrojo Teismo sprendimas </w:t>
      </w:r>
      <w:r w:rsidRPr="00E0618F">
        <w:rPr>
          <w:i/>
          <w:iCs/>
          <w:sz w:val="24"/>
          <w:lang w:val="lt-LT"/>
        </w:rPr>
        <w:t>Gollnisch / Parlamentas</w:t>
      </w:r>
      <w:r w:rsidRPr="00E0618F">
        <w:rPr>
          <w:sz w:val="24"/>
          <w:lang w:val="lt-LT"/>
        </w:rPr>
        <w:t xml:space="preserve">, T-42/06, ECLI:EU:T:2010:102; 2011 m. rugsėjo 6 d. Teisingumo Teismo sprendimas </w:t>
      </w:r>
      <w:r w:rsidRPr="00E0618F">
        <w:rPr>
          <w:i/>
          <w:iCs/>
          <w:sz w:val="24"/>
          <w:lang w:val="lt-LT"/>
        </w:rPr>
        <w:t>Patriciello</w:t>
      </w:r>
      <w:r w:rsidRPr="00E0618F">
        <w:rPr>
          <w:sz w:val="24"/>
          <w:lang w:val="lt-LT"/>
        </w:rPr>
        <w:t xml:space="preserve">, C-163/10, ECLI: EU:C:2011:543; 2013 m. sausio 17 d. Bendrojo Teismo sprendimas </w:t>
      </w:r>
      <w:r w:rsidRPr="00E0618F">
        <w:rPr>
          <w:i/>
          <w:iCs/>
          <w:sz w:val="24"/>
          <w:lang w:val="lt-LT"/>
        </w:rPr>
        <w:t>Gollnisch / Parlamentas</w:t>
      </w:r>
      <w:r w:rsidRPr="00E0618F">
        <w:rPr>
          <w:sz w:val="24"/>
          <w:lang w:val="lt-LT"/>
        </w:rPr>
        <w:t xml:space="preserve">, T-346/11 ir T-347/11, ECLI:EU:T:2013:23; 2019 m. gruodžio 19 d. Teisingumo Teismo sprendimas </w:t>
      </w:r>
      <w:r w:rsidRPr="00E0618F">
        <w:rPr>
          <w:i/>
          <w:iCs/>
          <w:sz w:val="24"/>
          <w:lang w:val="lt-LT"/>
        </w:rPr>
        <w:t>Junqueras Vies</w:t>
      </w:r>
      <w:r w:rsidRPr="00E0618F">
        <w:rPr>
          <w:sz w:val="24"/>
          <w:lang w:val="lt-LT"/>
        </w:rPr>
        <w:t xml:space="preserve">, C-502/19, ECLI:EU:C:2019:1115; 2023 m. liepos 5 d. Bendrojo Teismo sprendimas </w:t>
      </w:r>
      <w:r w:rsidRPr="00E0618F">
        <w:rPr>
          <w:i/>
          <w:sz w:val="24"/>
          <w:lang w:val="lt-LT"/>
        </w:rPr>
        <w:t>Puigdemont i Casamajó ir kt. / Parlamentas</w:t>
      </w:r>
      <w:r w:rsidRPr="00E0618F">
        <w:rPr>
          <w:sz w:val="24"/>
          <w:lang w:val="lt-LT"/>
        </w:rPr>
        <w:t>, T-272/21, ECLI:EU:T:2023:373.</w:t>
      </w:r>
    </w:p>
  </w:footnote>
  <w:footnote w:id="2">
    <w:p w:rsidR="00406341" w:rsidRPr="00E0618F" w:rsidRDefault="00406341" w:rsidP="00E0618F">
      <w:pPr>
        <w:pStyle w:val="FootnoteText"/>
        <w:ind w:left="567" w:hanging="567"/>
        <w:rPr>
          <w:sz w:val="24"/>
          <w:lang w:val="lt-LT"/>
        </w:rPr>
      </w:pPr>
      <w:r w:rsidRPr="00E0618F">
        <w:rPr>
          <w:rStyle w:val="FootnoteReference"/>
          <w:sz w:val="24"/>
          <w:lang w:val="lt-LT"/>
        </w:rPr>
        <w:footnoteRef/>
      </w:r>
      <w:r w:rsidR="00E0618F" w:rsidRPr="00E0618F">
        <w:rPr>
          <w:sz w:val="24"/>
          <w:lang w:val="lt-LT"/>
        </w:rPr>
        <w:t xml:space="preserve"> </w:t>
      </w:r>
      <w:r w:rsidR="00E0618F" w:rsidRPr="00E0618F">
        <w:rPr>
          <w:sz w:val="24"/>
          <w:lang w:val="lt-LT"/>
        </w:rPr>
        <w:tab/>
      </w:r>
      <w:r w:rsidRPr="00E0618F">
        <w:rPr>
          <w:sz w:val="24"/>
          <w:lang w:val="lt-LT"/>
        </w:rPr>
        <w:t xml:space="preserve">2019 m. balandžio 30 d. Bendrojo Teismo sprendimas </w:t>
      </w:r>
      <w:proofErr w:type="spellStart"/>
      <w:r w:rsidRPr="00E0618F">
        <w:rPr>
          <w:i/>
          <w:sz w:val="24"/>
          <w:lang w:val="lt-LT"/>
        </w:rPr>
        <w:t>Briois</w:t>
      </w:r>
      <w:proofErr w:type="spellEnd"/>
      <w:r w:rsidRPr="00E0618F">
        <w:rPr>
          <w:i/>
          <w:sz w:val="24"/>
          <w:lang w:val="lt-LT"/>
        </w:rPr>
        <w:t> / Parlamentas</w:t>
      </w:r>
      <w:r w:rsidRPr="00E0618F">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61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61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61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LT"/>
    <w:docVar w:name="dvnumam" w:val="0"/>
    <w:docVar w:name="dvpe" w:val="766.947"/>
    <w:docVar w:name="dvrapporteur" w:val="Pranešėjas: "/>
    <w:docVar w:name="dvtitre" w:val="2025 m. balandzio 1 d. Europos Parlamento sprendimas dėl prašymo atšaukti Janos Nagyovos (Jana Nagyová) imunitetą(2024/2035(IMM))"/>
  </w:docVars>
  <w:rsids>
    <w:rsidRoot w:val="001F1B9B"/>
    <w:rsid w:val="00002272"/>
    <w:rsid w:val="00064002"/>
    <w:rsid w:val="000677B9"/>
    <w:rsid w:val="000831BA"/>
    <w:rsid w:val="000A42CC"/>
    <w:rsid w:val="000E7DD9"/>
    <w:rsid w:val="0010095E"/>
    <w:rsid w:val="00125B37"/>
    <w:rsid w:val="00187494"/>
    <w:rsid w:val="00190717"/>
    <w:rsid w:val="001F1B9B"/>
    <w:rsid w:val="001F32AE"/>
    <w:rsid w:val="00252E71"/>
    <w:rsid w:val="002767FF"/>
    <w:rsid w:val="002814DA"/>
    <w:rsid w:val="002B18FE"/>
    <w:rsid w:val="002B5493"/>
    <w:rsid w:val="003314E8"/>
    <w:rsid w:val="0033403F"/>
    <w:rsid w:val="00343214"/>
    <w:rsid w:val="00361C00"/>
    <w:rsid w:val="00395FA1"/>
    <w:rsid w:val="003E15D4"/>
    <w:rsid w:val="00406341"/>
    <w:rsid w:val="00411CCE"/>
    <w:rsid w:val="0041666E"/>
    <w:rsid w:val="00421060"/>
    <w:rsid w:val="00471C19"/>
    <w:rsid w:val="004867E3"/>
    <w:rsid w:val="00494A28"/>
    <w:rsid w:val="00495771"/>
    <w:rsid w:val="004C0004"/>
    <w:rsid w:val="004C5D52"/>
    <w:rsid w:val="0050519A"/>
    <w:rsid w:val="005072A1"/>
    <w:rsid w:val="00514517"/>
    <w:rsid w:val="00526E20"/>
    <w:rsid w:val="0053668E"/>
    <w:rsid w:val="00545827"/>
    <w:rsid w:val="00560270"/>
    <w:rsid w:val="00573A73"/>
    <w:rsid w:val="005C2568"/>
    <w:rsid w:val="005F1B17"/>
    <w:rsid w:val="006037C0"/>
    <w:rsid w:val="006631B6"/>
    <w:rsid w:val="00680577"/>
    <w:rsid w:val="006F74FA"/>
    <w:rsid w:val="00731ADD"/>
    <w:rsid w:val="00734777"/>
    <w:rsid w:val="00747932"/>
    <w:rsid w:val="00751A4A"/>
    <w:rsid w:val="00756632"/>
    <w:rsid w:val="00762C74"/>
    <w:rsid w:val="0078357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0BE"/>
    <w:rsid w:val="00A1687D"/>
    <w:rsid w:val="00A43E52"/>
    <w:rsid w:val="00A4678D"/>
    <w:rsid w:val="00A778C7"/>
    <w:rsid w:val="00A87DF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618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78420"/>
  <w15:chartTrackingRefBased/>
  <w15:docId w15:val="{7ABFB7F5-6962-4850-8A2D-A33B1070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06341"/>
    <w:pPr>
      <w:spacing w:after="240"/>
      <w:ind w:left="567" w:hanging="567"/>
    </w:pPr>
  </w:style>
  <w:style w:type="paragraph" w:customStyle="1" w:styleId="EPComma">
    <w:name w:val="EPComma"/>
    <w:basedOn w:val="Normal"/>
    <w:rsid w:val="00406341"/>
    <w:pPr>
      <w:spacing w:before="480" w:after="240"/>
    </w:pPr>
  </w:style>
  <w:style w:type="paragraph" w:styleId="BalloonText">
    <w:name w:val="Balloon Text"/>
    <w:basedOn w:val="Normal"/>
    <w:link w:val="BalloonTextChar"/>
    <w:rsid w:val="002814DA"/>
    <w:rPr>
      <w:rFonts w:ascii="Segoe UI" w:hAnsi="Segoe UI" w:cs="Segoe UI"/>
      <w:sz w:val="18"/>
      <w:szCs w:val="18"/>
    </w:rPr>
  </w:style>
  <w:style w:type="character" w:customStyle="1" w:styleId="BalloonTextChar">
    <w:name w:val="Balloon Text Char"/>
    <w:basedOn w:val="DefaultParagraphFont"/>
    <w:link w:val="BalloonText"/>
    <w:rsid w:val="002814D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78025-70D1-45B5-BC79-0B0083432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604</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2025-04-01T09:24:00Z</dcterms:created>
  <dcterms:modified xsi:type="dcterms:W3CDTF">2025-04-01T09:24:00Z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A10-0029/2025</vt:lpwstr>
  </property>
  <property fmtid="{D5CDD505-2E9C-101B-9397-08002B2CF9AE}" pid="4" name="&lt;Type&gt;">
    <vt:lpwstr>RR</vt:lpwstr>
  </property>
</Properties>
</file>