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7D5D" w:rsidTr="0010095E">
        <w:trPr>
          <w:trHeight w:hRule="exact" w:val="1418"/>
        </w:trPr>
        <w:tc>
          <w:tcPr>
            <w:tcW w:w="6804" w:type="dxa"/>
            <w:shd w:val="clear" w:color="auto" w:fill="auto"/>
            <w:vAlign w:val="center"/>
          </w:tcPr>
          <w:p w:rsidR="00751A4A" w:rsidRPr="00D37D5D" w:rsidRDefault="003F2F02" w:rsidP="0010095E">
            <w:pPr>
              <w:pStyle w:val="EPName"/>
            </w:pPr>
            <w:bookmarkStart w:id="0" w:name="_GoBack"/>
            <w:bookmarkEnd w:id="0"/>
            <w:r w:rsidRPr="00D37D5D">
              <w:t>Eiropas Parlaments</w:t>
            </w:r>
          </w:p>
          <w:p w:rsidR="00751A4A" w:rsidRPr="00D37D5D" w:rsidRDefault="005F1B17" w:rsidP="005F1B17">
            <w:pPr>
              <w:pStyle w:val="EPTerm"/>
              <w:rPr>
                <w:rStyle w:val="HideTWBExt"/>
                <w:noProof w:val="0"/>
                <w:vanish w:val="0"/>
                <w:color w:val="auto"/>
              </w:rPr>
            </w:pPr>
            <w:r w:rsidRPr="00D37D5D">
              <w:t>2024</w:t>
            </w:r>
            <w:r w:rsidR="00817416" w:rsidRPr="00D37D5D">
              <w:t>-202</w:t>
            </w:r>
            <w:r w:rsidRPr="00D37D5D">
              <w:t>9</w:t>
            </w:r>
          </w:p>
        </w:tc>
        <w:tc>
          <w:tcPr>
            <w:tcW w:w="2268" w:type="dxa"/>
            <w:shd w:val="clear" w:color="auto" w:fill="auto"/>
          </w:tcPr>
          <w:p w:rsidR="00751A4A" w:rsidRPr="00D37D5D" w:rsidRDefault="00187494" w:rsidP="0010095E">
            <w:pPr>
              <w:pStyle w:val="EPLogo"/>
            </w:pPr>
            <w:r w:rsidRPr="00D37D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7D5D" w:rsidRDefault="00D058B8" w:rsidP="004C5D52">
      <w:pPr>
        <w:pStyle w:val="LineTop"/>
      </w:pPr>
    </w:p>
    <w:p w:rsidR="00680577" w:rsidRPr="00D37D5D" w:rsidRDefault="003F2F02" w:rsidP="00680577">
      <w:pPr>
        <w:pStyle w:val="EPBodyTA1"/>
      </w:pPr>
      <w:r w:rsidRPr="00D37D5D">
        <w:t>PIEŅEMTIE TEKSTI</w:t>
      </w:r>
    </w:p>
    <w:p w:rsidR="00D058B8" w:rsidRPr="00D37D5D" w:rsidRDefault="00D058B8" w:rsidP="00D058B8">
      <w:pPr>
        <w:pStyle w:val="LineBottom"/>
      </w:pPr>
    </w:p>
    <w:p w:rsidR="003F2F02" w:rsidRPr="00D37D5D" w:rsidRDefault="003F2F02" w:rsidP="003F2F02">
      <w:pPr>
        <w:pStyle w:val="ATHeading1"/>
      </w:pPr>
      <w:bookmarkStart w:id="1" w:name="TANumber"/>
      <w:r w:rsidRPr="00D37D5D">
        <w:t>P10_TA(2025)00</w:t>
      </w:r>
      <w:r w:rsidR="00D37D5D" w:rsidRPr="00D37D5D">
        <w:t>4</w:t>
      </w:r>
      <w:r w:rsidRPr="00D37D5D">
        <w:t>0</w:t>
      </w:r>
      <w:bookmarkEnd w:id="1"/>
    </w:p>
    <w:p w:rsidR="003F2F02" w:rsidRPr="00D37D5D" w:rsidRDefault="003F2F02" w:rsidP="003F2F02">
      <w:pPr>
        <w:pStyle w:val="ATHeading2"/>
      </w:pPr>
      <w:bookmarkStart w:id="2" w:name="title"/>
      <w:r w:rsidRPr="00D37D5D">
        <w:t xml:space="preserve">Pieprasījums atcelt </w:t>
      </w:r>
      <w:r w:rsidRPr="00D37D5D">
        <w:rPr>
          <w:i/>
        </w:rPr>
        <w:t xml:space="preserve">Jana </w:t>
      </w:r>
      <w:proofErr w:type="spellStart"/>
      <w:r w:rsidRPr="00D37D5D">
        <w:rPr>
          <w:i/>
        </w:rPr>
        <w:t>Nagyová</w:t>
      </w:r>
      <w:proofErr w:type="spellEnd"/>
      <w:r w:rsidRPr="00D37D5D">
        <w:t xml:space="preserve"> imunitāti</w:t>
      </w:r>
      <w:bookmarkEnd w:id="2"/>
    </w:p>
    <w:p w:rsidR="003F2F02" w:rsidRPr="00D37D5D" w:rsidRDefault="003F2F02" w:rsidP="003F2F02">
      <w:pPr>
        <w:rPr>
          <w:i/>
          <w:vanish/>
        </w:rPr>
      </w:pPr>
      <w:r w:rsidRPr="00D37D5D">
        <w:rPr>
          <w:i/>
        </w:rPr>
        <w:fldChar w:fldCharType="begin"/>
      </w:r>
      <w:r w:rsidRPr="00D37D5D">
        <w:rPr>
          <w:i/>
        </w:rPr>
        <w:instrText xml:space="preserve"> TC"(</w:instrText>
      </w:r>
      <w:bookmarkStart w:id="3" w:name="DocNumber"/>
      <w:r w:rsidRPr="00D37D5D">
        <w:rPr>
          <w:i/>
        </w:rPr>
        <w:instrText>A10-0029/2025</w:instrText>
      </w:r>
      <w:bookmarkEnd w:id="3"/>
      <w:r w:rsidRPr="00D37D5D">
        <w:rPr>
          <w:i/>
        </w:rPr>
        <w:instrText xml:space="preserve"> - Referents: Krzysztof Śmiszek)"\l3 \n&gt; \* MERGEFORMAT </w:instrText>
      </w:r>
      <w:r w:rsidRPr="00D37D5D">
        <w:rPr>
          <w:i/>
        </w:rPr>
        <w:fldChar w:fldCharType="end"/>
      </w:r>
    </w:p>
    <w:p w:rsidR="003F2F02" w:rsidRPr="00D37D5D" w:rsidRDefault="003F2F02" w:rsidP="003F2F02">
      <w:pPr>
        <w:rPr>
          <w:vanish/>
        </w:rPr>
      </w:pPr>
      <w:bookmarkStart w:id="4" w:name="Commission"/>
      <w:r w:rsidRPr="00D37D5D">
        <w:rPr>
          <w:vanish/>
        </w:rPr>
        <w:t>Juridiskā komiteja</w:t>
      </w:r>
      <w:bookmarkEnd w:id="4"/>
    </w:p>
    <w:p w:rsidR="003F2F02" w:rsidRPr="00D37D5D" w:rsidRDefault="003F2F02" w:rsidP="003F2F02">
      <w:pPr>
        <w:rPr>
          <w:vanish/>
        </w:rPr>
      </w:pPr>
      <w:bookmarkStart w:id="5" w:name="PE"/>
      <w:r w:rsidRPr="00D37D5D">
        <w:rPr>
          <w:vanish/>
        </w:rPr>
        <w:t>PE766.947</w:t>
      </w:r>
      <w:bookmarkEnd w:id="5"/>
    </w:p>
    <w:p w:rsidR="001741C5" w:rsidRPr="00D37D5D" w:rsidRDefault="003F2F02" w:rsidP="00134E19">
      <w:pPr>
        <w:pStyle w:val="ATHeading3"/>
      </w:pPr>
      <w:bookmarkStart w:id="6" w:name="Sujet"/>
      <w:r w:rsidRPr="00D37D5D">
        <w:t xml:space="preserve">Eiropas Parlamenta 2025. gada </w:t>
      </w:r>
      <w:r w:rsidR="00134E19" w:rsidRPr="00D37D5D">
        <w:t>1</w:t>
      </w:r>
      <w:r w:rsidRPr="00D37D5D">
        <w:t xml:space="preserve">. </w:t>
      </w:r>
      <w:r w:rsidR="00134E19" w:rsidRPr="00D37D5D">
        <w:t>aprīļa</w:t>
      </w:r>
      <w:r w:rsidRPr="00D37D5D">
        <w:t xml:space="preserve"> lēmums par pieprasījumu atcelt </w:t>
      </w:r>
      <w:r w:rsidRPr="00D37D5D">
        <w:rPr>
          <w:i/>
        </w:rPr>
        <w:t xml:space="preserve">Jana </w:t>
      </w:r>
      <w:proofErr w:type="spellStart"/>
      <w:r w:rsidRPr="00D37D5D">
        <w:rPr>
          <w:i/>
        </w:rPr>
        <w:t>Nagyová</w:t>
      </w:r>
      <w:proofErr w:type="spellEnd"/>
      <w:r w:rsidRPr="00D37D5D">
        <w:t xml:space="preserve"> imunitāti</w:t>
      </w:r>
      <w:bookmarkEnd w:id="6"/>
      <w:r w:rsidRPr="00D37D5D">
        <w:t xml:space="preserve"> </w:t>
      </w:r>
      <w:bookmarkStart w:id="7" w:name="References"/>
      <w:r w:rsidRPr="00D37D5D">
        <w:t>(2024/2035(IMM))</w:t>
      </w:r>
      <w:bookmarkStart w:id="8" w:name="TextBodyBegin"/>
      <w:bookmarkEnd w:id="7"/>
      <w:bookmarkEnd w:id="8"/>
    </w:p>
    <w:p w:rsidR="001741C5" w:rsidRPr="00D37D5D" w:rsidRDefault="001741C5" w:rsidP="001741C5">
      <w:pPr>
        <w:pStyle w:val="EPComma"/>
      </w:pPr>
      <w:r w:rsidRPr="00D37D5D">
        <w:rPr>
          <w:i/>
          <w:iCs/>
        </w:rPr>
        <w:t>Eiropas Parlaments</w:t>
      </w:r>
      <w:r w:rsidRPr="00D37D5D">
        <w:t>,</w:t>
      </w:r>
    </w:p>
    <w:p w:rsidR="001741C5" w:rsidRPr="00D37D5D" w:rsidRDefault="001741C5" w:rsidP="001741C5">
      <w:pPr>
        <w:pStyle w:val="NormalHanging12a"/>
      </w:pPr>
      <w:r w:rsidRPr="00D37D5D">
        <w:t>–</w:t>
      </w:r>
      <w:r w:rsidRPr="00D37D5D">
        <w:tab/>
        <w:t xml:space="preserve">ņemot vērā pieprasījumu atcelt </w:t>
      </w:r>
      <w:r w:rsidRPr="00D37D5D">
        <w:rPr>
          <w:i/>
          <w:iCs/>
        </w:rPr>
        <w:t xml:space="preserve">Jana </w:t>
      </w:r>
      <w:proofErr w:type="spellStart"/>
      <w:r w:rsidRPr="00D37D5D">
        <w:rPr>
          <w:i/>
          <w:iCs/>
        </w:rPr>
        <w:t>Nagyová</w:t>
      </w:r>
      <w:proofErr w:type="spellEnd"/>
      <w:r w:rsidRPr="00D37D5D">
        <w:t xml:space="preserve"> imunitāti, kuru Prāgas Augstajā tiesa saistībā ar šajā tiesā apelācijas instancē notiekošu tiesvedību krimināllietā Nr. 3 To 34/2024 nosūtījusi 2024. gada 1. jūlijā un par kuru paziņots 2024. gada 19. jūlija plenārsēdē,</w:t>
      </w:r>
    </w:p>
    <w:p w:rsidR="001741C5" w:rsidRPr="00D37D5D" w:rsidRDefault="001741C5" w:rsidP="001741C5">
      <w:pPr>
        <w:pStyle w:val="NormalHanging12a"/>
      </w:pPr>
      <w:r w:rsidRPr="00D37D5D">
        <w:t>–</w:t>
      </w:r>
      <w:r w:rsidRPr="00D37D5D">
        <w:tab/>
        <w:t xml:space="preserve">pēc </w:t>
      </w:r>
      <w:r w:rsidRPr="00D37D5D">
        <w:rPr>
          <w:i/>
          <w:iCs/>
        </w:rPr>
        <w:t xml:space="preserve">Jana </w:t>
      </w:r>
      <w:proofErr w:type="spellStart"/>
      <w:r w:rsidRPr="00D37D5D">
        <w:rPr>
          <w:i/>
          <w:iCs/>
        </w:rPr>
        <w:t>Nagyová</w:t>
      </w:r>
      <w:proofErr w:type="spellEnd"/>
      <w:r w:rsidRPr="00D37D5D">
        <w:t xml:space="preserve"> uzklausīšanas 2025. gada 29. janvārī saskaņā ar Reglamenta 9. panta 6. punktu,</w:t>
      </w:r>
    </w:p>
    <w:p w:rsidR="001741C5" w:rsidRPr="00D37D5D" w:rsidRDefault="001741C5" w:rsidP="001741C5">
      <w:pPr>
        <w:pStyle w:val="NormalHanging12a"/>
      </w:pPr>
      <w:r w:rsidRPr="00D37D5D">
        <w:t>–</w:t>
      </w:r>
      <w:r w:rsidRPr="00D37D5D">
        <w:tab/>
        <w:t>ņemot vērā Protokola Nr. 7 par privilēģijām un imunitāti Eiropas Savienībā 8. un 9. pantu, kā arī 1976. gada 20. septembra Akta par Eiropas Parlamenta deputātu ievēlēšanu tiešās vispārējās vēlēšanās 6. panta 2. punktu,</w:t>
      </w:r>
    </w:p>
    <w:p w:rsidR="001741C5" w:rsidRPr="00D37D5D" w:rsidRDefault="001741C5" w:rsidP="001741C5">
      <w:pPr>
        <w:pStyle w:val="NormalHanging12a"/>
      </w:pPr>
      <w:r w:rsidRPr="00D37D5D">
        <w:t>–</w:t>
      </w:r>
      <w:r w:rsidRPr="00D37D5D">
        <w:tab/>
        <w:t>ņemot vērā Eiropas Savienības Tiesas 2008. gada 21. oktobra, 2010. gada 19. marta, 2011. gada 6. septembra, 2013. gada 17. janvāra, 2019. gada 19. decembra un 2023. gada 5. jūlija spriedumu</w:t>
      </w:r>
      <w:r w:rsidR="00BE5A68" w:rsidRPr="00D37D5D">
        <w:t>s</w:t>
      </w:r>
      <w:r w:rsidRPr="00D37D5D">
        <w:rPr>
          <w:rStyle w:val="FootnoteReference"/>
          <w:color w:val="000000"/>
        </w:rPr>
        <w:footnoteReference w:id="1"/>
      </w:r>
      <w:r w:rsidRPr="00D37D5D">
        <w:t>,</w:t>
      </w:r>
    </w:p>
    <w:p w:rsidR="001741C5" w:rsidRPr="00D37D5D" w:rsidRDefault="001741C5" w:rsidP="001741C5">
      <w:pPr>
        <w:pStyle w:val="NormalHanging12a"/>
      </w:pPr>
      <w:r w:rsidRPr="00D37D5D">
        <w:t>–</w:t>
      </w:r>
      <w:r w:rsidRPr="00D37D5D">
        <w:tab/>
        <w:t xml:space="preserve">ņemot vērā Čehijas Republikas Konstitūcijas 27. pantu un Likuma Nr. 141/1961 </w:t>
      </w:r>
      <w:proofErr w:type="spellStart"/>
      <w:r w:rsidRPr="00D37D5D">
        <w:rPr>
          <w:i/>
          <w:iCs/>
        </w:rPr>
        <w:t>Coll</w:t>
      </w:r>
      <w:proofErr w:type="spellEnd"/>
      <w:r w:rsidRPr="00D37D5D">
        <w:t>. par kriminālprocesu (Čehijas</w:t>
      </w:r>
      <w:r w:rsidR="00BE5A68" w:rsidRPr="00D37D5D">
        <w:t xml:space="preserve"> Republikas</w:t>
      </w:r>
      <w:r w:rsidRPr="00D37D5D">
        <w:t xml:space="preserve"> Kriminālprocesa kodekss) l0. panta 1. punktu,</w:t>
      </w:r>
    </w:p>
    <w:p w:rsidR="001741C5" w:rsidRPr="00D37D5D" w:rsidRDefault="001741C5" w:rsidP="001741C5">
      <w:pPr>
        <w:pStyle w:val="NormalHanging12a"/>
      </w:pPr>
      <w:r w:rsidRPr="00D37D5D">
        <w:t>–</w:t>
      </w:r>
      <w:r w:rsidRPr="00D37D5D">
        <w:tab/>
        <w:t>ņemot vērā Reglamenta 5. panta 2. punktu, 6. panta 1. punktu un 9. pantu,</w:t>
      </w:r>
    </w:p>
    <w:p w:rsidR="001741C5" w:rsidRPr="00D37D5D" w:rsidRDefault="001741C5" w:rsidP="001741C5">
      <w:pPr>
        <w:pStyle w:val="NormalHanging12a"/>
      </w:pPr>
      <w:r w:rsidRPr="00D37D5D">
        <w:lastRenderedPageBreak/>
        <w:t>–</w:t>
      </w:r>
      <w:r w:rsidRPr="00D37D5D">
        <w:tab/>
        <w:t>ņemot vērā Juridiskās komitejas ziņojumu (A10</w:t>
      </w:r>
      <w:r w:rsidRPr="00D37D5D">
        <w:noBreakHyphen/>
        <w:t>0029/2025),</w:t>
      </w:r>
    </w:p>
    <w:p w:rsidR="001741C5" w:rsidRPr="00D37D5D" w:rsidRDefault="001741C5" w:rsidP="001741C5">
      <w:pPr>
        <w:pStyle w:val="NormalHanging12a"/>
      </w:pPr>
      <w:r w:rsidRPr="00D37D5D">
        <w:t>A.</w:t>
      </w:r>
      <w:r w:rsidRPr="00D37D5D">
        <w:tab/>
        <w:t xml:space="preserve">tā kā 2024. gada 1. jūlijā Prāgas Augstā tiesa iesniedza pieprasījumu atcelt no Čehijas Republikas ievēlētās Eiropas Parlamenta deputātes </w:t>
      </w:r>
      <w:r w:rsidRPr="00D37D5D">
        <w:rPr>
          <w:i/>
          <w:iCs/>
        </w:rPr>
        <w:t xml:space="preserve">Jana </w:t>
      </w:r>
      <w:proofErr w:type="spellStart"/>
      <w:r w:rsidRPr="00D37D5D">
        <w:rPr>
          <w:i/>
          <w:iCs/>
        </w:rPr>
        <w:t>Nagyová</w:t>
      </w:r>
      <w:proofErr w:type="spellEnd"/>
      <w:r w:rsidRPr="00D37D5D">
        <w:t xml:space="preserve"> parlamentāro imunitāti, lai turpinātu kriminālprocesu, kas minētajā tiesā pašlaik tiek izskatīts apelācijas kārtībā, par apsūdzību noziedzīga nodarījuma izdarīšanā saistībā ar krāpšanu subsīdiju jomā, kas ir reglamentēta 212. panta 1. un 6. punkta a) apakšpunktā, un pārkāpumu par kaitējumu Eiropas Savienības finanšu interesēm saskaņā ar 260. panta 1. un 5. punktu Likumā Nr. 40/2009 </w:t>
      </w:r>
      <w:proofErr w:type="spellStart"/>
      <w:r w:rsidRPr="00D37D5D">
        <w:rPr>
          <w:i/>
          <w:iCs/>
        </w:rPr>
        <w:t>Coll</w:t>
      </w:r>
      <w:proofErr w:type="spellEnd"/>
      <w:r w:rsidRPr="00D37D5D">
        <w:t>. (Čehijas Republikas Kriminālkodekss);</w:t>
      </w:r>
    </w:p>
    <w:p w:rsidR="001741C5" w:rsidRPr="00D37D5D" w:rsidRDefault="001741C5" w:rsidP="001741C5">
      <w:pPr>
        <w:pStyle w:val="NormalHanging12a"/>
      </w:pPr>
      <w:r w:rsidRPr="00D37D5D">
        <w:t>B.</w:t>
      </w:r>
      <w:r w:rsidRPr="00D37D5D">
        <w:tab/>
        <w:t xml:space="preserve">tā kā kriminālprocess pret </w:t>
      </w:r>
      <w:r w:rsidRPr="00D37D5D">
        <w:rPr>
          <w:i/>
          <w:iCs/>
        </w:rPr>
        <w:t xml:space="preserve">Jana </w:t>
      </w:r>
      <w:proofErr w:type="spellStart"/>
      <w:r w:rsidRPr="00D37D5D">
        <w:rPr>
          <w:i/>
          <w:iCs/>
        </w:rPr>
        <w:t>Nagyová</w:t>
      </w:r>
      <w:proofErr w:type="spellEnd"/>
      <w:r w:rsidRPr="00D37D5D">
        <w:t xml:space="preserve"> tiek veikts, pamatojoties uz Valsts prokuratūras Prāgas nodaļas 2022. gada 21. marta apsūdzības rakstu par darbību, ko viņa, iespējams, ir izdarījusi kopā ar </w:t>
      </w:r>
      <w:proofErr w:type="spellStart"/>
      <w:r w:rsidRPr="00D37D5D">
        <w:t>līdzapsūdzēto</w:t>
      </w:r>
      <w:proofErr w:type="spellEnd"/>
      <w:r w:rsidRPr="00D37D5D">
        <w:t>, pamatojoties uz to, ka viņa kā persona, kura profesionāli strādā ar S</w:t>
      </w:r>
      <w:r w:rsidR="00134E19" w:rsidRPr="00D37D5D">
        <w:t>avienības</w:t>
      </w:r>
      <w:r w:rsidRPr="00D37D5D">
        <w:t xml:space="preserve"> dotācijām laikposmā no 2008. gada 17. janvāra līdz 2010. gada 5. janvārim, atrazdamās kādas Čehijas komercsabiedrības valdes priekšsēdētāja vietnieces amatā, lūdza piešķirt dotāciju, zinot, ka šai komercsabiedrībai uz to tiesību nav, un sniedzot nepatiesu informāciju par to, ka uzņēmums ir mazs un neatkarīgs;</w:t>
      </w:r>
    </w:p>
    <w:p w:rsidR="001741C5" w:rsidRPr="00D37D5D" w:rsidRDefault="001741C5" w:rsidP="001741C5">
      <w:pPr>
        <w:pStyle w:val="NormalHanging12a"/>
      </w:pPr>
      <w:r w:rsidRPr="00D37D5D">
        <w:t>C.</w:t>
      </w:r>
      <w:r w:rsidRPr="00D37D5D">
        <w:tab/>
        <w:t>tā kā parlamentārās imunitātes mērķis ir aizsargāt Parlamentu un tā deputātus pret tiesvedību, kas tiek ierosināta saistībā ar darbībām, kuras ir veiktas, pildot parlamentāros pienākumus, un kuras atrauti no šiem pienākumiem skatīt nevar;</w:t>
      </w:r>
    </w:p>
    <w:p w:rsidR="001741C5" w:rsidRPr="00D37D5D" w:rsidRDefault="001741C5" w:rsidP="001741C5">
      <w:pPr>
        <w:pStyle w:val="NormalHanging12a"/>
      </w:pPr>
      <w:r w:rsidRPr="00D37D5D">
        <w:t>D.</w:t>
      </w:r>
      <w:r w:rsidRPr="00D37D5D">
        <w:tab/>
        <w:t>tā kā inkriminētie noziedzīgie nodarījumi neattiecas nedz uz viedokli, ko viņa ir paudusi, nedz balsojumu, kuru viņa ir izdarījusi, veikdama savas kā Eiropas Parlamenta deputāta funkcijas Protokola Nr. 7 par privilēģijām un imunitātēm Eiropas Savienībā 8. panta nozīmē;</w:t>
      </w:r>
    </w:p>
    <w:p w:rsidR="001741C5" w:rsidRPr="00D37D5D" w:rsidRDefault="001741C5" w:rsidP="001741C5">
      <w:pPr>
        <w:pStyle w:val="NormalHanging12a"/>
      </w:pPr>
      <w:r w:rsidRPr="00D37D5D">
        <w:t>E.</w:t>
      </w:r>
      <w:r w:rsidRPr="00D37D5D">
        <w:tab/>
        <w:t>tā kā saskaņā ar Protokola Nr. 7 par privilēģijām un imunitāti Eiropas Savienībā 9. panta pirmās daļas a) apakšpunktu Eiropas Parlamenta locekļiem savā valstī ir imunitāte, ko piešķir attiecīgās valsts parlamenta locekļiem;</w:t>
      </w:r>
    </w:p>
    <w:p w:rsidR="001741C5" w:rsidRPr="00D37D5D" w:rsidRDefault="001741C5" w:rsidP="001741C5">
      <w:pPr>
        <w:pStyle w:val="NormalHanging12a"/>
      </w:pPr>
      <w:r w:rsidRPr="00D37D5D">
        <w:t>F.</w:t>
      </w:r>
      <w:r w:rsidRPr="00D37D5D">
        <w:tab/>
        <w:t>tā kā Čehijas Republikas Konstitūcijas 27. panta 4. punktā ir noteikts, ka deputātus un senatorus var saukt pie kriminālatbildības tikai ar tās palātas piekrišanu, kuras loceklis viņi ir, un ka, ja attiecīgā palāta saukšanai pie atbildības nepiekrīt, kriminālprocesu minēto deputātu un senatoru pilnvaru laikā neierosina;</w:t>
      </w:r>
    </w:p>
    <w:p w:rsidR="001741C5" w:rsidRPr="00D37D5D" w:rsidRDefault="001741C5" w:rsidP="001741C5">
      <w:pPr>
        <w:pStyle w:val="NormalHanging12a"/>
      </w:pPr>
      <w:r w:rsidRPr="00D37D5D">
        <w:t>G.</w:t>
      </w:r>
      <w:r w:rsidRPr="00D37D5D">
        <w:tab/>
        <w:t xml:space="preserve">tā kā šajā lietā Parlaments nav guvis pierādījumus par </w:t>
      </w:r>
      <w:proofErr w:type="spellStart"/>
      <w:r w:rsidRPr="00D37D5D">
        <w:rPr>
          <w:i/>
          <w:iCs/>
        </w:rPr>
        <w:t>fumus</w:t>
      </w:r>
      <w:proofErr w:type="spellEnd"/>
      <w:r w:rsidRPr="00D37D5D">
        <w:rPr>
          <w:i/>
          <w:iCs/>
        </w:rPr>
        <w:t xml:space="preserve"> </w:t>
      </w:r>
      <w:proofErr w:type="spellStart"/>
      <w:r w:rsidRPr="00D37D5D">
        <w:rPr>
          <w:i/>
          <w:iCs/>
        </w:rPr>
        <w:t>persecutionis</w:t>
      </w:r>
      <w:proofErr w:type="spellEnd"/>
      <w:r w:rsidRPr="00D37D5D">
        <w:t>, proti, faktiskiem apstākļiem, kas liecinātu par to, ka attiecīgais kriminālprocess ir ierosināts, lai kaitētu attiecīgās deputātes un tādējādi arī Eiropas Parlamenta politiskajai darbībai;</w:t>
      </w:r>
    </w:p>
    <w:p w:rsidR="001741C5" w:rsidRPr="00D37D5D" w:rsidRDefault="001741C5" w:rsidP="001741C5">
      <w:pPr>
        <w:pStyle w:val="NormalHanging12a"/>
      </w:pPr>
      <w:r w:rsidRPr="00D37D5D">
        <w:t>H.</w:t>
      </w:r>
      <w:r w:rsidRPr="00D37D5D">
        <w:tab/>
        <w:t>tā kā, no vienas puses, Parlaments nevar tikt pielīdzināts tiesai un, no otras puses, deputāts imunitātes atcelšanas procedūras kontekstā nevar tikt uzskatīts par apsūdzēto</w:t>
      </w:r>
      <w:r w:rsidRPr="00D37D5D">
        <w:rPr>
          <w:rStyle w:val="FootnoteReference"/>
          <w:color w:val="000000"/>
        </w:rPr>
        <w:footnoteReference w:id="2"/>
      </w:r>
      <w:r w:rsidRPr="00D37D5D">
        <w:t>,</w:t>
      </w:r>
    </w:p>
    <w:p w:rsidR="001741C5" w:rsidRPr="00D37D5D" w:rsidRDefault="001741C5" w:rsidP="001741C5">
      <w:pPr>
        <w:pStyle w:val="NormalHanging12a"/>
      </w:pPr>
      <w:r w:rsidRPr="00D37D5D">
        <w:t>1.</w:t>
      </w:r>
      <w:r w:rsidRPr="00D37D5D">
        <w:tab/>
        <w:t xml:space="preserve">nolemj atcelt </w:t>
      </w:r>
      <w:r w:rsidRPr="00D37D5D">
        <w:rPr>
          <w:i/>
          <w:iCs/>
        </w:rPr>
        <w:t xml:space="preserve">Jana </w:t>
      </w:r>
      <w:proofErr w:type="spellStart"/>
      <w:r w:rsidRPr="00D37D5D">
        <w:rPr>
          <w:i/>
          <w:iCs/>
        </w:rPr>
        <w:t>Nagyová</w:t>
      </w:r>
      <w:proofErr w:type="spellEnd"/>
      <w:r w:rsidRPr="00D37D5D">
        <w:t xml:space="preserve"> imunitāti;</w:t>
      </w:r>
    </w:p>
    <w:p w:rsidR="00E365E1" w:rsidRPr="00D37D5D" w:rsidRDefault="001741C5" w:rsidP="00D37D5D">
      <w:pPr>
        <w:pStyle w:val="NormalHanging12a"/>
      </w:pPr>
      <w:r w:rsidRPr="00D37D5D">
        <w:t>2.</w:t>
      </w:r>
      <w:r w:rsidRPr="00D37D5D">
        <w:tab/>
        <w:t xml:space="preserve">uzdod priekšsēdētājai šo lēmumu un atbildīgās komitejas ziņojumu nekavējoties nosūtīt Čehijas Republikas kompetentajai iestādei un </w:t>
      </w:r>
      <w:r w:rsidRPr="00D37D5D">
        <w:rPr>
          <w:i/>
          <w:iCs/>
        </w:rPr>
        <w:t xml:space="preserve">Jana </w:t>
      </w:r>
      <w:proofErr w:type="spellStart"/>
      <w:r w:rsidRPr="00D37D5D">
        <w:rPr>
          <w:i/>
          <w:iCs/>
        </w:rPr>
        <w:t>Nagyová</w:t>
      </w:r>
      <w:proofErr w:type="spellEnd"/>
      <w:r w:rsidRPr="00D37D5D">
        <w:t>.</w:t>
      </w:r>
    </w:p>
    <w:sectPr w:rsidR="00E365E1" w:rsidRPr="00D37D5D" w:rsidSect="0032511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F02" w:rsidRPr="0032511E" w:rsidRDefault="003F2F02">
      <w:r w:rsidRPr="0032511E">
        <w:separator/>
      </w:r>
    </w:p>
  </w:endnote>
  <w:endnote w:type="continuationSeparator" w:id="0">
    <w:p w:rsidR="003F2F02" w:rsidRPr="0032511E" w:rsidRDefault="003F2F02">
      <w:r w:rsidRPr="00325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1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1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1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F02" w:rsidRPr="0032511E" w:rsidRDefault="003F2F02">
      <w:r w:rsidRPr="0032511E">
        <w:separator/>
      </w:r>
    </w:p>
  </w:footnote>
  <w:footnote w:type="continuationSeparator" w:id="0">
    <w:p w:rsidR="003F2F02" w:rsidRPr="0032511E" w:rsidRDefault="003F2F02">
      <w:r w:rsidRPr="0032511E">
        <w:continuationSeparator/>
      </w:r>
    </w:p>
  </w:footnote>
  <w:footnote w:id="1">
    <w:p w:rsidR="001741C5" w:rsidRPr="0032511E" w:rsidRDefault="001741C5" w:rsidP="0032511E">
      <w:pPr>
        <w:pStyle w:val="FootnoteText"/>
        <w:ind w:left="567" w:hanging="567"/>
        <w:rPr>
          <w:sz w:val="24"/>
          <w:lang w:val="lv-LV"/>
        </w:rPr>
      </w:pPr>
      <w:r w:rsidRPr="0032511E">
        <w:rPr>
          <w:rStyle w:val="FootnoteReference"/>
          <w:sz w:val="24"/>
          <w:lang w:val="lv-LV"/>
        </w:rPr>
        <w:footnoteRef/>
      </w:r>
      <w:r w:rsidR="0032511E" w:rsidRPr="0032511E">
        <w:rPr>
          <w:sz w:val="24"/>
          <w:lang w:val="lv-LV"/>
        </w:rPr>
        <w:t xml:space="preserve"> </w:t>
      </w:r>
      <w:r w:rsidR="0032511E" w:rsidRPr="0032511E">
        <w:rPr>
          <w:sz w:val="24"/>
          <w:lang w:val="lv-LV"/>
        </w:rPr>
        <w:tab/>
      </w:r>
      <w:r w:rsidRPr="0032511E">
        <w:rPr>
          <w:sz w:val="24"/>
          <w:lang w:val="lv-LV"/>
        </w:rPr>
        <w:t xml:space="preserve">Tiesas 2008. gada 21. oktobra spriedums, </w:t>
      </w:r>
      <w:proofErr w:type="spellStart"/>
      <w:r w:rsidRPr="0032511E">
        <w:rPr>
          <w:i/>
          <w:iCs/>
          <w:sz w:val="24"/>
          <w:lang w:val="lv-LV"/>
        </w:rPr>
        <w:t>Marra</w:t>
      </w:r>
      <w:proofErr w:type="spellEnd"/>
      <w:r w:rsidRPr="0032511E">
        <w:rPr>
          <w:sz w:val="24"/>
          <w:lang w:val="lv-LV"/>
        </w:rPr>
        <w:t>/</w:t>
      </w:r>
      <w:proofErr w:type="spellStart"/>
      <w:r w:rsidRPr="0032511E">
        <w:rPr>
          <w:i/>
          <w:iCs/>
          <w:sz w:val="24"/>
          <w:lang w:val="lv-LV"/>
        </w:rPr>
        <w:t>De</w:t>
      </w:r>
      <w:proofErr w:type="spellEnd"/>
      <w:r w:rsidRPr="0032511E">
        <w:rPr>
          <w:i/>
          <w:iCs/>
          <w:sz w:val="24"/>
          <w:lang w:val="lv-LV"/>
        </w:rPr>
        <w:t xml:space="preserve"> Gregorio</w:t>
      </w:r>
      <w:r w:rsidRPr="0032511E">
        <w:rPr>
          <w:sz w:val="24"/>
          <w:lang w:val="lv-LV"/>
        </w:rPr>
        <w:t xml:space="preserve"> un </w:t>
      </w:r>
      <w:proofErr w:type="spellStart"/>
      <w:r w:rsidRPr="0032511E">
        <w:rPr>
          <w:i/>
          <w:iCs/>
          <w:sz w:val="24"/>
          <w:lang w:val="lv-LV"/>
        </w:rPr>
        <w:t>Clemente</w:t>
      </w:r>
      <w:proofErr w:type="spellEnd"/>
      <w:r w:rsidRPr="0032511E">
        <w:rPr>
          <w:sz w:val="24"/>
          <w:lang w:val="lv-LV"/>
        </w:rPr>
        <w:t xml:space="preserve">, C-200/07 un C-201/07, ECLI:EU:C:2008:579; Vispārējās tiesas 2010. gada 19. marta spriedums, </w:t>
      </w:r>
      <w:proofErr w:type="spellStart"/>
      <w:r w:rsidRPr="0032511E">
        <w:rPr>
          <w:i/>
          <w:iCs/>
          <w:sz w:val="24"/>
          <w:lang w:val="lv-LV"/>
        </w:rPr>
        <w:t>Gollnisch</w:t>
      </w:r>
      <w:proofErr w:type="spellEnd"/>
      <w:r w:rsidRPr="0032511E">
        <w:rPr>
          <w:sz w:val="24"/>
          <w:lang w:val="lv-LV"/>
        </w:rPr>
        <w:t xml:space="preserve">/Parlaments, T-42/06, ECLI:EU:T:2010:102; Tiesas 2011. gada 6. septembra spriedums, </w:t>
      </w:r>
      <w:proofErr w:type="spellStart"/>
      <w:r w:rsidRPr="0032511E">
        <w:rPr>
          <w:i/>
          <w:iCs/>
          <w:sz w:val="24"/>
          <w:lang w:val="lv-LV"/>
        </w:rPr>
        <w:t>Patriciello</w:t>
      </w:r>
      <w:proofErr w:type="spellEnd"/>
      <w:r w:rsidRPr="0032511E">
        <w:rPr>
          <w:sz w:val="24"/>
          <w:lang w:val="lv-LV"/>
        </w:rPr>
        <w:t xml:space="preserve">, C-163/10, ECLI: EU:C:2011:543; Vispārējās tiesas 2013. gada 17. janvāra spriedums, </w:t>
      </w:r>
      <w:proofErr w:type="spellStart"/>
      <w:r w:rsidRPr="0032511E">
        <w:rPr>
          <w:i/>
          <w:iCs/>
          <w:sz w:val="24"/>
          <w:lang w:val="lv-LV"/>
        </w:rPr>
        <w:t>Gollnisch</w:t>
      </w:r>
      <w:proofErr w:type="spellEnd"/>
      <w:r w:rsidRPr="0032511E">
        <w:rPr>
          <w:sz w:val="24"/>
          <w:lang w:val="lv-LV"/>
        </w:rPr>
        <w:t xml:space="preserve">/Parlaments, T-346/11 un T-347/11, ECLI:EU:T:2013:23. Tiesas 2019. gada 19. decembra spriedums, </w:t>
      </w:r>
      <w:proofErr w:type="spellStart"/>
      <w:r w:rsidRPr="0032511E">
        <w:rPr>
          <w:i/>
          <w:iCs/>
          <w:sz w:val="24"/>
          <w:lang w:val="lv-LV"/>
        </w:rPr>
        <w:t>Junqueras</w:t>
      </w:r>
      <w:proofErr w:type="spellEnd"/>
      <w:r w:rsidRPr="0032511E">
        <w:rPr>
          <w:i/>
          <w:iCs/>
          <w:sz w:val="24"/>
          <w:lang w:val="lv-LV"/>
        </w:rPr>
        <w:t xml:space="preserve"> Vies</w:t>
      </w:r>
      <w:r w:rsidRPr="0032511E">
        <w:rPr>
          <w:sz w:val="24"/>
          <w:lang w:val="lv-LV"/>
        </w:rPr>
        <w:t xml:space="preserve">, C-502/19, ECLI:EU:C:2019:1115; Vispārējās tiesas 2023. gada 5. jūlija spriedums, </w:t>
      </w:r>
      <w:proofErr w:type="spellStart"/>
      <w:r w:rsidRPr="0032511E">
        <w:rPr>
          <w:i/>
          <w:iCs/>
          <w:sz w:val="24"/>
          <w:lang w:val="lv-LV"/>
        </w:rPr>
        <w:t>Puigdemont</w:t>
      </w:r>
      <w:proofErr w:type="spellEnd"/>
      <w:r w:rsidRPr="0032511E">
        <w:rPr>
          <w:i/>
          <w:iCs/>
          <w:sz w:val="24"/>
          <w:lang w:val="lv-LV"/>
        </w:rPr>
        <w:t xml:space="preserve"> i </w:t>
      </w:r>
      <w:proofErr w:type="spellStart"/>
      <w:r w:rsidRPr="0032511E">
        <w:rPr>
          <w:i/>
          <w:iCs/>
          <w:sz w:val="24"/>
          <w:lang w:val="lv-LV"/>
        </w:rPr>
        <w:t>Casamajó</w:t>
      </w:r>
      <w:proofErr w:type="spellEnd"/>
      <w:r w:rsidRPr="0032511E">
        <w:rPr>
          <w:sz w:val="24"/>
          <w:lang w:val="lv-LV"/>
        </w:rPr>
        <w:t xml:space="preserve"> u.c./Parlaments, T-272/21/P, ECLI:EU:T:2023:373.</w:t>
      </w:r>
    </w:p>
  </w:footnote>
  <w:footnote w:id="2">
    <w:p w:rsidR="001741C5" w:rsidRPr="0032511E" w:rsidRDefault="001741C5" w:rsidP="0032511E">
      <w:pPr>
        <w:pStyle w:val="FootnoteText"/>
        <w:ind w:left="567" w:hanging="567"/>
        <w:rPr>
          <w:sz w:val="24"/>
          <w:lang w:val="lv-LV"/>
        </w:rPr>
      </w:pPr>
      <w:r w:rsidRPr="0032511E">
        <w:rPr>
          <w:rStyle w:val="FootnoteReference"/>
          <w:sz w:val="24"/>
          <w:lang w:val="lv-LV"/>
        </w:rPr>
        <w:footnoteRef/>
      </w:r>
      <w:r w:rsidR="0032511E" w:rsidRPr="0032511E">
        <w:rPr>
          <w:sz w:val="24"/>
          <w:lang w:val="lv-LV"/>
        </w:rPr>
        <w:t xml:space="preserve"> </w:t>
      </w:r>
      <w:r w:rsidR="0032511E" w:rsidRPr="0032511E">
        <w:rPr>
          <w:sz w:val="24"/>
          <w:lang w:val="lv-LV"/>
        </w:rPr>
        <w:tab/>
      </w:r>
      <w:r w:rsidRPr="0032511E">
        <w:rPr>
          <w:sz w:val="24"/>
          <w:lang w:val="lv-LV"/>
        </w:rPr>
        <w:t xml:space="preserve">Vispārējās tiesas 2019. gada 30. aprīļa spriedums, </w:t>
      </w:r>
      <w:proofErr w:type="spellStart"/>
      <w:r w:rsidRPr="0032511E">
        <w:rPr>
          <w:i/>
          <w:iCs/>
          <w:sz w:val="24"/>
          <w:lang w:val="lv-LV"/>
        </w:rPr>
        <w:t>Briois</w:t>
      </w:r>
      <w:proofErr w:type="spellEnd"/>
      <w:r w:rsidRPr="0032511E">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1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1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51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LV"/>
    <w:docVar w:name="dvnumam" w:val="0"/>
    <w:docVar w:name="dvpe" w:val="766.947"/>
    <w:docVar w:name="dvrapporteur" w:val="Referents: "/>
    <w:docVar w:name="dvtitre" w:val="Eiropas Parlamenta 2025. gada XX. XXX lēmums par pieprasījumu atcelt Jana Nagyová imunitāti(2024/2035(IMM))"/>
  </w:docVars>
  <w:rsids>
    <w:rsidRoot w:val="003F2F02"/>
    <w:rsid w:val="00002272"/>
    <w:rsid w:val="00056E03"/>
    <w:rsid w:val="00064002"/>
    <w:rsid w:val="000677B9"/>
    <w:rsid w:val="000831BA"/>
    <w:rsid w:val="000A42CC"/>
    <w:rsid w:val="000E7DD9"/>
    <w:rsid w:val="0010095E"/>
    <w:rsid w:val="00125B37"/>
    <w:rsid w:val="00134E19"/>
    <w:rsid w:val="001741C5"/>
    <w:rsid w:val="00187494"/>
    <w:rsid w:val="001F32AE"/>
    <w:rsid w:val="002767FF"/>
    <w:rsid w:val="002B18FE"/>
    <w:rsid w:val="002B5493"/>
    <w:rsid w:val="0032511E"/>
    <w:rsid w:val="00343214"/>
    <w:rsid w:val="00361C00"/>
    <w:rsid w:val="003843DD"/>
    <w:rsid w:val="00395FA1"/>
    <w:rsid w:val="003E15D4"/>
    <w:rsid w:val="003F2F0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A68"/>
    <w:rsid w:val="00BE6ADC"/>
    <w:rsid w:val="00C05BFE"/>
    <w:rsid w:val="00C23CD4"/>
    <w:rsid w:val="00C61C0C"/>
    <w:rsid w:val="00C941CB"/>
    <w:rsid w:val="00CC2357"/>
    <w:rsid w:val="00CF071A"/>
    <w:rsid w:val="00D058B8"/>
    <w:rsid w:val="00D37D5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24352"/>
  <w15:chartTrackingRefBased/>
  <w15:docId w15:val="{103750DB-E7DE-4CCF-A787-C8DD6626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741C5"/>
    <w:rPr>
      <w:b/>
    </w:rPr>
  </w:style>
  <w:style w:type="paragraph" w:customStyle="1" w:styleId="NormalHanging12a">
    <w:name w:val="NormalHanging12a"/>
    <w:basedOn w:val="Normal"/>
    <w:rsid w:val="001741C5"/>
    <w:pPr>
      <w:spacing w:after="240"/>
      <w:ind w:left="567" w:hanging="567"/>
    </w:pPr>
  </w:style>
  <w:style w:type="paragraph" w:customStyle="1" w:styleId="EPComma">
    <w:name w:val="EPComma"/>
    <w:basedOn w:val="Normal"/>
    <w:rsid w:val="001741C5"/>
    <w:pPr>
      <w:spacing w:before="480" w:after="240"/>
    </w:pPr>
  </w:style>
  <w:style w:type="paragraph" w:styleId="BalloonText">
    <w:name w:val="Balloon Text"/>
    <w:basedOn w:val="Normal"/>
    <w:link w:val="BalloonTextChar"/>
    <w:rsid w:val="00134E19"/>
    <w:rPr>
      <w:rFonts w:ascii="Segoe UI" w:hAnsi="Segoe UI" w:cs="Segoe UI"/>
      <w:sz w:val="18"/>
      <w:szCs w:val="18"/>
    </w:rPr>
  </w:style>
  <w:style w:type="character" w:customStyle="1" w:styleId="BalloonTextChar">
    <w:name w:val="Balloon Text Char"/>
    <w:basedOn w:val="DefaultParagraphFont"/>
    <w:link w:val="BalloonText"/>
    <w:rsid w:val="00134E1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81128-6C61-483E-8768-FA80CE85B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2025-04-01T09:45:00Z</dcterms:created>
  <dcterms:modified xsi:type="dcterms:W3CDTF">2025-04-01T09:45:00Z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A10-0029/2025</vt:lpwstr>
  </property>
  <property fmtid="{D5CDD505-2E9C-101B-9397-08002B2CF9AE}" pid="4" name="&lt;Type&gt;">
    <vt:lpwstr>RR</vt:lpwstr>
  </property>
</Properties>
</file>