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7F55" w14:paraId="1F93E8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C331B3" w14:textId="77777777" w:rsidR="00751A4A" w:rsidRPr="00727F55" w:rsidRDefault="001E3EEC" w:rsidP="0010095E">
            <w:pPr>
              <w:pStyle w:val="EPName"/>
            </w:pPr>
            <w:r w:rsidRPr="00727F55">
              <w:t>Parlament Ewropew</w:t>
            </w:r>
          </w:p>
          <w:p w14:paraId="30567320" w14:textId="77777777" w:rsidR="00751A4A" w:rsidRPr="00727F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7F55">
              <w:t>2024</w:t>
            </w:r>
            <w:r w:rsidR="00817416" w:rsidRPr="00727F55">
              <w:t>-202</w:t>
            </w:r>
            <w:r w:rsidRPr="00727F55">
              <w:t>9</w:t>
            </w:r>
          </w:p>
        </w:tc>
        <w:tc>
          <w:tcPr>
            <w:tcW w:w="2268" w:type="dxa"/>
            <w:shd w:val="clear" w:color="auto" w:fill="auto"/>
          </w:tcPr>
          <w:p w14:paraId="7F8B56F5" w14:textId="77777777" w:rsidR="00751A4A" w:rsidRPr="00727F55" w:rsidRDefault="00187494" w:rsidP="0010095E">
            <w:pPr>
              <w:pStyle w:val="EPLogo"/>
            </w:pPr>
            <w:r w:rsidRPr="00727F55">
              <w:rPr>
                <w:noProof/>
                <w:lang w:val="en-GB"/>
              </w:rPr>
              <w:drawing>
                <wp:inline distT="0" distB="0" distL="0" distR="0" wp14:anchorId="3386D2CB" wp14:editId="56517F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38DAC4" w14:textId="77777777" w:rsidR="00D058B8" w:rsidRPr="00727F55" w:rsidRDefault="00D058B8" w:rsidP="004C5D52">
      <w:pPr>
        <w:pStyle w:val="LineTop"/>
      </w:pPr>
    </w:p>
    <w:p w14:paraId="082D479B" w14:textId="77777777" w:rsidR="00680577" w:rsidRPr="00727F55" w:rsidRDefault="001E3EEC" w:rsidP="00680577">
      <w:pPr>
        <w:pStyle w:val="EPBodyTA1"/>
      </w:pPr>
      <w:r w:rsidRPr="00727F55">
        <w:t>TESTI ADOTTATI</w:t>
      </w:r>
    </w:p>
    <w:p w14:paraId="4C20B3D7" w14:textId="77777777" w:rsidR="00D058B8" w:rsidRPr="00727F55" w:rsidRDefault="00D058B8" w:rsidP="00D058B8">
      <w:pPr>
        <w:pStyle w:val="LineBottom"/>
      </w:pPr>
    </w:p>
    <w:p w14:paraId="1DA0113B" w14:textId="174E6039" w:rsidR="001E3EEC" w:rsidRPr="00727F55" w:rsidRDefault="001E3EEC" w:rsidP="001E3EEC">
      <w:pPr>
        <w:pStyle w:val="ATHeading1"/>
      </w:pPr>
      <w:bookmarkStart w:id="0" w:name="TANumber"/>
      <w:r w:rsidRPr="00727F55">
        <w:t>P10_TA(2025)00</w:t>
      </w:r>
      <w:r w:rsidR="00BF59EE">
        <w:t>40</w:t>
      </w:r>
      <w:bookmarkEnd w:id="0"/>
    </w:p>
    <w:p w14:paraId="20C1BAE9" w14:textId="77777777" w:rsidR="001E3EEC" w:rsidRPr="00727F55" w:rsidRDefault="00D87639" w:rsidP="001E3EEC">
      <w:pPr>
        <w:pStyle w:val="ATHeading2"/>
      </w:pPr>
      <w:r w:rsidRPr="00D87639">
        <w:t>Talba għat-tneħħija tal-immunità ta’ Jana Nagyová</w:t>
      </w:r>
    </w:p>
    <w:p w14:paraId="432C3225" w14:textId="77777777" w:rsidR="001E3EEC" w:rsidRPr="00727F55" w:rsidRDefault="001E3EEC" w:rsidP="001E3EEC">
      <w:pPr>
        <w:rPr>
          <w:i/>
          <w:vanish/>
        </w:rPr>
      </w:pPr>
      <w:r w:rsidRPr="00727F55">
        <w:rPr>
          <w:i/>
        </w:rPr>
        <w:fldChar w:fldCharType="begin"/>
      </w:r>
      <w:r w:rsidRPr="00727F55">
        <w:rPr>
          <w:i/>
        </w:rPr>
        <w:instrText xml:space="preserve"> TC"(</w:instrText>
      </w:r>
      <w:bookmarkStart w:id="1" w:name="DocNumber"/>
      <w:r w:rsidRPr="00727F55">
        <w:rPr>
          <w:i/>
        </w:rPr>
        <w:instrText>A10-0029/2025</w:instrText>
      </w:r>
      <w:bookmarkEnd w:id="1"/>
      <w:r w:rsidRPr="00727F55">
        <w:rPr>
          <w:i/>
        </w:rPr>
        <w:instrText xml:space="preserve"> - Rapporteur: Krzysztof Śmiszek)"\l3 \n&gt; \* MERGEFORMAT </w:instrText>
      </w:r>
      <w:r w:rsidRPr="00727F55">
        <w:rPr>
          <w:i/>
        </w:rPr>
        <w:fldChar w:fldCharType="end"/>
      </w:r>
    </w:p>
    <w:p w14:paraId="118C8372" w14:textId="77777777" w:rsidR="001E3EEC" w:rsidRPr="00727F55" w:rsidRDefault="001E3EEC" w:rsidP="001E3EEC">
      <w:pPr>
        <w:rPr>
          <w:vanish/>
        </w:rPr>
      </w:pPr>
      <w:bookmarkStart w:id="2" w:name="Commission"/>
      <w:r w:rsidRPr="00727F55">
        <w:rPr>
          <w:vanish/>
        </w:rPr>
        <w:t>Kumitat għall-Affarijiet Legali</w:t>
      </w:r>
      <w:bookmarkEnd w:id="2"/>
    </w:p>
    <w:p w14:paraId="569B6343" w14:textId="77777777" w:rsidR="001E3EEC" w:rsidRPr="00727F55" w:rsidRDefault="001E3EEC" w:rsidP="001E3EEC">
      <w:pPr>
        <w:rPr>
          <w:vanish/>
        </w:rPr>
      </w:pPr>
      <w:bookmarkStart w:id="3" w:name="PE"/>
      <w:r w:rsidRPr="00727F55">
        <w:rPr>
          <w:vanish/>
        </w:rPr>
        <w:t>PE766.947</w:t>
      </w:r>
      <w:bookmarkEnd w:id="3"/>
    </w:p>
    <w:p w14:paraId="223BD9AF" w14:textId="6AC50290" w:rsidR="001E3EEC" w:rsidRPr="00727F55" w:rsidRDefault="001E3EEC" w:rsidP="00124C82">
      <w:pPr>
        <w:pStyle w:val="ATHeading3"/>
      </w:pPr>
      <w:bookmarkStart w:id="4" w:name="Sujet"/>
      <w:r w:rsidRPr="00727F55">
        <w:t>Deċiżjoni tal-Parlament Ewropew tal-1 ta' April 2025 dwar it-talba għat-tneħħija tal-immunità ta’ Jana Nagyová</w:t>
      </w:r>
      <w:bookmarkEnd w:id="4"/>
      <w:r w:rsidRPr="00727F55">
        <w:t xml:space="preserve"> </w:t>
      </w:r>
      <w:bookmarkStart w:id="5" w:name="References"/>
      <w:r w:rsidRPr="00727F55">
        <w:t>(2024/2035(IMM))</w:t>
      </w:r>
      <w:bookmarkEnd w:id="5"/>
    </w:p>
    <w:p w14:paraId="6D1AC7F8" w14:textId="77777777" w:rsidR="00141A6F" w:rsidRPr="00727F55" w:rsidRDefault="00141A6F" w:rsidP="00141A6F">
      <w:pPr>
        <w:pStyle w:val="EPComma"/>
      </w:pPr>
      <w:bookmarkStart w:id="6" w:name="TextBodyBegin"/>
      <w:bookmarkEnd w:id="6"/>
      <w:r w:rsidRPr="00727F55">
        <w:rPr>
          <w:i/>
        </w:rPr>
        <w:t>Il-Parlament Ewropew</w:t>
      </w:r>
      <w:r w:rsidRPr="00727F55">
        <w:t>,</w:t>
      </w:r>
    </w:p>
    <w:p w14:paraId="3776542E" w14:textId="77777777" w:rsidR="00141A6F" w:rsidRPr="00727F55" w:rsidRDefault="00141A6F" w:rsidP="005C7537">
      <w:pPr>
        <w:pStyle w:val="NormalHanging12a"/>
      </w:pPr>
      <w:r w:rsidRPr="00727F55">
        <w:t>–</w:t>
      </w:r>
      <w:r w:rsidRPr="00727F55">
        <w:tab/>
        <w:t xml:space="preserve">wara li kkunsidra t-talba għat-tneħħija tal-immunità ta’ Jana Nagyová, tal-1 ta’ Lulju 2024 u mressqa mill-Qorti Superjuri ta’ Praga b’rabta mal-proċedimenti kriminali pendenti quddiem dik il-qorti, fi stadju ta’ appell, bir-referenza </w:t>
      </w:r>
      <w:r w:rsidR="00D87639">
        <w:t>“</w:t>
      </w:r>
      <w:r w:rsidRPr="00727F55">
        <w:t>3 sa 34/2024</w:t>
      </w:r>
      <w:r w:rsidR="00D87639">
        <w:t>”</w:t>
      </w:r>
      <w:r w:rsidRPr="00727F55">
        <w:t>, u mħabbra fis-seduta plenarja fid-19 ta’ Lulju 2024,</w:t>
      </w:r>
    </w:p>
    <w:p w14:paraId="51882F84" w14:textId="77777777" w:rsidR="00141A6F" w:rsidRPr="00727F55" w:rsidRDefault="00141A6F" w:rsidP="005C7537">
      <w:pPr>
        <w:pStyle w:val="NormalHanging12a"/>
      </w:pPr>
      <w:r w:rsidRPr="00727F55">
        <w:t>–</w:t>
      </w:r>
      <w:r w:rsidRPr="00727F55">
        <w:tab/>
        <w:t>wara li sema’ lil Jana Nagyová fid-29 ta’ Jannar 2025, skont l-Artikolu 9(6) tar-Regoli ta’ Proċedura tiegħu,</w:t>
      </w:r>
    </w:p>
    <w:p w14:paraId="7093CDBE" w14:textId="77777777" w:rsidR="00141A6F" w:rsidRPr="00727F55" w:rsidRDefault="00141A6F" w:rsidP="005C7537">
      <w:pPr>
        <w:pStyle w:val="NormalHanging12a"/>
      </w:pPr>
      <w:r w:rsidRPr="00727F55">
        <w:t>–</w:t>
      </w:r>
      <w:r w:rsidRPr="00727F55">
        <w:tab/>
        <w:t>wara li kkunsidra l-Artikoli 8 u 9 tal-Protokoll Nru 7 dwar il-Privileġġi u l-Immunitajiet tal-Unjoni Ewropea kif ukoll l-Artikolu 6(2) tal-Att tal-20 ta’ Settembru 1976 dwar l-elezzjoni tal-Membri tal-Parlament Ewropew b’vot dirett universali,</w:t>
      </w:r>
    </w:p>
    <w:p w14:paraId="7148D65A" w14:textId="77777777" w:rsidR="00141A6F" w:rsidRPr="00727F55" w:rsidRDefault="00141A6F" w:rsidP="005C7537">
      <w:pPr>
        <w:pStyle w:val="NormalHanging12a"/>
      </w:pPr>
      <w:r w:rsidRPr="00727F55">
        <w:t>–</w:t>
      </w:r>
      <w:r w:rsidRPr="00727F55">
        <w:tab/>
        <w:t>wara li kkunsidra s-sentenzi mogħtija mill-Qorti tal-Ġustizzja tal-Unjoni Ewropea fil-21 ta’ Ottubru 2008, fid-19 ta’ Marzu 2010, fis-6 ta’ Settembru 2011, fis-17 ta’ Jannar 2013, fid-19 ta’ Diċembru 2019 u fil-5 ta’ Lulju 2023</w:t>
      </w:r>
      <w:r w:rsidRPr="00727F55">
        <w:rPr>
          <w:rStyle w:val="FootnoteReference"/>
          <w:color w:val="000000"/>
        </w:rPr>
        <w:footnoteReference w:id="1"/>
      </w:r>
      <w:r w:rsidRPr="00727F55">
        <w:t>,</w:t>
      </w:r>
    </w:p>
    <w:p w14:paraId="12541CEE" w14:textId="3C3DB665" w:rsidR="00141A6F" w:rsidRPr="00727F55" w:rsidRDefault="00141A6F" w:rsidP="005C7537">
      <w:pPr>
        <w:pStyle w:val="NormalHanging12a"/>
      </w:pPr>
      <w:r w:rsidRPr="00727F55">
        <w:t>–</w:t>
      </w:r>
      <w:r w:rsidRPr="00727F55">
        <w:tab/>
        <w:t xml:space="preserve">wara li kkunsidra l-Artikolu 27 tal-Kostituzzjoni tar-Repubblika Ċeka u t-Taqsima </w:t>
      </w:r>
      <w:r w:rsidR="00D87639">
        <w:t>1</w:t>
      </w:r>
      <w:r w:rsidRPr="00727F55">
        <w:t xml:space="preserve">0(1) tal-Att Nru 141/1961 tal-Kollezzjoni dwar il-Proċedura Kriminali (Il-Kodiċi ta’ Proċedura Kriminali </w:t>
      </w:r>
      <w:r w:rsidR="00D87639">
        <w:t xml:space="preserve">tar-Repubblika </w:t>
      </w:r>
      <w:r w:rsidRPr="00727F55">
        <w:t>Ċek</w:t>
      </w:r>
      <w:r w:rsidR="00D87639">
        <w:t>a</w:t>
      </w:r>
      <w:r w:rsidRPr="00727F55">
        <w:t>),</w:t>
      </w:r>
    </w:p>
    <w:p w14:paraId="3FE68F08" w14:textId="77777777" w:rsidR="00141A6F" w:rsidRPr="00727F55" w:rsidRDefault="00141A6F" w:rsidP="005C7537">
      <w:pPr>
        <w:pStyle w:val="NormalHanging12a"/>
      </w:pPr>
      <w:r w:rsidRPr="00727F55">
        <w:t>–</w:t>
      </w:r>
      <w:r w:rsidRPr="00727F55">
        <w:tab/>
        <w:t>wara li kkunsidra l-Artikolu 5(2), l-Artikolu 6(1) u l-Artikolu 9 tar-Regoli ta’ Proċedura tiegħu,</w:t>
      </w:r>
    </w:p>
    <w:p w14:paraId="0B0A0512" w14:textId="77777777" w:rsidR="00141A6F" w:rsidRPr="00727F55" w:rsidRDefault="00141A6F" w:rsidP="005C7537">
      <w:pPr>
        <w:pStyle w:val="NormalHanging12a"/>
      </w:pPr>
      <w:r w:rsidRPr="00727F55">
        <w:t>–</w:t>
      </w:r>
      <w:r w:rsidRPr="00727F55">
        <w:tab/>
        <w:t>wara li kkunsidra r-rapport tal-Kumitat għall-Affarijiet Legali (A10-0029/2025),</w:t>
      </w:r>
    </w:p>
    <w:p w14:paraId="1A712AE1" w14:textId="36ACC455" w:rsidR="00141A6F" w:rsidRPr="00727F55" w:rsidRDefault="00141A6F" w:rsidP="005C7537">
      <w:pPr>
        <w:pStyle w:val="NormalHanging12a"/>
      </w:pPr>
      <w:r w:rsidRPr="00727F55">
        <w:lastRenderedPageBreak/>
        <w:t>A.</w:t>
      </w:r>
      <w:r w:rsidRPr="00727F55">
        <w:tab/>
        <w:t xml:space="preserve">billi fl-1 ta’ Lulju 2024, il-Qorti Superjuri ta’ Praga ressqet talba għat-tneħħija tal-immunità parlamentari ta’ Jana Nagyová, Membru tal-Parlament Ewropew eletta fir-Repubblika Ċeka, bil-għan li jitkomplew il-proċedimenti kriminali li jinsabu pendenti quddiemha fi stadju ta’ appell, fir-rigward tal-akkuża li wettqet ir-reat ta’ frodi fis-sussidji skont it-Taqsima 212(1) u (6), </w:t>
      </w:r>
      <w:r w:rsidR="00800070" w:rsidRPr="005C7537">
        <w:t>il-</w:t>
      </w:r>
      <w:r w:rsidRPr="00727F55">
        <w:t>punt (a), u r-reat ta’ ħsara lill-interessi finanzjarji tal-Unjoni Ewropea skont it-Taqsima 260(1) u (5) tal-Att Nru 40/2009 tal-Kollezzjoni (il-Kodiċi Kriminali tar-Repubblika Ċeka);</w:t>
      </w:r>
    </w:p>
    <w:p w14:paraId="0286BB14" w14:textId="42041F63" w:rsidR="00141A6F" w:rsidRPr="00727F55" w:rsidRDefault="00141A6F" w:rsidP="005C7537">
      <w:pPr>
        <w:pStyle w:val="NormalHanging12a"/>
      </w:pPr>
      <w:r w:rsidRPr="00727F55">
        <w:t>B.</w:t>
      </w:r>
      <w:r w:rsidRPr="00727F55">
        <w:tab/>
        <w:t>billi l-proċedimenti kriminali kontra Jana Nagyová qed jitmexxew abbażi tal-att ta’ akkuża tal-Uffiċċju Muniċipali tal-Prosekutur tal-Istat fi Praga, tal-21 ta’ Marzu 2022, għal att li allegatament wettqet flimkien ma’ persuna koakkużata għar-raġuni li hija, fil-kapaċità tagħha bħala persuna b’xogħol iffukat fuq għotjiet tal-U</w:t>
      </w:r>
      <w:r w:rsidR="00D87639">
        <w:t>njoni</w:t>
      </w:r>
      <w:r w:rsidRPr="00727F55">
        <w:t xml:space="preserve"> u, fil-perjodu mis-17 ta’ Jannar 2008 sal-5 ta’ Jannar 2010, bħala viċi president tal-bord ta’ diretturi ta’ kumpanija Ċeka, applikat għal għotja waqt li kienet taf li l-kumpanija ma kenitx intitolata għaliha u tat informazzjoni falza li l-kumpanija kienet impriża żgħira u impriża indipendenti;</w:t>
      </w:r>
    </w:p>
    <w:p w14:paraId="05C3B0BB" w14:textId="77777777" w:rsidR="00141A6F" w:rsidRPr="00727F55" w:rsidRDefault="00141A6F" w:rsidP="005C7537">
      <w:pPr>
        <w:pStyle w:val="NormalHanging12a"/>
      </w:pPr>
      <w:r w:rsidRPr="00727F55">
        <w:t>C.</w:t>
      </w:r>
      <w:r w:rsidRPr="00727F55">
        <w:tab/>
        <w:t>billi l-għan tal-immunità parlamentari huwa li tipproteġi lill-Parlament u lill-Membri tiegħu minn proċedimenti ġudizzjarji relatati ma’ attivitajiet imwettqa fil-qadi tad-dmirijiet parlamentari u li huma inseparabbli minn dawn l-attivitajiet;</w:t>
      </w:r>
    </w:p>
    <w:p w14:paraId="3F5FADD5" w14:textId="77777777" w:rsidR="00141A6F" w:rsidRPr="00727F55" w:rsidRDefault="00141A6F" w:rsidP="005C7537">
      <w:pPr>
        <w:pStyle w:val="NormalHanging12a"/>
      </w:pPr>
      <w:r w:rsidRPr="00727F55">
        <w:t>D.</w:t>
      </w:r>
      <w:r w:rsidRPr="00727F55">
        <w:tab/>
        <w:t>billi l-allegati reati ma jikkonċernawx opinjoni espressa jew vot mitfugħ fil-qadi tad-dmirijiet ta’ Membru tal-Parlament Ewropew f’konformità mal-Artikolu 8 tal-Protokoll Nru 7 dwar il-Privileġġi u l-Immunitajiet tal-Unjoni Ewropea;</w:t>
      </w:r>
    </w:p>
    <w:p w14:paraId="549CA22E" w14:textId="77777777" w:rsidR="00141A6F" w:rsidRPr="00727F55" w:rsidRDefault="00141A6F" w:rsidP="005C7537">
      <w:pPr>
        <w:pStyle w:val="NormalHanging12a"/>
      </w:pPr>
      <w:r w:rsidRPr="00727F55">
        <w:t>E.</w:t>
      </w:r>
      <w:r w:rsidRPr="00727F55">
        <w:tab/>
        <w:t>billi l-Artikolu 9, l-ewwel paragrafu, il-punt (a), tal-Protokoll Nru 7 dwar il-Privileġġi u l-Immunitajiet tal-Unjoni Ewropea jiddisponi li l-Membri tal-Parlament Ewropew għandhom igawdu, fit-territorju tal-Istat tagħhom stess, l-immunitajiet mogħtija lil membri tal-parlament tagħhom;</w:t>
      </w:r>
    </w:p>
    <w:p w14:paraId="18069927" w14:textId="77777777" w:rsidR="00141A6F" w:rsidRPr="00727F55" w:rsidRDefault="00141A6F" w:rsidP="005C7537">
      <w:pPr>
        <w:pStyle w:val="NormalHanging12a"/>
      </w:pPr>
      <w:r w:rsidRPr="00727F55">
        <w:t>F.</w:t>
      </w:r>
      <w:r w:rsidRPr="00727F55">
        <w:tab/>
        <w:t>billi l-Artikolu 27(4) tal-Kostituzzjoni tar-Repubblika Ċeka jipprevedi li d-Deputati u s-Senaturi ma jistgħux jiġu sottoposti għal prosekuzzjoni kriminali ħlief meta tingħata l-approvazzjoni tal-kamra li tagħha huma jkunu membri u jekk dik il-kamra ma tagħtix l-approvazzjoni tagħha, tali prosekuzzjoni kriminali għandha tibqa’ prekluża għat-tul tal-mandat tagħhom;</w:t>
      </w:r>
    </w:p>
    <w:p w14:paraId="502E29DC" w14:textId="12D4C92E" w:rsidR="00141A6F" w:rsidRPr="00727F55" w:rsidRDefault="00141A6F" w:rsidP="005C7537">
      <w:pPr>
        <w:pStyle w:val="NormalHanging12a"/>
      </w:pPr>
      <w:r w:rsidRPr="00727F55">
        <w:t>G.</w:t>
      </w:r>
      <w:r w:rsidRPr="00727F55">
        <w:tab/>
        <w:t xml:space="preserve">billi, f’dan il-każ, il-Parlament ma setax jikkonstata l-eżistenza ta’ fumus persecutionis, jiġifieri elementi fattwali li jindikaw li l-proċedimenti </w:t>
      </w:r>
      <w:r w:rsidR="003829FC">
        <w:t>ġudizzjarji</w:t>
      </w:r>
      <w:r w:rsidR="003829FC" w:rsidRPr="00727F55">
        <w:t xml:space="preserve"> </w:t>
      </w:r>
      <w:r w:rsidRPr="00727F55">
        <w:t>inkwistjoni kellhom l-intenzjoni li ssir ħsara lill-attività politika tal-Membru u għalhekk lill-Parlament Ewropew;</w:t>
      </w:r>
    </w:p>
    <w:p w14:paraId="1608BBB6" w14:textId="77777777" w:rsidR="00141A6F" w:rsidRPr="00727F55" w:rsidRDefault="00141A6F" w:rsidP="005C7537">
      <w:pPr>
        <w:pStyle w:val="NormalHanging12a"/>
      </w:pPr>
      <w:r w:rsidRPr="00727F55">
        <w:t>H.</w:t>
      </w:r>
      <w:r w:rsidRPr="00727F55">
        <w:tab/>
        <w:t>billi, minn naħa, il-Parlament ma jistax jitqies bħala qorti u, min-naħa l-oħra, il-Membru ma jistax, fil-kuntest ta’ proċedura għat-tneħħija tal-immunità, jitqies bħala “akkużat”</w:t>
      </w:r>
      <w:r w:rsidRPr="00727F55">
        <w:rPr>
          <w:rStyle w:val="FootnoteReference"/>
          <w:color w:val="000000"/>
        </w:rPr>
        <w:footnoteReference w:id="2"/>
      </w:r>
      <w:r w:rsidRPr="00727F55">
        <w:t>;</w:t>
      </w:r>
    </w:p>
    <w:p w14:paraId="6815DFF9" w14:textId="77777777" w:rsidR="00141A6F" w:rsidRPr="00727F55" w:rsidRDefault="00141A6F" w:rsidP="005C7537">
      <w:pPr>
        <w:pStyle w:val="NormalHanging12a"/>
      </w:pPr>
      <w:r w:rsidRPr="00727F55">
        <w:t>1.</w:t>
      </w:r>
      <w:r w:rsidRPr="00727F55">
        <w:tab/>
        <w:t>Jiddeċiedi li jneħħi l-immunità ta’ Jana Nagyová;</w:t>
      </w:r>
    </w:p>
    <w:p w14:paraId="2A3E4FC4" w14:textId="77777777" w:rsidR="00E365E1" w:rsidRPr="00727F55" w:rsidRDefault="00141A6F" w:rsidP="00D87639">
      <w:pPr>
        <w:ind w:left="567" w:hanging="567"/>
      </w:pPr>
      <w:r w:rsidRPr="00727F55">
        <w:t>2.</w:t>
      </w:r>
      <w:r w:rsidRPr="00727F55">
        <w:tab/>
        <w:t>Jagħti istruzzjonijiet lill-President tiegħu biex tgħaddi minnufih din id-deċiżjoni u r-rapport tal-kumitat responsabbli tiegħu lill-awtorità kompetenti tar-Repubblika Ċeka u lil Jana Nagyová.</w:t>
      </w:r>
    </w:p>
    <w:sectPr w:rsidR="00E365E1" w:rsidRPr="00727F55" w:rsidSect="00727F55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4E718" w14:textId="77777777" w:rsidR="001E3EEC" w:rsidRPr="00727F55" w:rsidRDefault="001E3EEC">
      <w:r w:rsidRPr="00727F55">
        <w:separator/>
      </w:r>
    </w:p>
  </w:endnote>
  <w:endnote w:type="continuationSeparator" w:id="0">
    <w:p w14:paraId="09B6B075" w14:textId="77777777" w:rsidR="001E3EEC" w:rsidRPr="00727F55" w:rsidRDefault="001E3EEC">
      <w:r w:rsidRPr="00727F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4D103" w14:textId="77777777" w:rsidR="001E3EEC" w:rsidRPr="00727F55" w:rsidRDefault="001E3EEC">
      <w:r w:rsidRPr="00727F55">
        <w:separator/>
      </w:r>
    </w:p>
  </w:footnote>
  <w:footnote w:type="continuationSeparator" w:id="0">
    <w:p w14:paraId="062F9DE2" w14:textId="77777777" w:rsidR="001E3EEC" w:rsidRPr="00727F55" w:rsidRDefault="001E3EEC">
      <w:r w:rsidRPr="00727F55">
        <w:continuationSeparator/>
      </w:r>
    </w:p>
  </w:footnote>
  <w:footnote w:id="1">
    <w:p w14:paraId="1F101F26" w14:textId="77777777" w:rsidR="00141A6F" w:rsidRPr="00727F55" w:rsidRDefault="00141A6F" w:rsidP="00727F55">
      <w:pPr>
        <w:pStyle w:val="FootnoteText"/>
        <w:ind w:left="567" w:hanging="567"/>
        <w:rPr>
          <w:sz w:val="24"/>
          <w:lang w:val="mt-MT"/>
        </w:rPr>
      </w:pPr>
      <w:r w:rsidRPr="00727F55">
        <w:rPr>
          <w:rStyle w:val="FootnoteReference"/>
          <w:sz w:val="24"/>
          <w:lang w:val="mt-MT"/>
        </w:rPr>
        <w:footnoteRef/>
      </w:r>
      <w:r w:rsidR="00727F55" w:rsidRPr="00727F55">
        <w:rPr>
          <w:sz w:val="24"/>
          <w:lang w:val="mt-MT"/>
        </w:rPr>
        <w:t xml:space="preserve"> </w:t>
      </w:r>
      <w:r w:rsidR="00727F55" w:rsidRPr="00727F55">
        <w:rPr>
          <w:sz w:val="24"/>
          <w:lang w:val="mt-MT"/>
        </w:rPr>
        <w:tab/>
      </w:r>
      <w:r w:rsidRPr="00727F55">
        <w:rPr>
          <w:sz w:val="24"/>
          <w:lang w:val="mt-MT"/>
        </w:rPr>
        <w:t>Is-sentenza tal-Qorti tal-Ġustizzja tal-21 ta’ Ottubru 2008, Marra vs De Gregorio u Clemente, C 200/07 u C-201/07, ECLI:EU:C:2008:579; is-sentenza tal-Qorti Ġenerali tad-19 ta’ Marzu 2010, Gollnisch vs Il-Parlament, T-42/06 ECLI:EU:T:2010:102; is-sentenza tal-Qorti tal-Ġustizzja tas-6 ta’ Settembru 2011, Patriciello, C-163/10, ECLI: EU:C:2011:543; is-sentenza tal-Qorti Ġenerali tas-17 ta’ Jannar 2013, Gollnisch vs Il-Parlament, T-346/11 u T-347/11, ECLI:EU:T:2013:23; is-sentenza tal-Qorti tal-Ġustizzja tad-19 ta’ Diċembru 2019, Junqueras Vies, C-502/19, ECLI:EU:C:2019:1115; is-sentenza tal-Qorti Ġenerali tal-5 ta’ Lulju 2023, Puigdemont i Casamajó et vs Il-Parlament, T-272/21, ECLI:EU:T:2023:373.</w:t>
      </w:r>
    </w:p>
  </w:footnote>
  <w:footnote w:id="2">
    <w:p w14:paraId="4887C0EE" w14:textId="77777777" w:rsidR="00141A6F" w:rsidRPr="00727F55" w:rsidRDefault="00141A6F" w:rsidP="00727F55">
      <w:pPr>
        <w:pStyle w:val="FootnoteText"/>
        <w:ind w:left="567" w:hanging="567"/>
        <w:rPr>
          <w:sz w:val="24"/>
          <w:lang w:val="mt-MT"/>
        </w:rPr>
      </w:pPr>
      <w:r w:rsidRPr="00727F55">
        <w:rPr>
          <w:rStyle w:val="FootnoteReference"/>
          <w:sz w:val="24"/>
          <w:lang w:val="mt-MT"/>
        </w:rPr>
        <w:footnoteRef/>
      </w:r>
      <w:r w:rsidR="00727F55" w:rsidRPr="00727F55">
        <w:rPr>
          <w:sz w:val="24"/>
          <w:lang w:val="mt-MT"/>
        </w:rPr>
        <w:t xml:space="preserve"> </w:t>
      </w:r>
      <w:r w:rsidR="00727F55" w:rsidRPr="00727F55">
        <w:rPr>
          <w:sz w:val="24"/>
          <w:lang w:val="mt-MT"/>
        </w:rPr>
        <w:tab/>
      </w:r>
      <w:r w:rsidRPr="00727F55">
        <w:rPr>
          <w:sz w:val="24"/>
          <w:lang w:val="mt-MT"/>
        </w:rPr>
        <w:t>Is-sentenza tal-Qorti Ġenerali tat-30 ta’ April 2019, Briois vs Il-Parlament,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9809838">
    <w:abstractNumId w:val="9"/>
  </w:num>
  <w:num w:numId="2" w16cid:durableId="384530620">
    <w:abstractNumId w:val="9"/>
  </w:num>
  <w:num w:numId="3" w16cid:durableId="542327453">
    <w:abstractNumId w:val="7"/>
  </w:num>
  <w:num w:numId="4" w16cid:durableId="913590823">
    <w:abstractNumId w:val="7"/>
  </w:num>
  <w:num w:numId="5" w16cid:durableId="1301152519">
    <w:abstractNumId w:val="6"/>
  </w:num>
  <w:num w:numId="6" w16cid:durableId="304236303">
    <w:abstractNumId w:val="6"/>
  </w:num>
  <w:num w:numId="7" w16cid:durableId="432018516">
    <w:abstractNumId w:val="5"/>
  </w:num>
  <w:num w:numId="8" w16cid:durableId="992375404">
    <w:abstractNumId w:val="5"/>
  </w:num>
  <w:num w:numId="9" w16cid:durableId="1723941204">
    <w:abstractNumId w:val="4"/>
  </w:num>
  <w:num w:numId="10" w16cid:durableId="418597774">
    <w:abstractNumId w:val="4"/>
  </w:num>
  <w:num w:numId="11" w16cid:durableId="410854945">
    <w:abstractNumId w:val="8"/>
  </w:num>
  <w:num w:numId="12" w16cid:durableId="31200390">
    <w:abstractNumId w:val="8"/>
  </w:num>
  <w:num w:numId="13" w16cid:durableId="1086658770">
    <w:abstractNumId w:val="3"/>
  </w:num>
  <w:num w:numId="14" w16cid:durableId="305092629">
    <w:abstractNumId w:val="3"/>
  </w:num>
  <w:num w:numId="15" w16cid:durableId="1154957631">
    <w:abstractNumId w:val="2"/>
  </w:num>
  <w:num w:numId="16" w16cid:durableId="864637388">
    <w:abstractNumId w:val="2"/>
  </w:num>
  <w:num w:numId="17" w16cid:durableId="1256784562">
    <w:abstractNumId w:val="1"/>
  </w:num>
  <w:num w:numId="18" w16cid:durableId="385765444">
    <w:abstractNumId w:val="1"/>
  </w:num>
  <w:num w:numId="19" w16cid:durableId="886918661">
    <w:abstractNumId w:val="0"/>
  </w:num>
  <w:num w:numId="20" w16cid:durableId="1899779747">
    <w:abstractNumId w:val="0"/>
  </w:num>
  <w:num w:numId="21" w16cid:durableId="1925799202">
    <w:abstractNumId w:val="9"/>
  </w:num>
  <w:num w:numId="22" w16cid:durableId="2119635845">
    <w:abstractNumId w:val="7"/>
  </w:num>
  <w:num w:numId="23" w16cid:durableId="2057777946">
    <w:abstractNumId w:val="6"/>
  </w:num>
  <w:num w:numId="24" w16cid:durableId="1019812953">
    <w:abstractNumId w:val="5"/>
  </w:num>
  <w:num w:numId="25" w16cid:durableId="232392486">
    <w:abstractNumId w:val="4"/>
  </w:num>
  <w:num w:numId="26" w16cid:durableId="503206158">
    <w:abstractNumId w:val="8"/>
  </w:num>
  <w:num w:numId="27" w16cid:durableId="1923099124">
    <w:abstractNumId w:val="3"/>
  </w:num>
  <w:num w:numId="28" w16cid:durableId="1044788991">
    <w:abstractNumId w:val="2"/>
  </w:num>
  <w:num w:numId="29" w16cid:durableId="858082987">
    <w:abstractNumId w:val="1"/>
  </w:num>
  <w:num w:numId="30" w16cid:durableId="1507013603">
    <w:abstractNumId w:val="0"/>
  </w:num>
  <w:num w:numId="31" w16cid:durableId="173422793">
    <w:abstractNumId w:val="9"/>
  </w:num>
  <w:num w:numId="32" w16cid:durableId="1531533336">
    <w:abstractNumId w:val="7"/>
  </w:num>
  <w:num w:numId="33" w16cid:durableId="1100955504">
    <w:abstractNumId w:val="6"/>
  </w:num>
  <w:num w:numId="34" w16cid:durableId="522090387">
    <w:abstractNumId w:val="5"/>
  </w:num>
  <w:num w:numId="35" w16cid:durableId="1958833055">
    <w:abstractNumId w:val="4"/>
  </w:num>
  <w:num w:numId="36" w16cid:durableId="1532721248">
    <w:abstractNumId w:val="8"/>
  </w:num>
  <w:num w:numId="37" w16cid:durableId="733353054">
    <w:abstractNumId w:val="3"/>
  </w:num>
  <w:num w:numId="38" w16cid:durableId="1472670148">
    <w:abstractNumId w:val="2"/>
  </w:num>
  <w:num w:numId="39" w16cid:durableId="939919773">
    <w:abstractNumId w:val="1"/>
  </w:num>
  <w:num w:numId="40" w16cid:durableId="80182217">
    <w:abstractNumId w:val="0"/>
  </w:num>
  <w:num w:numId="41" w16cid:durableId="389614106">
    <w:abstractNumId w:val="10"/>
  </w:num>
  <w:num w:numId="42" w16cid:durableId="197358293">
    <w:abstractNumId w:val="10"/>
  </w:num>
  <w:num w:numId="43" w16cid:durableId="589200056">
    <w:abstractNumId w:val="10"/>
  </w:num>
  <w:num w:numId="44" w16cid:durableId="6069345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29/2025"/>
    <w:docVar w:name="dvlangue" w:val="MT"/>
    <w:docVar w:name="dvnumam" w:val="0"/>
    <w:docVar w:name="dvpe" w:val="766.947"/>
    <w:docVar w:name="dvrapporteur" w:val="Rapporteur: "/>
    <w:docVar w:name="dvtitre" w:val="Deċiżjoni tal-Parlament Ewropew tal-1 ta' April 2025 dwar it-talba għat-tneħħija tal-immunità ta’ Jana Nagyová(2024/2035(IMM))"/>
  </w:docVars>
  <w:rsids>
    <w:rsidRoot w:val="001E3EEC"/>
    <w:rsid w:val="00002272"/>
    <w:rsid w:val="00064002"/>
    <w:rsid w:val="000677B9"/>
    <w:rsid w:val="000831BA"/>
    <w:rsid w:val="000A42CC"/>
    <w:rsid w:val="000E7DD9"/>
    <w:rsid w:val="0010095E"/>
    <w:rsid w:val="00124C82"/>
    <w:rsid w:val="00125B37"/>
    <w:rsid w:val="00141A6F"/>
    <w:rsid w:val="00187494"/>
    <w:rsid w:val="001E3EEC"/>
    <w:rsid w:val="001F32AE"/>
    <w:rsid w:val="002767FF"/>
    <w:rsid w:val="002B18FE"/>
    <w:rsid w:val="002B5493"/>
    <w:rsid w:val="00343214"/>
    <w:rsid w:val="00361C00"/>
    <w:rsid w:val="003829F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537"/>
    <w:rsid w:val="005F1B17"/>
    <w:rsid w:val="006037C0"/>
    <w:rsid w:val="006631B6"/>
    <w:rsid w:val="00680577"/>
    <w:rsid w:val="006F74FA"/>
    <w:rsid w:val="00727F5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07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3D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9EE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639"/>
    <w:rsid w:val="00D91E21"/>
    <w:rsid w:val="00DA7FCD"/>
    <w:rsid w:val="00E365E1"/>
    <w:rsid w:val="00E820A4"/>
    <w:rsid w:val="00EB006A"/>
    <w:rsid w:val="00EB4772"/>
    <w:rsid w:val="00EC2610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6D7B8"/>
  <w15:chartTrackingRefBased/>
  <w15:docId w15:val="{990E3DC5-E778-4DFD-A521-9E75C78E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41A6F"/>
    <w:pPr>
      <w:spacing w:after="240"/>
      <w:ind w:left="567" w:hanging="567"/>
    </w:pPr>
  </w:style>
  <w:style w:type="paragraph" w:customStyle="1" w:styleId="EPComma">
    <w:name w:val="EPComma"/>
    <w:basedOn w:val="Normal"/>
    <w:rsid w:val="00141A6F"/>
    <w:pPr>
      <w:spacing w:before="480" w:after="240"/>
    </w:pPr>
  </w:style>
  <w:style w:type="paragraph" w:styleId="BalloonText">
    <w:name w:val="Balloon Text"/>
    <w:basedOn w:val="Normal"/>
    <w:link w:val="BalloonTextChar"/>
    <w:rsid w:val="00D876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7639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3829F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29F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829FC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3829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829FC"/>
    <w:rPr>
      <w:b/>
      <w:bCs/>
      <w:lang w:val="mt-MT"/>
    </w:rPr>
  </w:style>
  <w:style w:type="paragraph" w:styleId="Header">
    <w:name w:val="header"/>
    <w:basedOn w:val="Normal"/>
    <w:link w:val="HeaderChar"/>
    <w:rsid w:val="005C75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C7537"/>
    <w:rPr>
      <w:sz w:val="24"/>
      <w:lang w:val="mt-MT"/>
    </w:rPr>
  </w:style>
  <w:style w:type="paragraph" w:styleId="Footer">
    <w:name w:val="footer"/>
    <w:basedOn w:val="Normal"/>
    <w:link w:val="FooterChar"/>
    <w:rsid w:val="005C75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C753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6C34A-8400-475F-B747-5D7EF0002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590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MALLIA Raymond</cp:lastModifiedBy>
  <cp:revision>3</cp:revision>
  <cp:lastPrinted>2004-11-19T15:42:00Z</cp:lastPrinted>
  <dcterms:created xsi:type="dcterms:W3CDTF">2025-04-01T10:24:00Z</dcterms:created>
  <dcterms:modified xsi:type="dcterms:W3CDTF">2025-04-02T07:16:00Z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A10-0029/2025</vt:lpwstr>
  </property>
  <property fmtid="{D5CDD505-2E9C-101B-9397-08002B2CF9AE}" pid="4" name="&lt;Type&gt;">
    <vt:lpwstr>RR</vt:lpwstr>
  </property>
</Properties>
</file>