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36D5" w14:paraId="7143347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FFBB18" w14:textId="77777777" w:rsidR="00751A4A" w:rsidRPr="003236D5" w:rsidRDefault="00662D2C" w:rsidP="0010095E">
            <w:pPr>
              <w:pStyle w:val="EPName"/>
            </w:pPr>
            <w:bookmarkStart w:id="0" w:name="_GoBack"/>
            <w:bookmarkEnd w:id="0"/>
            <w:r w:rsidRPr="003236D5">
              <w:t>Parlamento Europeu</w:t>
            </w:r>
          </w:p>
          <w:p w14:paraId="4EB9727E" w14:textId="77777777" w:rsidR="00751A4A" w:rsidRPr="003236D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36D5">
              <w:t>2024</w:t>
            </w:r>
            <w:r w:rsidR="00817416" w:rsidRPr="003236D5">
              <w:t>-202</w:t>
            </w:r>
            <w:r w:rsidRPr="003236D5">
              <w:t>9</w:t>
            </w:r>
          </w:p>
        </w:tc>
        <w:tc>
          <w:tcPr>
            <w:tcW w:w="2268" w:type="dxa"/>
            <w:shd w:val="clear" w:color="auto" w:fill="auto"/>
          </w:tcPr>
          <w:p w14:paraId="3B6A1F65" w14:textId="77777777" w:rsidR="00751A4A" w:rsidRPr="003236D5" w:rsidRDefault="00187494" w:rsidP="0010095E">
            <w:pPr>
              <w:pStyle w:val="EPLogo"/>
            </w:pPr>
            <w:r w:rsidRPr="003236D5">
              <w:rPr>
                <w:noProof/>
                <w:lang w:val="en-GB"/>
              </w:rPr>
              <w:drawing>
                <wp:inline distT="0" distB="0" distL="0" distR="0" wp14:anchorId="02B2531E" wp14:editId="0E2B687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3FA938" w14:textId="77777777" w:rsidR="00D058B8" w:rsidRPr="003236D5" w:rsidRDefault="00D058B8" w:rsidP="004C5D52">
      <w:pPr>
        <w:pStyle w:val="LineTop"/>
      </w:pPr>
    </w:p>
    <w:p w14:paraId="374B9EFD" w14:textId="77777777" w:rsidR="00680577" w:rsidRPr="003236D5" w:rsidRDefault="00662D2C" w:rsidP="00680577">
      <w:pPr>
        <w:pStyle w:val="EPBodyTA1"/>
      </w:pPr>
      <w:r w:rsidRPr="003236D5">
        <w:t>TEXTOS APROVADOS</w:t>
      </w:r>
    </w:p>
    <w:p w14:paraId="6B1F1AFC" w14:textId="77777777" w:rsidR="00D058B8" w:rsidRPr="003236D5" w:rsidRDefault="00D058B8" w:rsidP="00D058B8">
      <w:pPr>
        <w:pStyle w:val="LineBottom"/>
      </w:pPr>
    </w:p>
    <w:p w14:paraId="235B35E7" w14:textId="0D7952F0" w:rsidR="00662D2C" w:rsidRPr="003236D5" w:rsidRDefault="00662D2C" w:rsidP="00662D2C">
      <w:pPr>
        <w:pStyle w:val="ATHeading1"/>
      </w:pPr>
      <w:bookmarkStart w:id="1" w:name="TANumber"/>
      <w:r w:rsidRPr="003236D5">
        <w:t>P10_</w:t>
      </w:r>
      <w:proofErr w:type="gramStart"/>
      <w:r w:rsidRPr="003236D5">
        <w:t>TA(</w:t>
      </w:r>
      <w:proofErr w:type="gramEnd"/>
      <w:r w:rsidRPr="003236D5">
        <w:t>2025)</w:t>
      </w:r>
      <w:bookmarkEnd w:id="1"/>
      <w:r w:rsidR="00804C69" w:rsidRPr="003236D5">
        <w:t>00</w:t>
      </w:r>
      <w:r w:rsidR="00804C69" w:rsidRPr="003236D5">
        <w:t>40</w:t>
      </w:r>
    </w:p>
    <w:p w14:paraId="7D2F983C" w14:textId="77777777" w:rsidR="00662D2C" w:rsidRPr="003236D5" w:rsidRDefault="00662D2C" w:rsidP="00662D2C">
      <w:pPr>
        <w:pStyle w:val="ATHeading2"/>
      </w:pPr>
      <w:bookmarkStart w:id="2" w:name="title"/>
      <w:r w:rsidRPr="003236D5">
        <w:t xml:space="preserve">Pedido de levantamento da imunidade de Jana </w:t>
      </w:r>
      <w:proofErr w:type="spellStart"/>
      <w:r w:rsidRPr="003236D5">
        <w:t>Nagyová</w:t>
      </w:r>
      <w:bookmarkEnd w:id="2"/>
      <w:proofErr w:type="spellEnd"/>
    </w:p>
    <w:p w14:paraId="25F03447" w14:textId="77777777" w:rsidR="00662D2C" w:rsidRPr="003236D5" w:rsidRDefault="00662D2C" w:rsidP="00662D2C">
      <w:pPr>
        <w:rPr>
          <w:i/>
          <w:vanish/>
        </w:rPr>
      </w:pPr>
      <w:r w:rsidRPr="003236D5">
        <w:rPr>
          <w:i/>
        </w:rPr>
        <w:fldChar w:fldCharType="begin"/>
      </w:r>
      <w:r w:rsidRPr="003236D5">
        <w:rPr>
          <w:i/>
        </w:rPr>
        <w:instrText xml:space="preserve"> TC"(</w:instrText>
      </w:r>
      <w:bookmarkStart w:id="3" w:name="DocNumber"/>
      <w:r w:rsidRPr="003236D5">
        <w:rPr>
          <w:i/>
        </w:rPr>
        <w:instrText>A10-0029/2025</w:instrText>
      </w:r>
      <w:bookmarkEnd w:id="3"/>
      <w:r w:rsidRPr="003236D5">
        <w:rPr>
          <w:i/>
        </w:rPr>
        <w:instrText xml:space="preserve"> - Relator: Krzysztof Śmiszek)"\l3 \n&gt; \* MERGEFORMAT </w:instrText>
      </w:r>
      <w:r w:rsidRPr="003236D5">
        <w:rPr>
          <w:i/>
        </w:rPr>
        <w:fldChar w:fldCharType="end"/>
      </w:r>
    </w:p>
    <w:p w14:paraId="0B1252A6" w14:textId="77777777" w:rsidR="00662D2C" w:rsidRPr="003236D5" w:rsidRDefault="00662D2C" w:rsidP="00662D2C">
      <w:pPr>
        <w:rPr>
          <w:vanish/>
        </w:rPr>
      </w:pPr>
      <w:bookmarkStart w:id="4" w:name="Commission"/>
      <w:r w:rsidRPr="003236D5">
        <w:rPr>
          <w:vanish/>
        </w:rPr>
        <w:t>Comissão dos Assuntos Jurídicos</w:t>
      </w:r>
      <w:bookmarkEnd w:id="4"/>
    </w:p>
    <w:p w14:paraId="58F96F63" w14:textId="77777777" w:rsidR="00662D2C" w:rsidRPr="003236D5" w:rsidRDefault="00662D2C" w:rsidP="00662D2C">
      <w:pPr>
        <w:rPr>
          <w:vanish/>
        </w:rPr>
      </w:pPr>
      <w:bookmarkStart w:id="5" w:name="PE"/>
      <w:r w:rsidRPr="003236D5">
        <w:rPr>
          <w:vanish/>
        </w:rPr>
        <w:t>PE766.947</w:t>
      </w:r>
      <w:bookmarkEnd w:id="5"/>
    </w:p>
    <w:p w14:paraId="743314EF" w14:textId="49F82C4E" w:rsidR="00662D2C" w:rsidRPr="003236D5" w:rsidRDefault="00662D2C" w:rsidP="001B2F0A">
      <w:pPr>
        <w:pStyle w:val="ATHeading3"/>
      </w:pPr>
      <w:bookmarkStart w:id="6" w:name="Sujet"/>
      <w:r w:rsidRPr="003236D5">
        <w:t xml:space="preserve">Decisão do Parlamento Europeu, de </w:t>
      </w:r>
      <w:r w:rsidR="001B2F0A" w:rsidRPr="003236D5">
        <w:t xml:space="preserve">1 </w:t>
      </w:r>
      <w:r w:rsidRPr="003236D5">
        <w:t xml:space="preserve">de </w:t>
      </w:r>
      <w:r w:rsidR="001B2F0A" w:rsidRPr="003236D5">
        <w:t xml:space="preserve">abril </w:t>
      </w:r>
      <w:r w:rsidRPr="003236D5">
        <w:t xml:space="preserve">de 2025, sobre o pedido de levantamento da imunidade de Jana </w:t>
      </w:r>
      <w:proofErr w:type="spellStart"/>
      <w:r w:rsidRPr="003236D5">
        <w:t>Nagyová</w:t>
      </w:r>
      <w:bookmarkEnd w:id="6"/>
      <w:proofErr w:type="spellEnd"/>
      <w:r w:rsidRPr="003236D5">
        <w:t xml:space="preserve"> </w:t>
      </w:r>
      <w:bookmarkStart w:id="7" w:name="References"/>
      <w:r w:rsidRPr="003236D5">
        <w:t>(2024/2035(IMM))</w:t>
      </w:r>
      <w:bookmarkEnd w:id="7"/>
    </w:p>
    <w:p w14:paraId="66B70B35" w14:textId="77777777" w:rsidR="00301452" w:rsidRPr="003236D5" w:rsidRDefault="00301452" w:rsidP="00301452">
      <w:pPr>
        <w:pStyle w:val="EPComma"/>
      </w:pPr>
      <w:bookmarkStart w:id="8" w:name="TextBodyBegin"/>
      <w:bookmarkEnd w:id="8"/>
      <w:r w:rsidRPr="003236D5">
        <w:rPr>
          <w:i/>
        </w:rPr>
        <w:t>O Parlamento Europeu</w:t>
      </w:r>
      <w:r w:rsidRPr="003236D5">
        <w:t>,</w:t>
      </w:r>
    </w:p>
    <w:p w14:paraId="1735F029" w14:textId="5601B8C3" w:rsidR="00301452" w:rsidRPr="003236D5" w:rsidRDefault="00301452" w:rsidP="003236D5">
      <w:pPr>
        <w:pStyle w:val="NormalHanging12a"/>
      </w:pPr>
      <w:r w:rsidRPr="003236D5">
        <w:t>–</w:t>
      </w:r>
      <w:r w:rsidRPr="003236D5">
        <w:tab/>
        <w:t xml:space="preserve">Tendo recebido um pedido de levantamento da imunidade de Jana </w:t>
      </w:r>
      <w:proofErr w:type="spellStart"/>
      <w:r w:rsidRPr="003236D5">
        <w:t>Nagyová</w:t>
      </w:r>
      <w:proofErr w:type="spellEnd"/>
      <w:r w:rsidRPr="003236D5">
        <w:t xml:space="preserve">, transmitido em 1 de julho de 2024 pelo Tribunal Superior em Praga, no âmbito de uma ação penal pendente nesse tribunal, em sede de recurso, com a referência </w:t>
      </w:r>
      <w:r w:rsidR="00912D77" w:rsidRPr="003236D5">
        <w:t>“</w:t>
      </w:r>
      <w:r w:rsidRPr="003236D5">
        <w:t>3 a 34/2024</w:t>
      </w:r>
      <w:r w:rsidR="00912D77" w:rsidRPr="003236D5">
        <w:t>”</w:t>
      </w:r>
      <w:r w:rsidRPr="003236D5">
        <w:t>, o qual foi comunicado em sessão plenária em 19 de julho de 2024,</w:t>
      </w:r>
    </w:p>
    <w:p w14:paraId="0B4B0AB2" w14:textId="77777777" w:rsidR="00301452" w:rsidRPr="003236D5" w:rsidRDefault="00301452" w:rsidP="003236D5">
      <w:pPr>
        <w:pStyle w:val="NormalHanging12a"/>
      </w:pPr>
      <w:r w:rsidRPr="003236D5">
        <w:t>–</w:t>
      </w:r>
      <w:r w:rsidRPr="003236D5">
        <w:tab/>
        <w:t xml:space="preserve">Tendo ouvido Jana </w:t>
      </w:r>
      <w:proofErr w:type="spellStart"/>
      <w:r w:rsidRPr="003236D5">
        <w:t>Nagyová</w:t>
      </w:r>
      <w:proofErr w:type="spellEnd"/>
      <w:r w:rsidRPr="003236D5">
        <w:t xml:space="preserve"> em 29 de janeiro de 2025, nos termos do artigo 9.º, n.º 6, do seu Regimento,</w:t>
      </w:r>
    </w:p>
    <w:p w14:paraId="58E6122C" w14:textId="302415D5" w:rsidR="00301452" w:rsidRPr="003236D5" w:rsidRDefault="00301452" w:rsidP="003236D5">
      <w:pPr>
        <w:pStyle w:val="NormalHanging12a"/>
      </w:pPr>
      <w:r w:rsidRPr="003236D5">
        <w:t>–</w:t>
      </w:r>
      <w:r w:rsidRPr="003236D5">
        <w:tab/>
        <w:t xml:space="preserve">Tendo em conta os artigos 8.º e 9.º do Protocolo n.º 7 relativo aos Privilégios e Imunidades da União Europeia, bem como o artigo 6.º, n.º 2, do Ato relativo à Eleição dos </w:t>
      </w:r>
      <w:r w:rsidR="001B2F0A" w:rsidRPr="003236D5">
        <w:t xml:space="preserve">representantes </w:t>
      </w:r>
      <w:r w:rsidRPr="003236D5">
        <w:t>ao Parlamento Europeu por Sufrágio Universal Direto, de 20 de setembro de 1976,</w:t>
      </w:r>
    </w:p>
    <w:p w14:paraId="0D541514" w14:textId="52B0B87A" w:rsidR="00301452" w:rsidRPr="003236D5" w:rsidRDefault="00301452" w:rsidP="003236D5">
      <w:pPr>
        <w:pStyle w:val="NormalHanging12a"/>
      </w:pPr>
      <w:r w:rsidRPr="003236D5">
        <w:t>–</w:t>
      </w:r>
      <w:r w:rsidRPr="003236D5">
        <w:tab/>
        <w:t>Tendo em conta os acórdãos proferidos pelo Tribunal de Justiça da União Europeia em 21 de outubro de 2008, 19 de março de 2010, 6 de set</w:t>
      </w:r>
      <w:r w:rsidR="00AF67AE" w:rsidRPr="003236D5">
        <w:t>embro de 2011, 17 de janeiro de </w:t>
      </w:r>
      <w:r w:rsidRPr="003236D5">
        <w:t>2013, 19 de dezembro de 2019 e 5 de julho de 2023</w:t>
      </w:r>
      <w:r w:rsidRPr="003236D5">
        <w:rPr>
          <w:rStyle w:val="FootnoteReference"/>
          <w:color w:val="000000"/>
        </w:rPr>
        <w:footnoteReference w:id="1"/>
      </w:r>
      <w:r w:rsidRPr="003236D5">
        <w:t>,</w:t>
      </w:r>
    </w:p>
    <w:p w14:paraId="6DB953BD" w14:textId="73664985" w:rsidR="00301452" w:rsidRPr="003236D5" w:rsidRDefault="00301452" w:rsidP="003236D5">
      <w:pPr>
        <w:pStyle w:val="NormalHanging12a"/>
      </w:pPr>
      <w:r w:rsidRPr="003236D5">
        <w:t>–</w:t>
      </w:r>
      <w:r w:rsidRPr="003236D5">
        <w:tab/>
        <w:t xml:space="preserve">Tendo em conta o artigo 27.º da Constituição da República Checa e o artigo 10.º, n.º 1, da Lei n.º 141/1961, relativa ao processo penal (Código de Processo Penal </w:t>
      </w:r>
      <w:r w:rsidR="009B7C2F" w:rsidRPr="003236D5">
        <w:t xml:space="preserve">da República </w:t>
      </w:r>
      <w:r w:rsidR="009B7C2F" w:rsidRPr="003236D5">
        <w:lastRenderedPageBreak/>
        <w:t>Checa</w:t>
      </w:r>
      <w:r w:rsidRPr="003236D5">
        <w:t>),</w:t>
      </w:r>
    </w:p>
    <w:p w14:paraId="79CE71B1" w14:textId="77777777" w:rsidR="00301452" w:rsidRPr="003236D5" w:rsidRDefault="00301452" w:rsidP="003236D5">
      <w:pPr>
        <w:pStyle w:val="NormalHanging12a"/>
      </w:pPr>
      <w:r w:rsidRPr="003236D5">
        <w:t>–</w:t>
      </w:r>
      <w:r w:rsidRPr="003236D5">
        <w:tab/>
        <w:t>Tendo em conta o artigo 5.º, n.º 2, o artigo 6.º, n.º 1, e o artigo 9.º do seu Regimento,</w:t>
      </w:r>
    </w:p>
    <w:p w14:paraId="7FEC9333" w14:textId="77777777" w:rsidR="00301452" w:rsidRPr="003236D5" w:rsidRDefault="00301452" w:rsidP="003236D5">
      <w:pPr>
        <w:pStyle w:val="NormalHanging12a"/>
      </w:pPr>
      <w:r w:rsidRPr="003236D5">
        <w:t>–</w:t>
      </w:r>
      <w:r w:rsidRPr="003236D5">
        <w:tab/>
        <w:t>Tendo em conta o relatório da Comissão dos Assuntos Jurídicos (A10</w:t>
      </w:r>
      <w:r w:rsidRPr="003236D5">
        <w:noBreakHyphen/>
        <w:t>0029/2025),</w:t>
      </w:r>
    </w:p>
    <w:p w14:paraId="31D80E21" w14:textId="6B21BACB" w:rsidR="00301452" w:rsidRPr="003236D5" w:rsidRDefault="00301452" w:rsidP="003236D5">
      <w:pPr>
        <w:pStyle w:val="NormalHanging12a"/>
      </w:pPr>
      <w:r w:rsidRPr="003236D5">
        <w:t>A.</w:t>
      </w:r>
      <w:r w:rsidRPr="003236D5">
        <w:tab/>
        <w:t xml:space="preserve">Considerando que, em 1 de julho de 2024, o Tribunal Superior de Praga apresentou um pedido de levantamento da imunidade parlamentar de Jana </w:t>
      </w:r>
      <w:proofErr w:type="spellStart"/>
      <w:r w:rsidRPr="003236D5">
        <w:t>Nagyová</w:t>
      </w:r>
      <w:proofErr w:type="spellEnd"/>
      <w:r w:rsidRPr="003236D5">
        <w:t xml:space="preserve">, deputada ao Parlamento Europeu eleita na República Checa, com vista a dar seguimento a processos penais atualmente pendentes, em sede de recurso, relativos à acusação de prática do crime de fraude em matéria de subvenções, previsto no artigo 212.º, </w:t>
      </w:r>
      <w:proofErr w:type="spellStart"/>
      <w:r w:rsidRPr="003236D5">
        <w:t>n.</w:t>
      </w:r>
      <w:r w:rsidRPr="003236D5">
        <w:rPr>
          <w:vertAlign w:val="superscript"/>
        </w:rPr>
        <w:t>os</w:t>
      </w:r>
      <w:proofErr w:type="spellEnd"/>
      <w:r w:rsidRPr="003236D5">
        <w:t xml:space="preserve"> 1 e 6, alínea a), e ao crime de ofensa aos interesses financeiros da União Europeia, previsto no</w:t>
      </w:r>
      <w:r w:rsidR="00AF67AE" w:rsidRPr="003236D5">
        <w:t xml:space="preserve"> artigo </w:t>
      </w:r>
      <w:r w:rsidRPr="003236D5">
        <w:t xml:space="preserve">260.º, </w:t>
      </w:r>
      <w:proofErr w:type="spellStart"/>
      <w:r w:rsidRPr="003236D5">
        <w:t>n.</w:t>
      </w:r>
      <w:r w:rsidRPr="003236D5">
        <w:rPr>
          <w:vertAlign w:val="superscript"/>
        </w:rPr>
        <w:t>os</w:t>
      </w:r>
      <w:proofErr w:type="spellEnd"/>
      <w:r w:rsidRPr="003236D5">
        <w:t xml:space="preserve"> 1 e 5, da Lei n.º 40/2009 (Código Penal </w:t>
      </w:r>
      <w:r w:rsidR="00912D77" w:rsidRPr="003236D5">
        <w:t>da República Checa</w:t>
      </w:r>
      <w:r w:rsidRPr="003236D5">
        <w:t>);</w:t>
      </w:r>
    </w:p>
    <w:p w14:paraId="48A2D28B" w14:textId="77777777" w:rsidR="00301452" w:rsidRPr="003236D5" w:rsidRDefault="00301452" w:rsidP="003236D5">
      <w:pPr>
        <w:pStyle w:val="NormalHanging12a"/>
      </w:pPr>
      <w:r w:rsidRPr="003236D5">
        <w:t>B.</w:t>
      </w:r>
      <w:r w:rsidRPr="003236D5">
        <w:tab/>
        <w:t xml:space="preserve">Considerando que o processo penal instaurado contra Jana </w:t>
      </w:r>
      <w:proofErr w:type="spellStart"/>
      <w:r w:rsidRPr="003236D5">
        <w:t>Nagyová</w:t>
      </w:r>
      <w:proofErr w:type="spellEnd"/>
      <w:r w:rsidRPr="003236D5">
        <w:t xml:space="preserve"> tem por base a acusação do Ministério Público Municipal de Praga, de 21 de março de 2022, relativa a um ato que esta terá cometido conjuntamente com um coarguido e que consiste no facto de, na sua qualidade de pessoa especializada em subvenções da UE e, no período compreendido entre 17 de janeiro de 2008 e 5 de janeiro de 2010, na qualidade de vice</w:t>
      </w:r>
      <w:r w:rsidRPr="003236D5">
        <w:noBreakHyphen/>
        <w:t>presidente do conselho de administração de uma empresa checa, ter apresentado um pedido de subvenção, apesar de saber que a empresa em causa não tinha direito à mesma, e ter fornecido a informação falsa de que a empresa era uma pequena empresa e uma empresa independente;</w:t>
      </w:r>
    </w:p>
    <w:p w14:paraId="2973EE12" w14:textId="77777777" w:rsidR="00301452" w:rsidRPr="003236D5" w:rsidRDefault="00301452" w:rsidP="003236D5">
      <w:pPr>
        <w:pStyle w:val="NormalHanging12a"/>
      </w:pPr>
      <w:proofErr w:type="gramStart"/>
      <w:r w:rsidRPr="003236D5">
        <w:t>C.</w:t>
      </w:r>
      <w:r w:rsidRPr="003236D5">
        <w:tab/>
        <w:t>Considerando</w:t>
      </w:r>
      <w:proofErr w:type="gramEnd"/>
      <w:r w:rsidRPr="003236D5">
        <w:t xml:space="preserve"> que o objetivo da imunidade parlamentar é proteger o Parlamento e os seus deputados de processos judiciais relacionados com atividades realizadas no exercício das funções parlamentares e indissociáveis destas;</w:t>
      </w:r>
    </w:p>
    <w:p w14:paraId="5F80FEA1" w14:textId="77777777" w:rsidR="00301452" w:rsidRPr="003236D5" w:rsidRDefault="00301452" w:rsidP="003236D5">
      <w:pPr>
        <w:pStyle w:val="NormalHanging12a"/>
      </w:pPr>
      <w:r w:rsidRPr="003236D5">
        <w:t>D.</w:t>
      </w:r>
      <w:r w:rsidRPr="003236D5">
        <w:tab/>
        <w:t>Considerando que os crimes alegadamente cometidos não dizem respeito a opiniões ou votos expressos no exercício do mandato de deputado ao Parlamento Europeu para efeitos do artigo 8.º do Protocolo n.º 7 relativo aos Privilégios e Imunidades da União Europeia;</w:t>
      </w:r>
    </w:p>
    <w:p w14:paraId="72B55B60" w14:textId="77777777" w:rsidR="00301452" w:rsidRPr="003236D5" w:rsidRDefault="00301452" w:rsidP="003236D5">
      <w:pPr>
        <w:pStyle w:val="NormalHanging12a"/>
      </w:pPr>
      <w:r w:rsidRPr="003236D5">
        <w:t>E.</w:t>
      </w:r>
      <w:r w:rsidRPr="003236D5">
        <w:tab/>
        <w:t>Considerando que o artigo 9.º, primeiro parágrafo, alínea a), do Protocolo n.º 7 relativo aos Privilégios e Imunidades da União Europeia prevê que os deputados ao Parlamento Europeu beneficiam, no seu território nacional, das imunidades reconhecidas aos membros do Parlamento do seu país;</w:t>
      </w:r>
    </w:p>
    <w:p w14:paraId="327F5981" w14:textId="77777777" w:rsidR="00301452" w:rsidRPr="003236D5" w:rsidRDefault="00301452" w:rsidP="003236D5">
      <w:pPr>
        <w:pStyle w:val="NormalHanging12a"/>
      </w:pPr>
      <w:proofErr w:type="gramStart"/>
      <w:r w:rsidRPr="003236D5">
        <w:t>F.</w:t>
      </w:r>
      <w:r w:rsidRPr="003236D5">
        <w:tab/>
        <w:t>Considerando</w:t>
      </w:r>
      <w:proofErr w:type="gramEnd"/>
      <w:r w:rsidRPr="003236D5">
        <w:t xml:space="preserve"> que o artigo 27.º, n.º 4, da Constituição da República Checa estabelece que os deputados e senadores só podem ser alvo de ação penal com o consentimento da câmara de que são membros e que, se essa câmara recusar o seu consentimento, essa ação penal é suspensa durante o seu mandato;</w:t>
      </w:r>
    </w:p>
    <w:p w14:paraId="5A99656E" w14:textId="77777777" w:rsidR="00301452" w:rsidRPr="003236D5" w:rsidRDefault="00301452" w:rsidP="003236D5">
      <w:pPr>
        <w:pStyle w:val="NormalHanging12a"/>
      </w:pPr>
      <w:proofErr w:type="gramStart"/>
      <w:r w:rsidRPr="003236D5">
        <w:t>G.</w:t>
      </w:r>
      <w:r w:rsidRPr="003236D5">
        <w:tab/>
        <w:t>Considerando</w:t>
      </w:r>
      <w:proofErr w:type="gramEnd"/>
      <w:r w:rsidRPr="003236D5">
        <w:t xml:space="preserve"> que, no caso em apreço, o Parlamento não encontrou indícios da existência de </w:t>
      </w:r>
      <w:proofErr w:type="spellStart"/>
      <w:r w:rsidRPr="003236D5">
        <w:rPr>
          <w:i/>
        </w:rPr>
        <w:t>fumus</w:t>
      </w:r>
      <w:proofErr w:type="spellEnd"/>
      <w:r w:rsidRPr="003236D5">
        <w:rPr>
          <w:i/>
        </w:rPr>
        <w:t xml:space="preserve"> </w:t>
      </w:r>
      <w:proofErr w:type="spellStart"/>
      <w:r w:rsidRPr="003236D5">
        <w:rPr>
          <w:i/>
        </w:rPr>
        <w:t>persecutionis</w:t>
      </w:r>
      <w:proofErr w:type="spellEnd"/>
      <w:r w:rsidRPr="003236D5">
        <w:t>, ou seja, factos que indicassem que os processos judiciais em causa foram instaurados com a intenção de prejudicar a atividade política da deputada e, assim, do Parlamento Europeu;</w:t>
      </w:r>
    </w:p>
    <w:p w14:paraId="49D5164F" w14:textId="77777777" w:rsidR="00301452" w:rsidRPr="003236D5" w:rsidRDefault="00301452" w:rsidP="003236D5">
      <w:pPr>
        <w:pStyle w:val="NormalHanging12a"/>
      </w:pPr>
      <w:r w:rsidRPr="003236D5">
        <w:t>H.</w:t>
      </w:r>
      <w:r w:rsidRPr="003236D5">
        <w:tab/>
        <w:t xml:space="preserve">Considerando, por um lado, que o Parlamento não pode ser equiparado a um tribunal e que, por outro, o deputado, no contexto de um processo de levantamento da imunidade, </w:t>
      </w:r>
      <w:r w:rsidRPr="003236D5">
        <w:lastRenderedPageBreak/>
        <w:t>não pode ser considerado «arguido»</w:t>
      </w:r>
      <w:r w:rsidRPr="003236D5">
        <w:rPr>
          <w:rStyle w:val="FootnoteReference"/>
          <w:color w:val="000000"/>
        </w:rPr>
        <w:footnoteReference w:id="2"/>
      </w:r>
      <w:r w:rsidRPr="003236D5">
        <w:t>;</w:t>
      </w:r>
    </w:p>
    <w:p w14:paraId="0EC5BD61" w14:textId="77777777" w:rsidR="00301452" w:rsidRPr="003236D5" w:rsidRDefault="00301452" w:rsidP="003236D5">
      <w:pPr>
        <w:pStyle w:val="NormalHanging12a"/>
      </w:pPr>
      <w:proofErr w:type="gramStart"/>
      <w:r w:rsidRPr="003236D5">
        <w:t>1.</w:t>
      </w:r>
      <w:r w:rsidRPr="003236D5">
        <w:tab/>
        <w:t>Decide</w:t>
      </w:r>
      <w:proofErr w:type="gramEnd"/>
      <w:r w:rsidRPr="003236D5">
        <w:t xml:space="preserve"> levantar a imunidade de Jana </w:t>
      </w:r>
      <w:proofErr w:type="spellStart"/>
      <w:r w:rsidRPr="003236D5">
        <w:t>Nagyová</w:t>
      </w:r>
      <w:proofErr w:type="spellEnd"/>
      <w:r w:rsidRPr="003236D5">
        <w:t>;</w:t>
      </w:r>
    </w:p>
    <w:p w14:paraId="52FEDC33" w14:textId="0807DCE9" w:rsidR="00B53C41" w:rsidRPr="003236D5" w:rsidRDefault="00301452" w:rsidP="003236D5">
      <w:pPr>
        <w:pStyle w:val="NormalHanging12a"/>
      </w:pPr>
      <w:proofErr w:type="gramStart"/>
      <w:r w:rsidRPr="003236D5">
        <w:t>2.</w:t>
      </w:r>
      <w:r w:rsidRPr="003236D5">
        <w:tab/>
        <w:t>Encarrega</w:t>
      </w:r>
      <w:proofErr w:type="gramEnd"/>
      <w:r w:rsidRPr="003236D5">
        <w:t xml:space="preserve"> a sua Presidente de transmitir de imediato a presente decisão, bem como o relatório da sua comissão </w:t>
      </w:r>
      <w:r w:rsidR="001B2F0A" w:rsidRPr="003236D5">
        <w:t>competente</w:t>
      </w:r>
      <w:r w:rsidRPr="003236D5">
        <w:t xml:space="preserve">, à autoridade competente da República Checa e a Jana </w:t>
      </w:r>
      <w:proofErr w:type="spellStart"/>
      <w:r w:rsidRPr="003236D5">
        <w:t>Nagyová</w:t>
      </w:r>
      <w:proofErr w:type="spellEnd"/>
      <w:r w:rsidRPr="003236D5">
        <w:t>.</w:t>
      </w:r>
    </w:p>
    <w:p w14:paraId="16525F94" w14:textId="77777777" w:rsidR="00E365E1" w:rsidRPr="003236D5" w:rsidRDefault="00E365E1" w:rsidP="001B2F0A"/>
    <w:sectPr w:rsidR="00E365E1" w:rsidRPr="003236D5" w:rsidSect="00B53C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09E3D8" w14:textId="77777777" w:rsidR="00662D2C" w:rsidRPr="00B53C41" w:rsidRDefault="00662D2C">
      <w:r w:rsidRPr="00B53C41">
        <w:separator/>
      </w:r>
    </w:p>
  </w:endnote>
  <w:endnote w:type="continuationSeparator" w:id="0">
    <w:p w14:paraId="477283E8" w14:textId="77777777" w:rsidR="00662D2C" w:rsidRPr="00B53C41" w:rsidRDefault="00662D2C">
      <w:r w:rsidRPr="00B53C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84A4B9" w14:textId="77777777" w:rsidR="00064002" w:rsidRPr="00B53C4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104672" w14:textId="77777777" w:rsidR="00064002" w:rsidRPr="00B53C4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42253F" w14:textId="77777777" w:rsidR="00064002" w:rsidRPr="00B53C4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566B87" w14:textId="77777777" w:rsidR="00662D2C" w:rsidRPr="00B53C41" w:rsidRDefault="00662D2C">
      <w:r w:rsidRPr="00B53C41">
        <w:separator/>
      </w:r>
    </w:p>
  </w:footnote>
  <w:footnote w:type="continuationSeparator" w:id="0">
    <w:p w14:paraId="3D2EE953" w14:textId="77777777" w:rsidR="00662D2C" w:rsidRPr="00B53C41" w:rsidRDefault="00662D2C">
      <w:r w:rsidRPr="00B53C41">
        <w:continuationSeparator/>
      </w:r>
    </w:p>
  </w:footnote>
  <w:footnote w:id="1">
    <w:p w14:paraId="493366ED" w14:textId="069EA807" w:rsidR="00301452" w:rsidRPr="00B53C41" w:rsidRDefault="00301452" w:rsidP="00B53C41">
      <w:pPr>
        <w:pStyle w:val="FootnoteText"/>
        <w:ind w:left="567" w:hanging="567"/>
        <w:rPr>
          <w:sz w:val="24"/>
          <w:lang w:val="pt-PT"/>
        </w:rPr>
      </w:pPr>
      <w:r w:rsidRPr="00B53C41">
        <w:rPr>
          <w:rStyle w:val="FootnoteReference"/>
          <w:sz w:val="24"/>
          <w:lang w:val="pt-PT"/>
        </w:rPr>
        <w:footnoteRef/>
      </w:r>
      <w:r w:rsidR="00B53C41" w:rsidRPr="00B53C41">
        <w:rPr>
          <w:sz w:val="24"/>
          <w:lang w:val="pt-PT"/>
        </w:rPr>
        <w:t xml:space="preserve"> </w:t>
      </w:r>
      <w:r w:rsidR="00B53C41" w:rsidRPr="00B53C41">
        <w:rPr>
          <w:sz w:val="24"/>
          <w:lang w:val="pt-PT"/>
        </w:rPr>
        <w:tab/>
      </w:r>
      <w:r w:rsidRPr="00B53C41">
        <w:rPr>
          <w:sz w:val="24"/>
          <w:lang w:val="pt-PT"/>
        </w:rPr>
        <w:t xml:space="preserve">Acórdão do Tribunal de Justiça de 21 de outubro de 2008, </w:t>
      </w:r>
      <w:r w:rsidRPr="00922A3D">
        <w:rPr>
          <w:sz w:val="24"/>
          <w:lang w:val="pt-PT"/>
        </w:rPr>
        <w:t xml:space="preserve">Marra/De </w:t>
      </w:r>
      <w:proofErr w:type="spellStart"/>
      <w:r w:rsidRPr="00922A3D">
        <w:rPr>
          <w:sz w:val="24"/>
          <w:lang w:val="pt-PT"/>
        </w:rPr>
        <w:t>Gregorio</w:t>
      </w:r>
      <w:proofErr w:type="spellEnd"/>
      <w:r w:rsidRPr="00922A3D">
        <w:rPr>
          <w:sz w:val="24"/>
          <w:lang w:val="pt-PT"/>
        </w:rPr>
        <w:t xml:space="preserve"> e Clemente</w:t>
      </w:r>
      <w:r w:rsidRPr="00B53C41">
        <w:rPr>
          <w:sz w:val="24"/>
          <w:lang w:val="pt-PT"/>
        </w:rPr>
        <w:t>, C</w:t>
      </w:r>
      <w:r w:rsidRPr="00B53C41">
        <w:rPr>
          <w:sz w:val="24"/>
          <w:lang w:val="pt-PT"/>
        </w:rPr>
        <w:noBreakHyphen/>
        <w:t>200/07 e C</w:t>
      </w:r>
      <w:r w:rsidRPr="00B53C41">
        <w:rPr>
          <w:sz w:val="24"/>
          <w:lang w:val="pt-PT"/>
        </w:rPr>
        <w:noBreakHyphen/>
        <w:t xml:space="preserve">201/07, ECLI:EU:C:2008:579; </w:t>
      </w:r>
      <w:r w:rsidR="00820445">
        <w:rPr>
          <w:sz w:val="24"/>
          <w:lang w:val="pt-PT"/>
        </w:rPr>
        <w:t>A</w:t>
      </w:r>
      <w:r w:rsidR="00820445" w:rsidRPr="00B53C41">
        <w:rPr>
          <w:sz w:val="24"/>
          <w:lang w:val="pt-PT"/>
        </w:rPr>
        <w:t xml:space="preserve">córdão </w:t>
      </w:r>
      <w:r w:rsidRPr="00B53C41">
        <w:rPr>
          <w:sz w:val="24"/>
          <w:lang w:val="pt-PT"/>
        </w:rPr>
        <w:t xml:space="preserve">do Tribunal Geral de 19 de março de 2010, </w:t>
      </w:r>
      <w:proofErr w:type="spellStart"/>
      <w:r w:rsidRPr="00922A3D">
        <w:rPr>
          <w:sz w:val="24"/>
          <w:lang w:val="pt-PT"/>
        </w:rPr>
        <w:t>Gollnisch</w:t>
      </w:r>
      <w:proofErr w:type="spellEnd"/>
      <w:r w:rsidRPr="00922A3D">
        <w:rPr>
          <w:sz w:val="24"/>
          <w:lang w:val="pt-PT"/>
        </w:rPr>
        <w:t>/Parlamento Europeu</w:t>
      </w:r>
      <w:r w:rsidRPr="00B53C41">
        <w:rPr>
          <w:sz w:val="24"/>
          <w:lang w:val="pt-PT"/>
        </w:rPr>
        <w:t>, T</w:t>
      </w:r>
      <w:r w:rsidRPr="00B53C41">
        <w:rPr>
          <w:sz w:val="24"/>
          <w:lang w:val="pt-PT"/>
        </w:rPr>
        <w:noBreakHyphen/>
        <w:t xml:space="preserve">42/06, ECLI:EU:T:2010:102; </w:t>
      </w:r>
      <w:r w:rsidR="00820445">
        <w:rPr>
          <w:sz w:val="24"/>
          <w:lang w:val="pt-PT"/>
        </w:rPr>
        <w:t>A</w:t>
      </w:r>
      <w:r w:rsidR="00820445" w:rsidRPr="00B53C41">
        <w:rPr>
          <w:sz w:val="24"/>
          <w:lang w:val="pt-PT"/>
        </w:rPr>
        <w:t xml:space="preserve">córdão </w:t>
      </w:r>
      <w:r w:rsidRPr="00B53C41">
        <w:rPr>
          <w:sz w:val="24"/>
          <w:lang w:val="pt-PT"/>
        </w:rPr>
        <w:t xml:space="preserve">do Tribunal de Justiça de 6 de setembro </w:t>
      </w:r>
      <w:r w:rsidR="009B7C2F" w:rsidRPr="00B53C41">
        <w:rPr>
          <w:sz w:val="24"/>
          <w:lang w:val="pt-PT"/>
        </w:rPr>
        <w:t>de</w:t>
      </w:r>
      <w:r w:rsidR="009B7C2F">
        <w:rPr>
          <w:sz w:val="24"/>
          <w:lang w:val="pt-PT"/>
        </w:rPr>
        <w:t> </w:t>
      </w:r>
      <w:r w:rsidRPr="00B53C41">
        <w:rPr>
          <w:sz w:val="24"/>
          <w:lang w:val="pt-PT"/>
        </w:rPr>
        <w:t xml:space="preserve">2011, </w:t>
      </w:r>
      <w:proofErr w:type="spellStart"/>
      <w:r w:rsidRPr="00922A3D">
        <w:rPr>
          <w:sz w:val="24"/>
          <w:lang w:val="pt-PT"/>
        </w:rPr>
        <w:t>Patriciello</w:t>
      </w:r>
      <w:proofErr w:type="spellEnd"/>
      <w:r w:rsidRPr="00B53C41">
        <w:rPr>
          <w:sz w:val="24"/>
          <w:lang w:val="pt-PT"/>
        </w:rPr>
        <w:t>, C</w:t>
      </w:r>
      <w:r w:rsidRPr="00B53C41">
        <w:rPr>
          <w:sz w:val="24"/>
          <w:lang w:val="pt-PT"/>
        </w:rPr>
        <w:noBreakHyphen/>
        <w:t xml:space="preserve">163/10, ECLI: EU:C:2011:543; </w:t>
      </w:r>
      <w:r w:rsidR="00820445">
        <w:rPr>
          <w:sz w:val="24"/>
          <w:lang w:val="pt-PT"/>
        </w:rPr>
        <w:t>A</w:t>
      </w:r>
      <w:r w:rsidR="00820445" w:rsidRPr="00B53C41">
        <w:rPr>
          <w:sz w:val="24"/>
          <w:lang w:val="pt-PT"/>
        </w:rPr>
        <w:t xml:space="preserve">córdão </w:t>
      </w:r>
      <w:r w:rsidRPr="00B53C41">
        <w:rPr>
          <w:sz w:val="24"/>
          <w:lang w:val="pt-PT"/>
        </w:rPr>
        <w:t xml:space="preserve">do Tribunal Geral de 17 de janeiro de 2013, </w:t>
      </w:r>
      <w:proofErr w:type="spellStart"/>
      <w:r w:rsidRPr="00922A3D">
        <w:rPr>
          <w:sz w:val="24"/>
          <w:lang w:val="pt-PT"/>
        </w:rPr>
        <w:t>Gollnisch</w:t>
      </w:r>
      <w:proofErr w:type="spellEnd"/>
      <w:r w:rsidRPr="00922A3D">
        <w:rPr>
          <w:sz w:val="24"/>
          <w:lang w:val="pt-PT"/>
        </w:rPr>
        <w:t>/Parlamento Europeu</w:t>
      </w:r>
      <w:r w:rsidRPr="00B53C41">
        <w:rPr>
          <w:sz w:val="24"/>
          <w:lang w:val="pt-PT"/>
        </w:rPr>
        <w:t>, T</w:t>
      </w:r>
      <w:r w:rsidRPr="00B53C41">
        <w:rPr>
          <w:sz w:val="24"/>
          <w:lang w:val="pt-PT"/>
        </w:rPr>
        <w:noBreakHyphen/>
        <w:t>346/11 e T</w:t>
      </w:r>
      <w:r w:rsidRPr="00B53C41">
        <w:rPr>
          <w:sz w:val="24"/>
          <w:lang w:val="pt-PT"/>
        </w:rPr>
        <w:noBreakHyphen/>
        <w:t xml:space="preserve">347/11, ECLI:EU:T:2013:23; </w:t>
      </w:r>
      <w:r w:rsidR="00820445">
        <w:rPr>
          <w:sz w:val="24"/>
          <w:lang w:val="pt-PT"/>
        </w:rPr>
        <w:t>A</w:t>
      </w:r>
      <w:r w:rsidR="00820445" w:rsidRPr="00B53C41">
        <w:rPr>
          <w:sz w:val="24"/>
          <w:lang w:val="pt-PT"/>
        </w:rPr>
        <w:t xml:space="preserve">córdão </w:t>
      </w:r>
      <w:r w:rsidRPr="00B53C41">
        <w:rPr>
          <w:sz w:val="24"/>
          <w:lang w:val="pt-PT"/>
        </w:rPr>
        <w:t xml:space="preserve">do Tribunal de Justiça de 19 de dezembro </w:t>
      </w:r>
      <w:r w:rsidR="00820445" w:rsidRPr="00B53C41">
        <w:rPr>
          <w:sz w:val="24"/>
          <w:lang w:val="pt-PT"/>
        </w:rPr>
        <w:t>de</w:t>
      </w:r>
      <w:r w:rsidR="00820445">
        <w:rPr>
          <w:sz w:val="24"/>
          <w:lang w:val="pt-PT"/>
        </w:rPr>
        <w:t> </w:t>
      </w:r>
      <w:r w:rsidRPr="00B53C41">
        <w:rPr>
          <w:sz w:val="24"/>
          <w:lang w:val="pt-PT"/>
        </w:rPr>
        <w:t xml:space="preserve">2019, </w:t>
      </w:r>
      <w:proofErr w:type="spellStart"/>
      <w:r w:rsidRPr="00922A3D">
        <w:rPr>
          <w:sz w:val="24"/>
          <w:lang w:val="pt-PT"/>
        </w:rPr>
        <w:t>Junqueras</w:t>
      </w:r>
      <w:proofErr w:type="spellEnd"/>
      <w:r w:rsidRPr="00922A3D">
        <w:rPr>
          <w:sz w:val="24"/>
          <w:lang w:val="pt-PT"/>
        </w:rPr>
        <w:t xml:space="preserve"> </w:t>
      </w:r>
      <w:proofErr w:type="spellStart"/>
      <w:r w:rsidRPr="00922A3D">
        <w:rPr>
          <w:sz w:val="24"/>
          <w:lang w:val="pt-PT"/>
        </w:rPr>
        <w:t>Vies</w:t>
      </w:r>
      <w:proofErr w:type="spellEnd"/>
      <w:r w:rsidRPr="00B53C41">
        <w:rPr>
          <w:sz w:val="24"/>
          <w:lang w:val="pt-PT"/>
        </w:rPr>
        <w:t>, C</w:t>
      </w:r>
      <w:r w:rsidRPr="00B53C41">
        <w:rPr>
          <w:sz w:val="24"/>
          <w:lang w:val="pt-PT"/>
        </w:rPr>
        <w:noBreakHyphen/>
        <w:t xml:space="preserve">502/19, ECLI:EU:C:2019:1115; </w:t>
      </w:r>
      <w:r w:rsidR="00820445">
        <w:rPr>
          <w:sz w:val="24"/>
          <w:lang w:val="pt-PT"/>
        </w:rPr>
        <w:t>A</w:t>
      </w:r>
      <w:r w:rsidR="00820445" w:rsidRPr="00B53C41">
        <w:rPr>
          <w:sz w:val="24"/>
          <w:lang w:val="pt-PT"/>
        </w:rPr>
        <w:t xml:space="preserve">córdão </w:t>
      </w:r>
      <w:r w:rsidRPr="00B53C41">
        <w:rPr>
          <w:sz w:val="24"/>
          <w:lang w:val="pt-PT"/>
        </w:rPr>
        <w:t xml:space="preserve">do Tribunal Geral de 5 de julho de 2023, </w:t>
      </w:r>
      <w:proofErr w:type="spellStart"/>
      <w:r w:rsidRPr="00922A3D">
        <w:rPr>
          <w:sz w:val="24"/>
          <w:lang w:val="pt-PT"/>
        </w:rPr>
        <w:t>Puigdemont</w:t>
      </w:r>
      <w:proofErr w:type="spellEnd"/>
      <w:r w:rsidRPr="00922A3D">
        <w:rPr>
          <w:sz w:val="24"/>
          <w:lang w:val="pt-PT"/>
        </w:rPr>
        <w:t xml:space="preserve"> i </w:t>
      </w:r>
      <w:proofErr w:type="spellStart"/>
      <w:r w:rsidRPr="00922A3D">
        <w:rPr>
          <w:sz w:val="24"/>
          <w:lang w:val="pt-PT"/>
        </w:rPr>
        <w:t>Casamajó</w:t>
      </w:r>
      <w:proofErr w:type="spellEnd"/>
      <w:r w:rsidRPr="00922A3D">
        <w:rPr>
          <w:sz w:val="24"/>
          <w:lang w:val="pt-PT"/>
        </w:rPr>
        <w:t xml:space="preserve"> e o./Parlamento Europeu</w:t>
      </w:r>
      <w:r w:rsidRPr="00B53C41">
        <w:rPr>
          <w:sz w:val="24"/>
          <w:lang w:val="pt-PT"/>
        </w:rPr>
        <w:t>, T</w:t>
      </w:r>
      <w:r w:rsidRPr="00B53C41">
        <w:rPr>
          <w:sz w:val="24"/>
          <w:lang w:val="pt-PT"/>
        </w:rPr>
        <w:noBreakHyphen/>
        <w:t>272/21/P, ECLI:EU:T:2023:373.</w:t>
      </w:r>
    </w:p>
  </w:footnote>
  <w:footnote w:id="2">
    <w:p w14:paraId="54007F0B" w14:textId="77777777" w:rsidR="00301452" w:rsidRPr="00B53C41" w:rsidRDefault="00301452" w:rsidP="00B53C41">
      <w:pPr>
        <w:pStyle w:val="FootnoteText"/>
        <w:ind w:left="567" w:hanging="567"/>
        <w:rPr>
          <w:sz w:val="24"/>
          <w:lang w:val="pt-PT"/>
        </w:rPr>
      </w:pPr>
      <w:r w:rsidRPr="00B53C41">
        <w:rPr>
          <w:rStyle w:val="FootnoteReference"/>
          <w:sz w:val="24"/>
          <w:lang w:val="pt-PT"/>
        </w:rPr>
        <w:footnoteRef/>
      </w:r>
      <w:r w:rsidR="00B53C41" w:rsidRPr="00B53C41">
        <w:rPr>
          <w:sz w:val="24"/>
          <w:lang w:val="pt-PT"/>
        </w:rPr>
        <w:t xml:space="preserve"> </w:t>
      </w:r>
      <w:r w:rsidR="00B53C41" w:rsidRPr="00B53C41">
        <w:rPr>
          <w:sz w:val="24"/>
          <w:lang w:val="pt-PT"/>
        </w:rPr>
        <w:tab/>
      </w:r>
      <w:r w:rsidRPr="00B53C41">
        <w:rPr>
          <w:sz w:val="24"/>
          <w:lang w:val="pt-PT"/>
        </w:rPr>
        <w:t xml:space="preserve">Acórdão do Tribunal Geral de 30 de abril de 2019, </w:t>
      </w:r>
      <w:proofErr w:type="spellStart"/>
      <w:r w:rsidRPr="00922A3D">
        <w:rPr>
          <w:sz w:val="24"/>
          <w:lang w:val="pt-PT"/>
        </w:rPr>
        <w:t>Briois</w:t>
      </w:r>
      <w:proofErr w:type="spellEnd"/>
      <w:r w:rsidRPr="00922A3D">
        <w:rPr>
          <w:sz w:val="24"/>
          <w:lang w:val="pt-PT"/>
        </w:rPr>
        <w:t>/Parlamento Europeu</w:t>
      </w:r>
      <w:r w:rsidRPr="00B53C41">
        <w:rPr>
          <w:sz w:val="24"/>
          <w:lang w:val="pt-PT"/>
        </w:rPr>
        <w:t>, T</w:t>
      </w:r>
      <w:r w:rsidRPr="00B53C41">
        <w:rPr>
          <w:sz w:val="24"/>
          <w:lang w:val="pt-PT"/>
        </w:rPr>
        <w:noBreakHyphen/>
        <w:t>214/18, ECLI:</w:t>
      </w:r>
      <w:proofErr w:type="gramStart"/>
      <w:r w:rsidRPr="00B53C41">
        <w:rPr>
          <w:sz w:val="24"/>
          <w:lang w:val="pt-PT"/>
        </w:rPr>
        <w:t>EU:T</w:t>
      </w:r>
      <w:proofErr w:type="gramEnd"/>
      <w:r w:rsidRPr="00B53C41">
        <w:rPr>
          <w:sz w:val="24"/>
          <w:lang w:val="pt-P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E4B2C2" w14:textId="77777777" w:rsidR="00064002" w:rsidRPr="00B53C4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4F0565" w14:textId="77777777" w:rsidR="00064002" w:rsidRPr="00B53C4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F9A2E4" w14:textId="77777777" w:rsidR="00064002" w:rsidRPr="00B53C4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9/2025"/>
    <w:docVar w:name="dvlangue" w:val="PT"/>
    <w:docVar w:name="dvnumam" w:val="0"/>
    <w:docVar w:name="dvpe" w:val="766.947"/>
    <w:docVar w:name="dvrapporteur" w:val="Relator: "/>
    <w:docVar w:name="dvtitre" w:val="Decisão do Parlamento Europeu, de ... de ... de 2025,_x000d__x000a_ sobre o pedido de levantamento da imunidade de Jana Nagyová(2024/2035(IMM))"/>
  </w:docVars>
  <w:rsids>
    <w:rsidRoot w:val="00662D2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2F0A"/>
    <w:rsid w:val="001F32AE"/>
    <w:rsid w:val="002767FF"/>
    <w:rsid w:val="002B18FE"/>
    <w:rsid w:val="002B5493"/>
    <w:rsid w:val="00301452"/>
    <w:rsid w:val="003236D5"/>
    <w:rsid w:val="00343214"/>
    <w:rsid w:val="00361C00"/>
    <w:rsid w:val="00395FA1"/>
    <w:rsid w:val="003963D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7623"/>
    <w:rsid w:val="00545827"/>
    <w:rsid w:val="00560270"/>
    <w:rsid w:val="005C2568"/>
    <w:rsid w:val="005F1B17"/>
    <w:rsid w:val="006037C0"/>
    <w:rsid w:val="00662D2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C69"/>
    <w:rsid w:val="00817416"/>
    <w:rsid w:val="00820445"/>
    <w:rsid w:val="00842779"/>
    <w:rsid w:val="00865F67"/>
    <w:rsid w:val="00873F54"/>
    <w:rsid w:val="00881A7B"/>
    <w:rsid w:val="008840E5"/>
    <w:rsid w:val="00887B3E"/>
    <w:rsid w:val="008C2AC6"/>
    <w:rsid w:val="00912D77"/>
    <w:rsid w:val="00922A3D"/>
    <w:rsid w:val="00930C23"/>
    <w:rsid w:val="0093193B"/>
    <w:rsid w:val="009509D8"/>
    <w:rsid w:val="00950B64"/>
    <w:rsid w:val="00981893"/>
    <w:rsid w:val="009B7C2F"/>
    <w:rsid w:val="00A1687D"/>
    <w:rsid w:val="00A43E52"/>
    <w:rsid w:val="00A4678D"/>
    <w:rsid w:val="00A778C7"/>
    <w:rsid w:val="00AB441E"/>
    <w:rsid w:val="00AB6293"/>
    <w:rsid w:val="00AE0928"/>
    <w:rsid w:val="00AF3B82"/>
    <w:rsid w:val="00AF67AE"/>
    <w:rsid w:val="00B12E95"/>
    <w:rsid w:val="00B22876"/>
    <w:rsid w:val="00B53C41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3EF1F3"/>
  <w15:chartTrackingRefBased/>
  <w15:docId w15:val="{2BC39433-3140-4E7D-8964-BC83D47BD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01452"/>
    <w:pPr>
      <w:spacing w:after="240"/>
      <w:ind w:left="567" w:hanging="567"/>
    </w:pPr>
  </w:style>
  <w:style w:type="paragraph" w:customStyle="1" w:styleId="EPComma">
    <w:name w:val="EPComma"/>
    <w:basedOn w:val="Normal"/>
    <w:rsid w:val="00301452"/>
    <w:pPr>
      <w:spacing w:before="480" w:after="240"/>
    </w:pPr>
  </w:style>
  <w:style w:type="paragraph" w:styleId="BalloonText">
    <w:name w:val="Balloon Text"/>
    <w:basedOn w:val="Normal"/>
    <w:link w:val="BalloonTextChar"/>
    <w:rsid w:val="001B2F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2F0A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1B2F0A"/>
    <w:rPr>
      <w:sz w:val="16"/>
      <w:szCs w:val="16"/>
    </w:rPr>
  </w:style>
  <w:style w:type="paragraph" w:styleId="CommentText">
    <w:name w:val="annotation text"/>
    <w:basedOn w:val="Normal"/>
    <w:link w:val="CommentTextChar"/>
    <w:rsid w:val="001B2F0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B2F0A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1B2F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B2F0A"/>
    <w:rPr>
      <w:b/>
      <w:bCs/>
      <w:lang w:val="pt-PT"/>
    </w:rPr>
  </w:style>
  <w:style w:type="character" w:styleId="Hyperlink">
    <w:name w:val="Hyperlink"/>
    <w:basedOn w:val="DefaultParagraphFont"/>
    <w:rsid w:val="001B2F0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1B2F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F5EAF-55F4-49E4-A077-42DC4C743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775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 Isabel Alexandra</cp:lastModifiedBy>
  <cp:revision>2</cp:revision>
  <cp:lastPrinted>2004-11-19T15:42:00Z</cp:lastPrinted>
  <dcterms:created xsi:type="dcterms:W3CDTF">2025-04-01T09:36:00Z</dcterms:created>
  <dcterms:modified xsi:type="dcterms:W3CDTF">2025-04-01T09:36:00Z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A10-0029/2025</vt:lpwstr>
  </property>
  <property fmtid="{D5CDD505-2E9C-101B-9397-08002B2CF9AE}" pid="4" name="&lt;Type&gt;">
    <vt:lpwstr>RR</vt:lpwstr>
  </property>
</Properties>
</file>