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4365" w:rsidTr="0010095E">
        <w:trPr>
          <w:trHeight w:hRule="exact" w:val="1418"/>
        </w:trPr>
        <w:tc>
          <w:tcPr>
            <w:tcW w:w="6804" w:type="dxa"/>
            <w:shd w:val="clear" w:color="auto" w:fill="auto"/>
            <w:vAlign w:val="center"/>
          </w:tcPr>
          <w:p w:rsidR="00751A4A" w:rsidRPr="006F4365" w:rsidRDefault="008B47E5" w:rsidP="0010095E">
            <w:pPr>
              <w:pStyle w:val="EPName"/>
            </w:pPr>
            <w:bookmarkStart w:id="0" w:name="_GoBack"/>
            <w:bookmarkEnd w:id="0"/>
            <w:r w:rsidRPr="006F4365">
              <w:t>Evropski parlament</w:t>
            </w:r>
          </w:p>
          <w:p w:rsidR="00751A4A" w:rsidRPr="006F4365" w:rsidRDefault="005F1B17" w:rsidP="005F1B17">
            <w:pPr>
              <w:pStyle w:val="EPTerm"/>
              <w:rPr>
                <w:rStyle w:val="HideTWBExt"/>
                <w:noProof w:val="0"/>
                <w:vanish w:val="0"/>
                <w:color w:val="auto"/>
              </w:rPr>
            </w:pPr>
            <w:r w:rsidRPr="006F4365">
              <w:t>2024</w:t>
            </w:r>
            <w:r w:rsidR="00817416" w:rsidRPr="006F4365">
              <w:t>-202</w:t>
            </w:r>
            <w:r w:rsidRPr="006F4365">
              <w:t>9</w:t>
            </w:r>
          </w:p>
        </w:tc>
        <w:tc>
          <w:tcPr>
            <w:tcW w:w="2268" w:type="dxa"/>
            <w:shd w:val="clear" w:color="auto" w:fill="auto"/>
          </w:tcPr>
          <w:p w:rsidR="00751A4A" w:rsidRPr="006F4365" w:rsidRDefault="00187494" w:rsidP="0010095E">
            <w:pPr>
              <w:pStyle w:val="EPLogo"/>
            </w:pPr>
            <w:r w:rsidRPr="006F436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F4365" w:rsidRDefault="00D058B8" w:rsidP="004C5D52">
      <w:pPr>
        <w:pStyle w:val="LineTop"/>
      </w:pPr>
    </w:p>
    <w:p w:rsidR="00680577" w:rsidRPr="006F4365" w:rsidRDefault="008B47E5" w:rsidP="00680577">
      <w:pPr>
        <w:pStyle w:val="EPBodyTA1"/>
      </w:pPr>
      <w:r w:rsidRPr="006F4365">
        <w:t>SPREJETA BESEDILA</w:t>
      </w:r>
    </w:p>
    <w:p w:rsidR="00D058B8" w:rsidRPr="006F4365" w:rsidRDefault="00D058B8" w:rsidP="00D058B8">
      <w:pPr>
        <w:pStyle w:val="LineBottom"/>
      </w:pPr>
    </w:p>
    <w:p w:rsidR="008B47E5" w:rsidRPr="006F4365" w:rsidRDefault="008B47E5" w:rsidP="009F4C9A">
      <w:pPr>
        <w:pStyle w:val="ATHeading1"/>
      </w:pPr>
      <w:bookmarkStart w:id="1" w:name="TANumber"/>
      <w:r w:rsidRPr="006F4365">
        <w:t>P10_TA(2025)00</w:t>
      </w:r>
      <w:r w:rsidR="009F4C9A" w:rsidRPr="006F4365">
        <w:t>40</w:t>
      </w:r>
      <w:bookmarkEnd w:id="1"/>
    </w:p>
    <w:p w:rsidR="008B47E5" w:rsidRPr="006F4365" w:rsidRDefault="008B47E5" w:rsidP="008B47E5">
      <w:pPr>
        <w:pStyle w:val="ATHeading2"/>
      </w:pPr>
      <w:bookmarkStart w:id="2" w:name="title"/>
      <w:r w:rsidRPr="006F4365">
        <w:t>Zahteva za odvzem imunitete Jani Nagyovi</w:t>
      </w:r>
      <w:bookmarkEnd w:id="2"/>
    </w:p>
    <w:p w:rsidR="008B47E5" w:rsidRPr="006F4365" w:rsidRDefault="008B47E5" w:rsidP="008B47E5">
      <w:pPr>
        <w:rPr>
          <w:i/>
          <w:vanish/>
        </w:rPr>
      </w:pPr>
      <w:r w:rsidRPr="006F4365">
        <w:rPr>
          <w:i/>
        </w:rPr>
        <w:fldChar w:fldCharType="begin"/>
      </w:r>
      <w:r w:rsidRPr="006F4365">
        <w:rPr>
          <w:i/>
        </w:rPr>
        <w:instrText xml:space="preserve"> TC"(</w:instrText>
      </w:r>
      <w:bookmarkStart w:id="3" w:name="DocNumber"/>
      <w:r w:rsidRPr="006F4365">
        <w:rPr>
          <w:i/>
        </w:rPr>
        <w:instrText>A10-0029/2025</w:instrText>
      </w:r>
      <w:bookmarkEnd w:id="3"/>
      <w:r w:rsidRPr="006F4365">
        <w:rPr>
          <w:i/>
        </w:rPr>
        <w:instrText xml:space="preserve"> - Poročevalec: Krzysztof Śmiszek)"\l3 \n&gt; \* MERGEFORMAT </w:instrText>
      </w:r>
      <w:r w:rsidRPr="006F4365">
        <w:rPr>
          <w:i/>
        </w:rPr>
        <w:fldChar w:fldCharType="end"/>
      </w:r>
    </w:p>
    <w:p w:rsidR="008B47E5" w:rsidRPr="006F4365" w:rsidRDefault="008B47E5" w:rsidP="008B47E5">
      <w:pPr>
        <w:rPr>
          <w:vanish/>
        </w:rPr>
      </w:pPr>
      <w:bookmarkStart w:id="4" w:name="Commission"/>
      <w:r w:rsidRPr="006F4365">
        <w:rPr>
          <w:vanish/>
        </w:rPr>
        <w:t>Odbor za pravne zadeve</w:t>
      </w:r>
      <w:bookmarkEnd w:id="4"/>
    </w:p>
    <w:p w:rsidR="008B47E5" w:rsidRPr="006F4365" w:rsidRDefault="008B47E5" w:rsidP="008B47E5">
      <w:pPr>
        <w:rPr>
          <w:vanish/>
        </w:rPr>
      </w:pPr>
      <w:bookmarkStart w:id="5" w:name="PE"/>
      <w:r w:rsidRPr="006F4365">
        <w:rPr>
          <w:vanish/>
        </w:rPr>
        <w:t>PE766.947</w:t>
      </w:r>
      <w:bookmarkEnd w:id="5"/>
    </w:p>
    <w:p w:rsidR="008B47E5" w:rsidRPr="006F4365" w:rsidRDefault="008B47E5" w:rsidP="008B47E5">
      <w:pPr>
        <w:pStyle w:val="ATHeading3"/>
      </w:pPr>
      <w:bookmarkStart w:id="6" w:name="Sujet"/>
      <w:r w:rsidRPr="006F4365">
        <w:t>Sklep Evropskega parlamenta z dne 1. aprila 2025 o zahtevi za odvzem imunitete Jani Nagyovi</w:t>
      </w:r>
      <w:bookmarkEnd w:id="6"/>
      <w:r w:rsidRPr="006F4365">
        <w:t xml:space="preserve"> </w:t>
      </w:r>
      <w:bookmarkStart w:id="7" w:name="References"/>
      <w:r w:rsidRPr="006F4365">
        <w:t>(2024/2035(IMM))</w:t>
      </w:r>
      <w:bookmarkEnd w:id="7"/>
    </w:p>
    <w:p w:rsidR="004619E8" w:rsidRPr="006F4365" w:rsidRDefault="004619E8" w:rsidP="004619E8">
      <w:pPr>
        <w:pStyle w:val="EPComma"/>
      </w:pPr>
      <w:bookmarkStart w:id="8" w:name="TextBodyBegin"/>
      <w:bookmarkEnd w:id="8"/>
      <w:r w:rsidRPr="006F4365">
        <w:rPr>
          <w:i/>
        </w:rPr>
        <w:t>Evropski parlament</w:t>
      </w:r>
      <w:r w:rsidRPr="006F4365">
        <w:t>,</w:t>
      </w:r>
    </w:p>
    <w:p w:rsidR="004619E8" w:rsidRPr="006F4365" w:rsidRDefault="004619E8" w:rsidP="002C1482">
      <w:pPr>
        <w:pStyle w:val="NormalHanging12a"/>
      </w:pPr>
      <w:r w:rsidRPr="006F4365">
        <w:t>–</w:t>
      </w:r>
      <w:r w:rsidRPr="006F4365">
        <w:tab/>
        <w:t xml:space="preserve">ob upoštevanju zahteve za odvzem imunitete Jani Nagyovi z dne 1. julija 2024, ki jo je posredovalo višje sodišče v Pragi v zvezi s pritožbenim postopkom, ki poteka pred sodiščem v kazenskem postopku pod referenčno št. </w:t>
      </w:r>
      <w:r w:rsidR="002C1482" w:rsidRPr="006F4365">
        <w:t>„</w:t>
      </w:r>
      <w:r w:rsidRPr="006F4365">
        <w:t>3 To 34/2024</w:t>
      </w:r>
      <w:r w:rsidR="002C1482" w:rsidRPr="006F4365">
        <w:t>“</w:t>
      </w:r>
      <w:r w:rsidRPr="006F4365">
        <w:t>, in ki je bila razglašena na plenarnem zasedanju 19. julija 2024,</w:t>
      </w:r>
    </w:p>
    <w:p w:rsidR="004619E8" w:rsidRPr="006F4365" w:rsidRDefault="004619E8" w:rsidP="00964D8A">
      <w:pPr>
        <w:pStyle w:val="NormalHanging12a"/>
      </w:pPr>
      <w:r w:rsidRPr="006F4365">
        <w:t>–</w:t>
      </w:r>
      <w:r w:rsidRPr="006F4365">
        <w:tab/>
        <w:t xml:space="preserve">po </w:t>
      </w:r>
      <w:r w:rsidR="00964D8A" w:rsidRPr="006F4365">
        <w:t xml:space="preserve">zagovoru </w:t>
      </w:r>
      <w:r w:rsidRPr="006F4365">
        <w:t>Jane Nagyove dne 29. januarja 2025 v skladu s členom 9(6) Poslovnika,</w:t>
      </w:r>
    </w:p>
    <w:p w:rsidR="004619E8" w:rsidRPr="006F4365" w:rsidRDefault="004619E8" w:rsidP="002C1482">
      <w:pPr>
        <w:pStyle w:val="NormalHanging12a"/>
      </w:pPr>
      <w:r w:rsidRPr="006F4365">
        <w:t>–</w:t>
      </w:r>
      <w:r w:rsidRPr="006F4365">
        <w:tab/>
        <w:t>ob upoštevanju členov 8 in 9 Protokola št. 7 o privilegijih in imunitetah Evropske unije ter člena 6(2) Akta o volitvah poslancev Evropskega parlamenta s splošnimi neposrednimi volitvami z dne 20. septembra 1976,</w:t>
      </w:r>
    </w:p>
    <w:p w:rsidR="004619E8" w:rsidRPr="006F4365" w:rsidRDefault="004619E8" w:rsidP="002C1482">
      <w:pPr>
        <w:pStyle w:val="NormalHanging12a"/>
      </w:pPr>
      <w:r w:rsidRPr="006F4365">
        <w:t>–</w:t>
      </w:r>
      <w:r w:rsidRPr="006F4365">
        <w:tab/>
        <w:t>ob upoštevanju sodb Sodišča Evropske unije z dne 21. oktobra 2008, 19. marca 2010, 6. septembra 2011, 17. januarja 2013, 19. decembra 2019 in 5. julija 2023</w:t>
      </w:r>
      <w:r w:rsidRPr="006F4365">
        <w:rPr>
          <w:rStyle w:val="FootnoteReference"/>
          <w:color w:val="000000"/>
        </w:rPr>
        <w:footnoteReference w:id="1"/>
      </w:r>
      <w:r w:rsidRPr="006F4365">
        <w:t>,</w:t>
      </w:r>
    </w:p>
    <w:p w:rsidR="004619E8" w:rsidRPr="006F4365" w:rsidRDefault="004619E8" w:rsidP="002C1482">
      <w:pPr>
        <w:pStyle w:val="NormalHanging12a"/>
      </w:pPr>
      <w:r w:rsidRPr="006F4365">
        <w:t>–</w:t>
      </w:r>
      <w:r w:rsidRPr="006F4365">
        <w:tab/>
        <w:t>ob upoštevanju člena 27 češke ustave in člena </w:t>
      </w:r>
      <w:r w:rsidR="002C1482" w:rsidRPr="006F4365">
        <w:t>1</w:t>
      </w:r>
      <w:r w:rsidRPr="006F4365">
        <w:t>0(1) zakona št. 141/1961 zb. o kazenskem postopku (češki kazenski zakonik),</w:t>
      </w:r>
    </w:p>
    <w:p w:rsidR="004619E8" w:rsidRPr="006F4365" w:rsidRDefault="004619E8" w:rsidP="002C1482">
      <w:pPr>
        <w:pStyle w:val="NormalHanging12a"/>
      </w:pPr>
      <w:r w:rsidRPr="006F4365">
        <w:t>–</w:t>
      </w:r>
      <w:r w:rsidRPr="006F4365">
        <w:tab/>
        <w:t>ob upoštevanju člena 5(2), člena 6(1) in člena 9 Poslovnika,</w:t>
      </w:r>
    </w:p>
    <w:p w:rsidR="004619E8" w:rsidRPr="006F4365" w:rsidRDefault="004619E8" w:rsidP="002C1482">
      <w:pPr>
        <w:pStyle w:val="NormalHanging12a"/>
      </w:pPr>
      <w:r w:rsidRPr="006F4365">
        <w:t>–</w:t>
      </w:r>
      <w:r w:rsidRPr="006F4365">
        <w:tab/>
        <w:t>ob upoštevanju poročila Odbora za pravne zadeve (A10-0029/2025),</w:t>
      </w:r>
    </w:p>
    <w:p w:rsidR="004619E8" w:rsidRPr="006F4365" w:rsidRDefault="004619E8" w:rsidP="002C1482">
      <w:pPr>
        <w:pStyle w:val="NormalHanging12a"/>
      </w:pPr>
      <w:r w:rsidRPr="006F4365">
        <w:lastRenderedPageBreak/>
        <w:t>A.</w:t>
      </w:r>
      <w:r w:rsidRPr="006F4365">
        <w:tab/>
        <w:t>ker je višje sodišče v Pragi 1. julija 2024 vložilo zahtevo za odvzem poslanske imunitete poslanki Evropskega parlamenta Jani Nagyovi, izvoljeni na Češkem, da bi nadaljeval</w:t>
      </w:r>
      <w:r w:rsidR="00E62FB8" w:rsidRPr="006F4365">
        <w:t>o</w:t>
      </w:r>
      <w:r w:rsidRPr="006F4365">
        <w:t xml:space="preserve"> kazenski postopek, ki trenutno poteka pred </w:t>
      </w:r>
      <w:r w:rsidR="00E62FB8" w:rsidRPr="006F4365">
        <w:t xml:space="preserve">višjim </w:t>
      </w:r>
      <w:r w:rsidRPr="006F4365">
        <w:t>sodiščem v pritožbenem postopku v zvezi z obtožbo storitve kaznivega dejanja goljufije s subvencijami na podlagi člena 212(1) in (6), točka (a), ter kaznivega dejanja škodovanja finančnim interesom Evropske unije na podlagi člena 260(1) in (5) zakona št. 40/2009 zb. o kazenskem postopku (češki kazenski zakonik);</w:t>
      </w:r>
    </w:p>
    <w:p w:rsidR="004619E8" w:rsidRPr="006F4365" w:rsidRDefault="004619E8" w:rsidP="002C1482">
      <w:pPr>
        <w:pStyle w:val="NormalHanging12a"/>
      </w:pPr>
      <w:r w:rsidRPr="006F4365">
        <w:t>B.</w:t>
      </w:r>
      <w:r w:rsidRPr="006F4365">
        <w:tab/>
        <w:t>ker kazenski postopek proti Jani Nagyovi poteka na podlagi obtožnice občinskega urada državnega tožilstva v Pragi z dne 21. marca 2022 zaradi dejanja, ki ga je domnevno storila skupaj s soobtožencem, saj je kot strokovnjakinja s področja nepovratnih sredstev U</w:t>
      </w:r>
      <w:r w:rsidR="002C1482" w:rsidRPr="006F4365">
        <w:t>nije</w:t>
      </w:r>
      <w:r w:rsidRPr="006F4365">
        <w:t xml:space="preserve"> na mestu podpredsednice upravnega odbora češkega podjetja v obdobju od 17. januarja 2008 do 5. januarja 2010 zaprosila za nepovratna sredstva, čeprav je vedela, da podjetje do njih ni bilo upravičeno, in je predložila napačne informacije, da naj bi šlo za malo in neodvisno podjetje;</w:t>
      </w:r>
    </w:p>
    <w:p w:rsidR="004619E8" w:rsidRPr="006F4365" w:rsidRDefault="004619E8" w:rsidP="002C1482">
      <w:pPr>
        <w:pStyle w:val="NormalHanging12a"/>
      </w:pPr>
      <w:r w:rsidRPr="006F4365">
        <w:t>C.</w:t>
      </w:r>
      <w:r w:rsidRPr="006F4365">
        <w:tab/>
        <w:t>ker je namen poslanske imunitete zaščititi Parlament in njegove poslance pred sodnimi postopki, povezanimi z dejavnostmi poslancev med opravljanjem parlamentarnih dolžnosti, ki jih od teh dolžnosti ni mogoče ločiti;</w:t>
      </w:r>
    </w:p>
    <w:p w:rsidR="004619E8" w:rsidRPr="006F4365" w:rsidRDefault="004619E8" w:rsidP="002C1482">
      <w:pPr>
        <w:pStyle w:val="NormalHanging12a"/>
      </w:pPr>
      <w:r w:rsidRPr="006F4365">
        <w:t>D.</w:t>
      </w:r>
      <w:r w:rsidRPr="006F4365">
        <w:tab/>
        <w:t>ker se domnevne kršitve torej ne nanašajo na mnenje ali glas, ki ga je poslanka izrekla ali oddala pri opravljanju dolžnosti poslanca Evropskega parlamenta v smislu člena 8 Protokola št. 7 o privilegijih in imunitetah Evropske unije;</w:t>
      </w:r>
    </w:p>
    <w:p w:rsidR="004619E8" w:rsidRPr="006F4365" w:rsidRDefault="004619E8" w:rsidP="002C1482">
      <w:pPr>
        <w:pStyle w:val="NormalHanging12a"/>
      </w:pPr>
      <w:r w:rsidRPr="006F4365">
        <w:t>E.</w:t>
      </w:r>
      <w:r w:rsidRPr="006F4365">
        <w:tab/>
        <w:t>ker v skladu s členom 9, prvi odstavek, točka (a), Protokola št. 7 o privilegijih in imunitetah Evropske unije poslanci Evropskega parlamenta na ozemlju svoje države uživajo imunitete, priznane članom parlamenta te države;</w:t>
      </w:r>
    </w:p>
    <w:p w:rsidR="004619E8" w:rsidRPr="006F4365" w:rsidRDefault="004619E8" w:rsidP="002C1482">
      <w:pPr>
        <w:pStyle w:val="NormalHanging12a"/>
      </w:pPr>
      <w:r w:rsidRPr="006F4365">
        <w:t>F.</w:t>
      </w:r>
      <w:r w:rsidRPr="006F4365">
        <w:tab/>
        <w:t>ker člen 27(4) češke ustave določa, da se sme poslance in senatorje kazensko preganjati le s soglasjem doma, katerega člani so, in da se kazenski pregon, če ta dom vanj ne privoli, ustavi za čas trajanja njihovega mandata;</w:t>
      </w:r>
    </w:p>
    <w:p w:rsidR="004619E8" w:rsidRPr="006F4365" w:rsidRDefault="004619E8" w:rsidP="002C1482">
      <w:pPr>
        <w:pStyle w:val="NormalHanging12a"/>
      </w:pPr>
      <w:r w:rsidRPr="006F4365">
        <w:t>G.</w:t>
      </w:r>
      <w:r w:rsidRPr="006F4365">
        <w:tab/>
        <w:t xml:space="preserve">ker v tem primeru Parlament ni našel dokaza o tem, da gre za </w:t>
      </w:r>
      <w:r w:rsidRPr="006F4365">
        <w:rPr>
          <w:i/>
          <w:iCs/>
        </w:rPr>
        <w:t>fumus persecutionis</w:t>
      </w:r>
      <w:r w:rsidRPr="006F4365">
        <w:t xml:space="preserve">, </w:t>
      </w:r>
      <w:r w:rsidR="0082466F" w:rsidRPr="006F4365">
        <w:t>kar pomeni</w:t>
      </w:r>
      <w:r w:rsidRPr="006F4365">
        <w:t> dejstva, ki kažejo, da bi bil namen sodnega postopka škodovati politični dejavnosti poslanca in s tem tudi Evropskemu parlamentu;</w:t>
      </w:r>
    </w:p>
    <w:p w:rsidR="004619E8" w:rsidRPr="006F4365" w:rsidRDefault="004619E8" w:rsidP="00964D8A">
      <w:pPr>
        <w:pStyle w:val="NormalHanging12a"/>
      </w:pPr>
      <w:r w:rsidRPr="006F4365">
        <w:t>H.</w:t>
      </w:r>
      <w:r w:rsidRPr="006F4365">
        <w:tab/>
        <w:t>ker Parlamenta ni mogoče enačiti s sodiščem in ker poslanec v zvezi s postopkom za odvzem imunitete ne sme biti obravnavan kot obtoženec</w:t>
      </w:r>
      <w:r w:rsidRPr="006F4365">
        <w:rPr>
          <w:rStyle w:val="FootnoteReference"/>
          <w:color w:val="000000"/>
        </w:rPr>
        <w:footnoteReference w:id="2"/>
      </w:r>
      <w:r w:rsidRPr="006F4365">
        <w:t>;</w:t>
      </w:r>
    </w:p>
    <w:p w:rsidR="004619E8" w:rsidRPr="006F4365" w:rsidRDefault="004619E8" w:rsidP="00964D8A">
      <w:pPr>
        <w:pStyle w:val="NormalHanging12a"/>
      </w:pPr>
      <w:r w:rsidRPr="006F4365">
        <w:t>1.</w:t>
      </w:r>
      <w:r w:rsidRPr="006F4365">
        <w:tab/>
      </w:r>
      <w:r w:rsidR="00964D8A" w:rsidRPr="006F4365">
        <w:t>sklene</w:t>
      </w:r>
      <w:r w:rsidRPr="006F4365">
        <w:t xml:space="preserve">, da </w:t>
      </w:r>
      <w:r w:rsidR="00964D8A" w:rsidRPr="006F4365">
        <w:t>se</w:t>
      </w:r>
      <w:r w:rsidRPr="006F4365">
        <w:t xml:space="preserve"> Jani Nagyovi</w:t>
      </w:r>
      <w:r w:rsidR="00964D8A" w:rsidRPr="006F4365">
        <w:t xml:space="preserve"> odvzame imuniteta</w:t>
      </w:r>
      <w:r w:rsidRPr="006F4365">
        <w:t>;</w:t>
      </w:r>
    </w:p>
    <w:p w:rsidR="00E365E1" w:rsidRPr="006F4365" w:rsidRDefault="004619E8" w:rsidP="002C1482">
      <w:pPr>
        <w:ind w:left="567" w:hanging="567"/>
      </w:pPr>
      <w:r w:rsidRPr="006F4365">
        <w:t>2.</w:t>
      </w:r>
      <w:r w:rsidRPr="006F4365">
        <w:tab/>
        <w:t>naroči svoji predsednici, naj ta sklep in poročilo pristojnega odbora nemudoma posreduje pristojnemu organu Češke republike in Jani Nagyovi.</w:t>
      </w:r>
    </w:p>
    <w:sectPr w:rsidR="00E365E1" w:rsidRPr="006F4365" w:rsidSect="00811A04">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47E5" w:rsidRPr="00811A04" w:rsidRDefault="008B47E5">
      <w:r w:rsidRPr="00811A04">
        <w:separator/>
      </w:r>
    </w:p>
  </w:endnote>
  <w:endnote w:type="continuationSeparator" w:id="0">
    <w:p w:rsidR="008B47E5" w:rsidRPr="00811A04" w:rsidRDefault="008B47E5">
      <w:r w:rsidRPr="00811A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1A0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1A0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1A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47E5" w:rsidRPr="00811A04" w:rsidRDefault="008B47E5">
      <w:r w:rsidRPr="00811A04">
        <w:separator/>
      </w:r>
    </w:p>
  </w:footnote>
  <w:footnote w:type="continuationSeparator" w:id="0">
    <w:p w:rsidR="008B47E5" w:rsidRPr="00811A04" w:rsidRDefault="008B47E5">
      <w:r w:rsidRPr="00811A04">
        <w:continuationSeparator/>
      </w:r>
    </w:p>
  </w:footnote>
  <w:footnote w:id="1">
    <w:p w:rsidR="004619E8" w:rsidRPr="00964D8A" w:rsidRDefault="004619E8" w:rsidP="00964D8A">
      <w:pPr>
        <w:pStyle w:val="FootnoteText"/>
        <w:ind w:left="567" w:hanging="567"/>
        <w:rPr>
          <w:sz w:val="24"/>
          <w:lang w:val="sl-SI"/>
        </w:rPr>
      </w:pPr>
      <w:r w:rsidRPr="00811A04">
        <w:rPr>
          <w:rStyle w:val="FootnoteReference"/>
          <w:sz w:val="24"/>
          <w:lang w:val="sl-SI"/>
        </w:rPr>
        <w:footnoteRef/>
      </w:r>
      <w:r w:rsidR="00811A04" w:rsidRPr="00811A04">
        <w:rPr>
          <w:sz w:val="24"/>
          <w:lang w:val="sl-SI"/>
        </w:rPr>
        <w:t xml:space="preserve"> </w:t>
      </w:r>
      <w:r w:rsidR="00811A04" w:rsidRPr="00811A04">
        <w:rPr>
          <w:sz w:val="24"/>
          <w:lang w:val="sl-SI"/>
        </w:rPr>
        <w:tab/>
      </w:r>
      <w:r w:rsidRPr="00964D8A">
        <w:rPr>
          <w:sz w:val="24"/>
          <w:lang w:val="sl-SI"/>
        </w:rPr>
        <w:t xml:space="preserve">Sodba Sodišča z dne 21. oktobra 2008 v združenih zadevah </w:t>
      </w:r>
      <w:r w:rsidRPr="009F4C9A">
        <w:rPr>
          <w:sz w:val="24"/>
          <w:lang w:val="sl-SI"/>
        </w:rPr>
        <w:t>Marra</w:t>
      </w:r>
      <w:r w:rsidR="00964D8A">
        <w:rPr>
          <w:sz w:val="24"/>
          <w:lang w:val="sl-SI"/>
        </w:rPr>
        <w:t>/</w:t>
      </w:r>
      <w:r w:rsidRPr="009F4C9A">
        <w:rPr>
          <w:sz w:val="24"/>
          <w:lang w:val="sl-SI"/>
        </w:rPr>
        <w:t>De Gregorio in Clemente</w:t>
      </w:r>
      <w:r w:rsidRPr="00964D8A">
        <w:rPr>
          <w:sz w:val="24"/>
          <w:lang w:val="sl-SI"/>
        </w:rPr>
        <w:t xml:space="preserve">, C-200/07 in C-201/07, ECLI:EU:C:2008:579; sodba Splošnega sodišča z dne 19. marca 2010, </w:t>
      </w:r>
      <w:r w:rsidRPr="009F4C9A">
        <w:rPr>
          <w:sz w:val="24"/>
          <w:lang w:val="sl-SI"/>
        </w:rPr>
        <w:t>Gollnisch</w:t>
      </w:r>
      <w:r w:rsidR="00964D8A">
        <w:rPr>
          <w:sz w:val="24"/>
          <w:lang w:val="sl-SI"/>
        </w:rPr>
        <w:t>/</w:t>
      </w:r>
      <w:r w:rsidRPr="009F4C9A">
        <w:rPr>
          <w:sz w:val="24"/>
          <w:lang w:val="sl-SI"/>
        </w:rPr>
        <w:t>Parlament</w:t>
      </w:r>
      <w:r w:rsidRPr="00964D8A">
        <w:rPr>
          <w:sz w:val="24"/>
          <w:lang w:val="sl-SI"/>
        </w:rPr>
        <w:t xml:space="preserve">, T-42/06, ECLI:EU:T:2010:102; sodba Sodišča z dne 6. septembra 2011 v zadevi </w:t>
      </w:r>
      <w:r w:rsidRPr="009F4C9A">
        <w:rPr>
          <w:sz w:val="24"/>
          <w:lang w:val="sl-SI"/>
        </w:rPr>
        <w:t>Patriciello</w:t>
      </w:r>
      <w:r w:rsidRPr="00964D8A">
        <w:rPr>
          <w:sz w:val="24"/>
          <w:lang w:val="sl-SI"/>
        </w:rPr>
        <w:t xml:space="preserve">, C-163/10, ECLI: EU:C:2011:543; sodba Splošnega sodišča z dne 17. januarja 2013, </w:t>
      </w:r>
      <w:r w:rsidRPr="009F4C9A">
        <w:rPr>
          <w:sz w:val="24"/>
          <w:lang w:val="sl-SI"/>
        </w:rPr>
        <w:t>Gollnisch</w:t>
      </w:r>
      <w:r w:rsidR="00964D8A">
        <w:rPr>
          <w:sz w:val="24"/>
          <w:lang w:val="sl-SI"/>
        </w:rPr>
        <w:t>/</w:t>
      </w:r>
      <w:r w:rsidRPr="009F4C9A">
        <w:rPr>
          <w:sz w:val="24"/>
          <w:lang w:val="sl-SI"/>
        </w:rPr>
        <w:t>Parlament</w:t>
      </w:r>
      <w:r w:rsidRPr="00964D8A">
        <w:rPr>
          <w:sz w:val="24"/>
          <w:lang w:val="sl-SI"/>
        </w:rPr>
        <w:t xml:space="preserve">, T-346/11 in T-347/11, ECLI:EU:T:2013:23; sodba Sodišča z dne 19. decembra 2019 v zadevi </w:t>
      </w:r>
      <w:r w:rsidRPr="009F4C9A">
        <w:rPr>
          <w:sz w:val="24"/>
          <w:lang w:val="sl-SI"/>
        </w:rPr>
        <w:t>Junqueras Vies</w:t>
      </w:r>
      <w:r w:rsidRPr="00964D8A">
        <w:rPr>
          <w:sz w:val="24"/>
          <w:lang w:val="sl-SI"/>
        </w:rPr>
        <w:t xml:space="preserve">, C-502/19, ECLI:EU:C:2019:1115; sodba Splošnega sodišča z dne 5. julija 2023 v zadevi </w:t>
      </w:r>
      <w:r w:rsidRPr="009F4C9A">
        <w:rPr>
          <w:sz w:val="24"/>
          <w:lang w:val="sl-SI"/>
        </w:rPr>
        <w:t>Puigdemont i Casamajó in drugi</w:t>
      </w:r>
      <w:r w:rsidR="00964D8A">
        <w:rPr>
          <w:sz w:val="24"/>
          <w:lang w:val="sl-SI"/>
        </w:rPr>
        <w:t>/</w:t>
      </w:r>
      <w:r w:rsidRPr="009F4C9A">
        <w:rPr>
          <w:sz w:val="24"/>
          <w:lang w:val="sl-SI"/>
        </w:rPr>
        <w:t>Parlament</w:t>
      </w:r>
      <w:r w:rsidRPr="00964D8A">
        <w:rPr>
          <w:sz w:val="24"/>
          <w:lang w:val="sl-SI"/>
        </w:rPr>
        <w:t>, T-272/21, ECLI:EU:T:2023:373.</w:t>
      </w:r>
    </w:p>
  </w:footnote>
  <w:footnote w:id="2">
    <w:p w:rsidR="004619E8" w:rsidRPr="00811A04" w:rsidRDefault="004619E8" w:rsidP="00964D8A">
      <w:pPr>
        <w:pStyle w:val="FootnoteText"/>
        <w:ind w:left="567" w:hanging="567"/>
        <w:rPr>
          <w:sz w:val="24"/>
          <w:lang w:val="sl-SI"/>
        </w:rPr>
      </w:pPr>
      <w:r w:rsidRPr="00811A04">
        <w:rPr>
          <w:rStyle w:val="FootnoteReference"/>
          <w:sz w:val="24"/>
          <w:lang w:val="sl-SI"/>
        </w:rPr>
        <w:footnoteRef/>
      </w:r>
      <w:r w:rsidR="00811A04" w:rsidRPr="00811A04">
        <w:rPr>
          <w:sz w:val="24"/>
          <w:lang w:val="sl-SI"/>
        </w:rPr>
        <w:t xml:space="preserve"> </w:t>
      </w:r>
      <w:r w:rsidR="00811A04" w:rsidRPr="00811A04">
        <w:rPr>
          <w:sz w:val="24"/>
          <w:lang w:val="sl-SI"/>
        </w:rPr>
        <w:tab/>
      </w:r>
      <w:r w:rsidRPr="00811A04">
        <w:rPr>
          <w:sz w:val="24"/>
          <w:lang w:val="sl-SI"/>
        </w:rPr>
        <w:t xml:space="preserve">Sodba Sodišča z dne 30. aprila 2019 v zadevi </w:t>
      </w:r>
      <w:r w:rsidRPr="009F4C9A">
        <w:rPr>
          <w:iCs/>
          <w:sz w:val="24"/>
          <w:lang w:val="sl-SI"/>
        </w:rPr>
        <w:t>Briois</w:t>
      </w:r>
      <w:r w:rsidR="00964D8A">
        <w:rPr>
          <w:iCs/>
          <w:sz w:val="24"/>
          <w:lang w:val="sl-SI"/>
        </w:rPr>
        <w:t>/</w:t>
      </w:r>
      <w:r w:rsidRPr="009F4C9A">
        <w:rPr>
          <w:iCs/>
          <w:sz w:val="24"/>
          <w:lang w:val="sl-SI"/>
        </w:rPr>
        <w:t>Parlament</w:t>
      </w:r>
      <w:r w:rsidRPr="00811A04">
        <w:rPr>
          <w:sz w:val="24"/>
          <w:lang w:val="sl-SI"/>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1A0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1A0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1A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9/2025"/>
    <w:docVar w:name="dvlangue" w:val="SL"/>
    <w:docVar w:name="dvnumam" w:val="0"/>
    <w:docVar w:name="dvpe" w:val="766.947"/>
    <w:docVar w:name="dvrapporteur" w:val="Poročevalec: "/>
    <w:docVar w:name="dvtitre" w:val="Sklep Evropskega parlamenta z dne 1. aprila 2025 o zahtevi za odvzem imunitete Jani Nagyovi(2024/2035(IMM))"/>
  </w:docVars>
  <w:rsids>
    <w:rsidRoot w:val="008B47E5"/>
    <w:rsid w:val="00002272"/>
    <w:rsid w:val="00064002"/>
    <w:rsid w:val="000677B9"/>
    <w:rsid w:val="000831BA"/>
    <w:rsid w:val="000A42CC"/>
    <w:rsid w:val="000E7DD9"/>
    <w:rsid w:val="0010095E"/>
    <w:rsid w:val="00125B37"/>
    <w:rsid w:val="00187494"/>
    <w:rsid w:val="001F32AE"/>
    <w:rsid w:val="002767FF"/>
    <w:rsid w:val="002B18FE"/>
    <w:rsid w:val="002B5493"/>
    <w:rsid w:val="002C1482"/>
    <w:rsid w:val="00343214"/>
    <w:rsid w:val="00361C00"/>
    <w:rsid w:val="00395FA1"/>
    <w:rsid w:val="003E15D4"/>
    <w:rsid w:val="00411CCE"/>
    <w:rsid w:val="0041666E"/>
    <w:rsid w:val="00421060"/>
    <w:rsid w:val="004619E8"/>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4365"/>
    <w:rsid w:val="006F74FA"/>
    <w:rsid w:val="00731ADD"/>
    <w:rsid w:val="0073435C"/>
    <w:rsid w:val="00734777"/>
    <w:rsid w:val="00747932"/>
    <w:rsid w:val="00751A4A"/>
    <w:rsid w:val="00756632"/>
    <w:rsid w:val="00762C74"/>
    <w:rsid w:val="00786EC0"/>
    <w:rsid w:val="007D1690"/>
    <w:rsid w:val="007E22AD"/>
    <w:rsid w:val="00811A04"/>
    <w:rsid w:val="00817416"/>
    <w:rsid w:val="0082466F"/>
    <w:rsid w:val="00842779"/>
    <w:rsid w:val="00865F67"/>
    <w:rsid w:val="00881A7B"/>
    <w:rsid w:val="008840E5"/>
    <w:rsid w:val="00887B3E"/>
    <w:rsid w:val="008B47E5"/>
    <w:rsid w:val="008C2AC6"/>
    <w:rsid w:val="00930C23"/>
    <w:rsid w:val="0093193B"/>
    <w:rsid w:val="009509D8"/>
    <w:rsid w:val="00950B64"/>
    <w:rsid w:val="00964D8A"/>
    <w:rsid w:val="00981893"/>
    <w:rsid w:val="009F4C9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6ED7"/>
    <w:rsid w:val="00E365E1"/>
    <w:rsid w:val="00E62FB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08CA9CD-9775-4FFC-B62B-C17E427D5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619E8"/>
    <w:pPr>
      <w:spacing w:after="240"/>
      <w:ind w:left="567" w:hanging="567"/>
    </w:pPr>
  </w:style>
  <w:style w:type="paragraph" w:customStyle="1" w:styleId="EPComma">
    <w:name w:val="EPComma"/>
    <w:basedOn w:val="Normal"/>
    <w:rsid w:val="004619E8"/>
    <w:pPr>
      <w:spacing w:before="480" w:after="240"/>
    </w:pPr>
  </w:style>
  <w:style w:type="paragraph" w:styleId="BalloonText">
    <w:name w:val="Balloon Text"/>
    <w:basedOn w:val="Normal"/>
    <w:link w:val="BalloonTextChar"/>
    <w:rsid w:val="002C1482"/>
    <w:rPr>
      <w:rFonts w:ascii="Segoe UI" w:hAnsi="Segoe UI" w:cs="Segoe UI"/>
      <w:sz w:val="18"/>
      <w:szCs w:val="18"/>
    </w:rPr>
  </w:style>
  <w:style w:type="character" w:customStyle="1" w:styleId="BalloonTextChar">
    <w:name w:val="Balloon Text Char"/>
    <w:basedOn w:val="DefaultParagraphFont"/>
    <w:link w:val="BalloonText"/>
    <w:rsid w:val="002C1482"/>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FA47A-66BD-46DF-9E84-748C01A8B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604</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2025-04-01T10:21:00Z</dcterms:created>
  <dcterms:modified xsi:type="dcterms:W3CDTF">2025-04-01T10:21:00Z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A10-0029/2025</vt:lpwstr>
  </property>
  <property fmtid="{D5CDD505-2E9C-101B-9397-08002B2CF9AE}" pid="4" name="&lt;Type&gt;">
    <vt:lpwstr>RR</vt:lpwstr>
  </property>
</Properties>
</file>