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599" w14:paraId="1D0B96F0" w14:textId="77777777" w:rsidTr="0010095E">
        <w:trPr>
          <w:trHeight w:hRule="exact" w:val="1418"/>
        </w:trPr>
        <w:tc>
          <w:tcPr>
            <w:tcW w:w="6804" w:type="dxa"/>
            <w:shd w:val="clear" w:color="auto" w:fill="auto"/>
            <w:vAlign w:val="center"/>
          </w:tcPr>
          <w:p w14:paraId="3A56D600" w14:textId="77777777" w:rsidR="00751A4A" w:rsidRPr="00B04599" w:rsidRDefault="00E0609E" w:rsidP="0010095E">
            <w:pPr>
              <w:pStyle w:val="EPName"/>
            </w:pPr>
            <w:r w:rsidRPr="00B04599">
              <w:t>Europaparlamentet</w:t>
            </w:r>
          </w:p>
          <w:p w14:paraId="305C9DD6" w14:textId="77777777" w:rsidR="00751A4A" w:rsidRPr="00B04599" w:rsidRDefault="005F1B17" w:rsidP="005F1B17">
            <w:pPr>
              <w:pStyle w:val="EPTerm"/>
              <w:rPr>
                <w:rStyle w:val="HideTWBExt"/>
                <w:noProof w:val="0"/>
                <w:vanish w:val="0"/>
                <w:color w:val="auto"/>
              </w:rPr>
            </w:pPr>
            <w:r w:rsidRPr="00B04599">
              <w:t>2024</w:t>
            </w:r>
            <w:r w:rsidR="00817416" w:rsidRPr="00B04599">
              <w:t>-202</w:t>
            </w:r>
            <w:r w:rsidRPr="00B04599">
              <w:t>9</w:t>
            </w:r>
          </w:p>
        </w:tc>
        <w:tc>
          <w:tcPr>
            <w:tcW w:w="2268" w:type="dxa"/>
            <w:shd w:val="clear" w:color="auto" w:fill="auto"/>
          </w:tcPr>
          <w:p w14:paraId="6C1FDA6E" w14:textId="77777777" w:rsidR="00751A4A" w:rsidRPr="00B04599" w:rsidRDefault="00187494" w:rsidP="0010095E">
            <w:pPr>
              <w:pStyle w:val="EPLogo"/>
            </w:pPr>
            <w:r w:rsidRPr="00B04599">
              <w:rPr>
                <w:noProof/>
                <w:lang w:val="en-GB"/>
              </w:rPr>
              <w:drawing>
                <wp:inline distT="0" distB="0" distL="0" distR="0" wp14:anchorId="1479F204" wp14:editId="254637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AA3B18" w14:textId="77777777" w:rsidR="00D058B8" w:rsidRPr="00B04599" w:rsidRDefault="00D058B8" w:rsidP="004C5D52">
      <w:pPr>
        <w:pStyle w:val="LineTop"/>
      </w:pPr>
    </w:p>
    <w:p w14:paraId="7DA9F39D" w14:textId="77777777" w:rsidR="00680577" w:rsidRPr="00B04599" w:rsidRDefault="00E0609E" w:rsidP="00680577">
      <w:pPr>
        <w:pStyle w:val="EPBodyTA1"/>
      </w:pPr>
      <w:r w:rsidRPr="00B04599">
        <w:t>ANTAGNA TEXTER</w:t>
      </w:r>
    </w:p>
    <w:p w14:paraId="7BF3BD73" w14:textId="77777777" w:rsidR="00D058B8" w:rsidRPr="00B04599" w:rsidRDefault="00D058B8" w:rsidP="00D058B8">
      <w:pPr>
        <w:pStyle w:val="LineBottom"/>
      </w:pPr>
    </w:p>
    <w:p w14:paraId="50B7E8E0" w14:textId="06782F66" w:rsidR="00E0609E" w:rsidRPr="00B04599" w:rsidRDefault="00E0609E" w:rsidP="00E0609E">
      <w:pPr>
        <w:pStyle w:val="ATHeading1"/>
      </w:pPr>
      <w:bookmarkStart w:id="0" w:name="TANumber"/>
      <w:r w:rsidRPr="00B04599">
        <w:t>P10_TA(2025)00</w:t>
      </w:r>
      <w:bookmarkEnd w:id="0"/>
      <w:r w:rsidR="00396419" w:rsidRPr="00B04599">
        <w:t>40</w:t>
      </w:r>
    </w:p>
    <w:p w14:paraId="3A6DBC35" w14:textId="77777777" w:rsidR="00E0609E" w:rsidRPr="00B04599" w:rsidRDefault="00E0609E" w:rsidP="00E0609E">
      <w:pPr>
        <w:pStyle w:val="ATHeading2"/>
      </w:pPr>
      <w:bookmarkStart w:id="1" w:name="title"/>
      <w:r w:rsidRPr="00B04599">
        <w:t>Begäran om upphävande</w:t>
      </w:r>
      <w:r w:rsidR="00C660A3" w:rsidRPr="00B04599">
        <w:t>t</w:t>
      </w:r>
      <w:r w:rsidRPr="00B04599">
        <w:t xml:space="preserve"> av </w:t>
      </w:r>
      <w:r w:rsidR="0062276A" w:rsidRPr="00B04599">
        <w:t xml:space="preserve">Jana </w:t>
      </w:r>
      <w:proofErr w:type="spellStart"/>
      <w:r w:rsidR="0062276A" w:rsidRPr="00B04599">
        <w:t>Nagyovás</w:t>
      </w:r>
      <w:proofErr w:type="spellEnd"/>
      <w:r w:rsidR="0062276A" w:rsidRPr="00B04599">
        <w:t xml:space="preserve"> </w:t>
      </w:r>
      <w:r w:rsidRPr="00B04599">
        <w:t>immunitet</w:t>
      </w:r>
      <w:bookmarkEnd w:id="1"/>
    </w:p>
    <w:p w14:paraId="1EDA0723" w14:textId="77777777" w:rsidR="00E0609E" w:rsidRPr="00B04599" w:rsidRDefault="00E0609E" w:rsidP="00E0609E">
      <w:pPr>
        <w:rPr>
          <w:i/>
          <w:vanish/>
        </w:rPr>
      </w:pPr>
      <w:r w:rsidRPr="00B04599">
        <w:rPr>
          <w:i/>
        </w:rPr>
        <w:fldChar w:fldCharType="begin"/>
      </w:r>
      <w:r w:rsidRPr="00B04599">
        <w:rPr>
          <w:i/>
        </w:rPr>
        <w:instrText xml:space="preserve"> TC"(</w:instrText>
      </w:r>
      <w:bookmarkStart w:id="2" w:name="DocNumber"/>
      <w:r w:rsidRPr="00B04599">
        <w:rPr>
          <w:i/>
        </w:rPr>
        <w:instrText>A10-0029/2025</w:instrText>
      </w:r>
      <w:bookmarkEnd w:id="2"/>
      <w:r w:rsidRPr="00B04599">
        <w:rPr>
          <w:i/>
        </w:rPr>
        <w:instrText xml:space="preserve"> - Föredragande: Krzysztof Śmiszek)"\l3 \n&gt; \* MERGEFORMAT </w:instrText>
      </w:r>
      <w:r w:rsidRPr="00B04599">
        <w:rPr>
          <w:i/>
        </w:rPr>
        <w:fldChar w:fldCharType="end"/>
      </w:r>
    </w:p>
    <w:p w14:paraId="2D5080F0" w14:textId="77777777" w:rsidR="00E0609E" w:rsidRPr="00B04599" w:rsidRDefault="00E0609E" w:rsidP="00E0609E">
      <w:pPr>
        <w:rPr>
          <w:vanish/>
        </w:rPr>
      </w:pPr>
      <w:bookmarkStart w:id="3" w:name="Commission"/>
      <w:r w:rsidRPr="00B04599">
        <w:rPr>
          <w:vanish/>
        </w:rPr>
        <w:t>Utskottet för rättsliga frågor</w:t>
      </w:r>
      <w:bookmarkEnd w:id="3"/>
    </w:p>
    <w:p w14:paraId="046F4C03" w14:textId="77777777" w:rsidR="00E0609E" w:rsidRPr="00B04599" w:rsidRDefault="00E0609E" w:rsidP="00E0609E">
      <w:pPr>
        <w:rPr>
          <w:vanish/>
        </w:rPr>
      </w:pPr>
      <w:bookmarkStart w:id="4" w:name="PE"/>
      <w:r w:rsidRPr="00B04599">
        <w:rPr>
          <w:vanish/>
        </w:rPr>
        <w:t>PE766.947</w:t>
      </w:r>
      <w:bookmarkEnd w:id="4"/>
    </w:p>
    <w:p w14:paraId="3CC3B3E1" w14:textId="77777777" w:rsidR="00E0609E" w:rsidRPr="00B04599" w:rsidRDefault="00E0609E" w:rsidP="00E0609E">
      <w:pPr>
        <w:pStyle w:val="ATHeading3"/>
      </w:pPr>
      <w:bookmarkStart w:id="5" w:name="Sujet"/>
      <w:r w:rsidRPr="00B04599">
        <w:t>Eur</w:t>
      </w:r>
      <w:r w:rsidR="00C660A3" w:rsidRPr="00B04599">
        <w:t>opaparlamentets beslut av den 1 april</w:t>
      </w:r>
      <w:r w:rsidRPr="00B04599">
        <w:t xml:space="preserve"> 2025 om begäran om upphävande</w:t>
      </w:r>
      <w:r w:rsidR="00C660A3" w:rsidRPr="00B04599">
        <w:t>t</w:t>
      </w:r>
      <w:r w:rsidRPr="00B04599">
        <w:t xml:space="preserve"> av Jana </w:t>
      </w:r>
      <w:proofErr w:type="spellStart"/>
      <w:r w:rsidRPr="00B04599">
        <w:t>Nagyovás</w:t>
      </w:r>
      <w:proofErr w:type="spellEnd"/>
      <w:r w:rsidRPr="00B04599">
        <w:t xml:space="preserve"> immunitet</w:t>
      </w:r>
      <w:bookmarkEnd w:id="5"/>
      <w:r w:rsidRPr="00B04599">
        <w:t xml:space="preserve"> </w:t>
      </w:r>
      <w:bookmarkStart w:id="6" w:name="References"/>
      <w:r w:rsidRPr="00B04599">
        <w:t>(2024/2035(IMM))</w:t>
      </w:r>
      <w:bookmarkEnd w:id="6"/>
    </w:p>
    <w:p w14:paraId="3AD89FB2" w14:textId="77777777" w:rsidR="00AC7894" w:rsidRPr="00B04599" w:rsidRDefault="00AC7894" w:rsidP="00AC7894">
      <w:pPr>
        <w:pStyle w:val="EPComma"/>
        <w:widowControl/>
      </w:pPr>
      <w:bookmarkStart w:id="7" w:name="TextBodyBegin"/>
      <w:bookmarkEnd w:id="7"/>
      <w:r w:rsidRPr="00B04599">
        <w:rPr>
          <w:i/>
        </w:rPr>
        <w:t>Europaparlamentet fattar detta beslut</w:t>
      </w:r>
      <w:r w:rsidR="00C660A3" w:rsidRPr="00B04599">
        <w:rPr>
          <w:i/>
        </w:rPr>
        <w:t xml:space="preserve">, </w:t>
      </w:r>
    </w:p>
    <w:p w14:paraId="23734B27" w14:textId="77777777" w:rsidR="00AC7894" w:rsidRPr="00B04599" w:rsidRDefault="00AC7894" w:rsidP="00AC7894">
      <w:pPr>
        <w:pStyle w:val="NormalHanging12a"/>
        <w:widowControl/>
      </w:pPr>
      <w:r w:rsidRPr="00B04599">
        <w:t>–</w:t>
      </w:r>
      <w:r w:rsidRPr="00B04599">
        <w:tab/>
        <w:t>med beaktande av den begäran om upphävande</w:t>
      </w:r>
      <w:r w:rsidR="00C660A3" w:rsidRPr="00B04599">
        <w:t>t</w:t>
      </w:r>
      <w:r w:rsidRPr="00B04599">
        <w:t xml:space="preserve"> av Jana </w:t>
      </w:r>
      <w:proofErr w:type="spellStart"/>
      <w:r w:rsidRPr="00B04599">
        <w:t>Nagyovás</w:t>
      </w:r>
      <w:proofErr w:type="spellEnd"/>
      <w:r w:rsidRPr="00B04599">
        <w:t xml:space="preserve"> immunitet som översändes den 1 juli 2024 av överdomstolen i Prag med anledning av ett pågående brottmålsförfarande i den domstolen, vilket har överklagats, med referens 3 To 34/2024, och som tillkännagavs i kammaren den 19 juli 2024,</w:t>
      </w:r>
    </w:p>
    <w:p w14:paraId="1916E8B1" w14:textId="77777777" w:rsidR="00AC7894" w:rsidRPr="00B04599" w:rsidRDefault="00AC7894" w:rsidP="00AC7894">
      <w:pPr>
        <w:pStyle w:val="NormalHanging12a"/>
        <w:widowControl/>
      </w:pPr>
      <w:r w:rsidRPr="00B04599">
        <w:t>–</w:t>
      </w:r>
      <w:r w:rsidRPr="00B04599">
        <w:tab/>
        <w:t xml:space="preserve">efter att ha hört Jana </w:t>
      </w:r>
      <w:proofErr w:type="spellStart"/>
      <w:r w:rsidRPr="00B04599">
        <w:t>Nagyová</w:t>
      </w:r>
      <w:proofErr w:type="spellEnd"/>
      <w:r w:rsidRPr="00B04599">
        <w:t xml:space="preserve"> den 29 januari 2025 i enlighet med artikel 9.6 i arbetsordningen,</w:t>
      </w:r>
    </w:p>
    <w:p w14:paraId="1EE999C2" w14:textId="77777777" w:rsidR="00AC7894" w:rsidRPr="00B04599" w:rsidRDefault="00AC7894" w:rsidP="00AC7894">
      <w:pPr>
        <w:pStyle w:val="NormalHanging12a"/>
        <w:widowControl/>
      </w:pPr>
      <w:r w:rsidRPr="00B04599">
        <w:t>–</w:t>
      </w:r>
      <w:r w:rsidRPr="00B04599">
        <w:tab/>
        <w:t>med beaktande av artiklarna 8 och 9 i protokoll nr 7 om Europeiska unionens immunitet och privilegier och artikel 6.2 i akten av den 20 september 1976 om allmänna direkta val av ledamöter av Europaparlamentet,</w:t>
      </w:r>
    </w:p>
    <w:p w14:paraId="02BC5796" w14:textId="77777777" w:rsidR="00AC7894" w:rsidRPr="00B04599" w:rsidRDefault="00AC7894" w:rsidP="00AC7894">
      <w:pPr>
        <w:pStyle w:val="NormalHanging12a"/>
        <w:widowControl/>
      </w:pPr>
      <w:r w:rsidRPr="00B04599">
        <w:t>–</w:t>
      </w:r>
      <w:r w:rsidRPr="00B04599">
        <w:tab/>
        <w:t>med beaktande av Europeiska unionens domstols domar av den 21 oktober 2008, 19 mars 2010, 6 september 2011, 17 januari 2013, 19 december 2019 och 5 juli 2023</w:t>
      </w:r>
      <w:r w:rsidRPr="00B04599">
        <w:rPr>
          <w:rStyle w:val="FootnoteReference"/>
          <w:color w:val="000000"/>
        </w:rPr>
        <w:footnoteReference w:id="1"/>
      </w:r>
      <w:r w:rsidRPr="00B04599">
        <w:t>,</w:t>
      </w:r>
    </w:p>
    <w:p w14:paraId="0E78BA23" w14:textId="77777777" w:rsidR="00AC7894" w:rsidRPr="00B04599" w:rsidRDefault="00AC7894" w:rsidP="00AC7894">
      <w:pPr>
        <w:pStyle w:val="NormalHanging12a"/>
        <w:widowControl/>
      </w:pPr>
      <w:r w:rsidRPr="00B04599">
        <w:t>–</w:t>
      </w:r>
      <w:r w:rsidRPr="00B04599">
        <w:tab/>
        <w:t>med beaktande av artikel 27 i Tjeckiens konstitution och avsnitt l0.1 i lag nr 141/1961 Coll. om straffprocessrätt (den tjeckiska straffprocesslagen),</w:t>
      </w:r>
    </w:p>
    <w:p w14:paraId="48897D60" w14:textId="77777777" w:rsidR="00AC7894" w:rsidRPr="00B04599" w:rsidRDefault="00AC7894" w:rsidP="00AC7894">
      <w:pPr>
        <w:pStyle w:val="NormalHanging12a"/>
        <w:widowControl/>
      </w:pPr>
      <w:r w:rsidRPr="00B04599">
        <w:t>–</w:t>
      </w:r>
      <w:r w:rsidRPr="00B04599">
        <w:tab/>
        <w:t>med beaktande av artiklarna 5.2, 6.1 och 9 i arbetsordningen,</w:t>
      </w:r>
    </w:p>
    <w:p w14:paraId="5D9BA03E" w14:textId="77777777" w:rsidR="00AC7894" w:rsidRPr="00B04599" w:rsidRDefault="00AC7894" w:rsidP="00AC7894">
      <w:pPr>
        <w:pStyle w:val="NormalHanging12a"/>
        <w:widowControl/>
      </w:pPr>
      <w:r w:rsidRPr="00B04599">
        <w:lastRenderedPageBreak/>
        <w:t>–</w:t>
      </w:r>
      <w:r w:rsidRPr="00B04599">
        <w:tab/>
        <w:t>med beaktande av betänkandet från utskottet för rättsliga frågor (A10-0029/2025), och av följande skäl:</w:t>
      </w:r>
    </w:p>
    <w:p w14:paraId="365F5898" w14:textId="77777777" w:rsidR="00AC7894" w:rsidRPr="00B04599" w:rsidRDefault="00AC7894" w:rsidP="00AC7894">
      <w:pPr>
        <w:pStyle w:val="NormalHanging12a"/>
        <w:widowControl/>
      </w:pPr>
      <w:r w:rsidRPr="00B04599">
        <w:t>A.</w:t>
      </w:r>
      <w:r w:rsidRPr="00B04599">
        <w:tab/>
        <w:t xml:space="preserve">Den 1 juli 2024 lämnade överdomstolen i Prag in en begäran om upphävande av den parlamentariska immuniteten för Jana </w:t>
      </w:r>
      <w:proofErr w:type="spellStart"/>
      <w:r w:rsidRPr="00B04599">
        <w:t>Nagyová</w:t>
      </w:r>
      <w:proofErr w:type="spellEnd"/>
      <w:r w:rsidRPr="00B04599">
        <w:t>, en ledamot av Europaparlamentet som valts in för Tjeckien, i syfte att fortsätta det pågående och överklagade brottmålsförfarandet vid den domstolen angående brottet bidragsbedrägeri enligt avsnitt 212.1 och 212.6 led a samt brottet skada för Europeiska unionens ekonomiska intressen enligt avsnitt 260.1 och 260.5 i lag nr 40/2009 Coll. (den tjeckiska straffprocesslagen).</w:t>
      </w:r>
    </w:p>
    <w:p w14:paraId="02D6928B" w14:textId="77777777" w:rsidR="00AC7894" w:rsidRPr="00B04599" w:rsidRDefault="00AC7894" w:rsidP="00AC7894">
      <w:pPr>
        <w:pStyle w:val="NormalHanging12a"/>
        <w:widowControl/>
      </w:pPr>
      <w:r w:rsidRPr="00B04599">
        <w:t>B.</w:t>
      </w:r>
      <w:r w:rsidRPr="00B04599">
        <w:tab/>
        <w:t xml:space="preserve">Brottmålsförfarandet mot Jana </w:t>
      </w:r>
      <w:proofErr w:type="spellStart"/>
      <w:r w:rsidRPr="00B04599">
        <w:t>Nagyová</w:t>
      </w:r>
      <w:proofErr w:type="spellEnd"/>
      <w:r w:rsidRPr="00B04599">
        <w:t xml:space="preserve"> genomförs på grundval av ett åtal från åklagarmyndigheten i staden Prag av den 21 mars 2022 för en handling som hon påstås ha begått tillsammans med en medtilltalad person, på grund av att hon, i egenskap av en person som yrkesmässigt ägnade sig åt EU-bidrag och, under perioden 17 januari 2008–5 januari 2010, i egenskap av vice styrelseordförande för ett tjeckiskt företag, ansökte om ett bidrag med vetskap om att företaget inte var berättigat till det och lämnade oriktiga uppgifter om att företaget var ett litet, oberoende företag.</w:t>
      </w:r>
    </w:p>
    <w:p w14:paraId="7CC0915E" w14:textId="77777777" w:rsidR="00AC7894" w:rsidRPr="00B04599" w:rsidRDefault="00AC7894" w:rsidP="00AC7894">
      <w:pPr>
        <w:pStyle w:val="NormalHanging12a"/>
        <w:widowControl/>
      </w:pPr>
      <w:r w:rsidRPr="00B04599">
        <w:t>C.</w:t>
      </w:r>
      <w:r w:rsidRPr="00B04599">
        <w:tab/>
        <w:t>Syftet med den parlamentariska immuniteten är att skydda parlamentet och dess ledamöter från rättsliga förfaranden som rör verksamhet som bedrivs inom ramen för utövandet av det parlamentariska ämbetet och som inte kan skiljas från detta.</w:t>
      </w:r>
    </w:p>
    <w:p w14:paraId="0295D02B" w14:textId="77777777" w:rsidR="00AC7894" w:rsidRPr="00B04599" w:rsidRDefault="00AC7894" w:rsidP="00AC7894">
      <w:pPr>
        <w:pStyle w:val="NormalHanging12a"/>
        <w:widowControl/>
      </w:pPr>
      <w:r w:rsidRPr="00B04599">
        <w:t>D.</w:t>
      </w:r>
      <w:r w:rsidRPr="00B04599">
        <w:tab/>
        <w:t>De påstådda överträdelserna rör inte yttranden som gjorts eller röster som avlagts under utövandet av ämbetet som ledamot av Europaparlamentet i den mening som avses i artikel 8 i protokoll nr 7 om Europeiska unionens immunitet och privilegier.</w:t>
      </w:r>
    </w:p>
    <w:p w14:paraId="485FC655" w14:textId="77777777" w:rsidR="00AC7894" w:rsidRPr="00B04599" w:rsidRDefault="00AC7894" w:rsidP="00AC7894">
      <w:pPr>
        <w:pStyle w:val="NormalHanging12a"/>
        <w:widowControl/>
      </w:pPr>
      <w:r w:rsidRPr="00B04599">
        <w:t>E.</w:t>
      </w:r>
      <w:r w:rsidRPr="00B04599">
        <w:tab/>
        <w:t>I artikel 9 första stycket a i protokoll nr 7 om Europeiska unionens immunitet och privilegier anges att Europaparlamentets ledamöter på sin egen medlemsstats territorium ska åtnjuta den immunitet som beviljas ledamöterna i den medlemsstatens parlament.</w:t>
      </w:r>
    </w:p>
    <w:p w14:paraId="1D487404" w14:textId="77777777" w:rsidR="00AC7894" w:rsidRPr="00B04599" w:rsidRDefault="00AC7894" w:rsidP="00AC7894">
      <w:pPr>
        <w:pStyle w:val="NormalHanging12a"/>
        <w:widowControl/>
      </w:pPr>
      <w:r w:rsidRPr="00B04599">
        <w:t>F.</w:t>
      </w:r>
      <w:r w:rsidRPr="00B04599">
        <w:tab/>
        <w:t>I artikel 27.4 i Tjeckiens konstitution anges att deputerade och senatorer inte får åtalas i brottmål utan samtycke från den kammare som de är ledamöter i och att ett sådant åtal ska avvisas under hela deras mandatperiod om denna kammare inte ger sitt samtycke.</w:t>
      </w:r>
    </w:p>
    <w:p w14:paraId="7F976C5B" w14:textId="010280C3" w:rsidR="00AC7894" w:rsidRPr="00B04599" w:rsidRDefault="00AC7894" w:rsidP="00AC7894">
      <w:pPr>
        <w:pStyle w:val="NormalHanging12a"/>
        <w:widowControl/>
      </w:pPr>
      <w:r w:rsidRPr="00B04599">
        <w:t>G.</w:t>
      </w:r>
      <w:r w:rsidRPr="00B04599">
        <w:tab/>
        <w:t xml:space="preserve">I detta fall har parlamentet inte funnit </w:t>
      </w:r>
      <w:r w:rsidR="00382345" w:rsidRPr="00B04599">
        <w:t>några</w:t>
      </w:r>
      <w:r w:rsidRPr="00B04599">
        <w:t xml:space="preserve"> belägg för</w:t>
      </w:r>
      <w:r w:rsidR="00382345" w:rsidRPr="00B04599">
        <w:t xml:space="preserve"> att det rör sig om</w:t>
      </w:r>
      <w:r w:rsidRPr="00B04599">
        <w:t xml:space="preserve"> </w:t>
      </w:r>
      <w:proofErr w:type="spellStart"/>
      <w:r w:rsidRPr="00B04599">
        <w:rPr>
          <w:i/>
        </w:rPr>
        <w:t>fumus</w:t>
      </w:r>
      <w:proofErr w:type="spellEnd"/>
      <w:r w:rsidRPr="00B04599">
        <w:rPr>
          <w:i/>
        </w:rPr>
        <w:t xml:space="preserve"> </w:t>
      </w:r>
      <w:proofErr w:type="spellStart"/>
      <w:r w:rsidRPr="00B04599">
        <w:rPr>
          <w:i/>
        </w:rPr>
        <w:t>persecutionis</w:t>
      </w:r>
      <w:proofErr w:type="spellEnd"/>
      <w:r w:rsidRPr="00B04599">
        <w:t xml:space="preserve">, det vill säga faktiska omständigheter som tyder på att </w:t>
      </w:r>
      <w:r w:rsidR="005D76BD" w:rsidRPr="00B04599">
        <w:t xml:space="preserve">de </w:t>
      </w:r>
      <w:r w:rsidR="00382345" w:rsidRPr="00B04599">
        <w:t xml:space="preserve">ifrågavarande </w:t>
      </w:r>
      <w:r w:rsidR="005D76BD" w:rsidRPr="00B04599">
        <w:t xml:space="preserve">rättsliga </w:t>
      </w:r>
      <w:r w:rsidR="00382345" w:rsidRPr="00B04599">
        <w:t>åtgärderna har inletts i avsikt</w:t>
      </w:r>
      <w:r w:rsidRPr="00B04599">
        <w:t xml:space="preserve"> att skada ledamotens politiska verksamhet och därmed Europaparlamentet.</w:t>
      </w:r>
    </w:p>
    <w:p w14:paraId="6F24D405" w14:textId="77777777" w:rsidR="00AC7894" w:rsidRPr="00B04599" w:rsidRDefault="00AC7894" w:rsidP="00AC7894">
      <w:pPr>
        <w:pStyle w:val="NormalHanging12a"/>
        <w:widowControl/>
      </w:pPr>
      <w:r w:rsidRPr="00B04599">
        <w:t>H.</w:t>
      </w:r>
      <w:r w:rsidRPr="00B04599">
        <w:tab/>
        <w:t>Å ena sidan kan parlamentet inte likställas med en domstol, och å andra sidan kan parlamentsledamoten, inom ramen för ett förfarande för att upphäva immunitet, inte betraktas som ”anklagad”</w:t>
      </w:r>
      <w:r w:rsidRPr="00B04599">
        <w:rPr>
          <w:rStyle w:val="FootnoteReference"/>
          <w:color w:val="000000"/>
        </w:rPr>
        <w:footnoteReference w:id="2"/>
      </w:r>
      <w:r w:rsidRPr="00B04599">
        <w:t>.</w:t>
      </w:r>
    </w:p>
    <w:p w14:paraId="72E6B27C" w14:textId="77777777" w:rsidR="00AC7894" w:rsidRPr="00B04599" w:rsidRDefault="00AC7894" w:rsidP="00AC7894">
      <w:pPr>
        <w:pStyle w:val="NormalHanging12a"/>
        <w:widowControl/>
      </w:pPr>
      <w:r w:rsidRPr="00B04599">
        <w:t>1.</w:t>
      </w:r>
      <w:r w:rsidRPr="00B04599">
        <w:tab/>
        <w:t xml:space="preserve">Europaparlamentet beslutar att upphäva Jana </w:t>
      </w:r>
      <w:proofErr w:type="spellStart"/>
      <w:r w:rsidRPr="00B04599">
        <w:t>Nagyovás</w:t>
      </w:r>
      <w:proofErr w:type="spellEnd"/>
      <w:r w:rsidRPr="00B04599">
        <w:t xml:space="preserve"> immunitet.</w:t>
      </w:r>
    </w:p>
    <w:p w14:paraId="781D3B54" w14:textId="733EC755" w:rsidR="00E365E1" w:rsidRPr="00B04599" w:rsidRDefault="00AC7894" w:rsidP="00B04599">
      <w:pPr>
        <w:pStyle w:val="NormalHanging12a"/>
        <w:widowControl/>
      </w:pPr>
      <w:r w:rsidRPr="00B04599">
        <w:t>2.</w:t>
      </w:r>
      <w:r w:rsidRPr="00B04599">
        <w:tab/>
        <w:t xml:space="preserve">Europaparlamentet uppdrar åt talmannen att omedelbart översända detta beslut och det ansvariga utskottets betänkande till den behöriga myndigheten i Republiken Tjeckien och till Jana </w:t>
      </w:r>
      <w:proofErr w:type="spellStart"/>
      <w:r w:rsidRPr="00B04599">
        <w:t>Nagyová</w:t>
      </w:r>
      <w:proofErr w:type="spellEnd"/>
      <w:r w:rsidRPr="00B04599">
        <w:t>.</w:t>
      </w:r>
      <w:bookmarkStart w:id="8" w:name="_GoBack"/>
      <w:bookmarkEnd w:id="8"/>
    </w:p>
    <w:sectPr w:rsidR="00E365E1" w:rsidRPr="00B04599" w:rsidSect="00E90E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35E6E" w14:textId="77777777" w:rsidR="00E0609E" w:rsidRPr="00E90E42" w:rsidRDefault="00E0609E">
      <w:r w:rsidRPr="00E90E42">
        <w:separator/>
      </w:r>
    </w:p>
  </w:endnote>
  <w:endnote w:type="continuationSeparator" w:id="0">
    <w:p w14:paraId="1483278F" w14:textId="77777777" w:rsidR="00E0609E" w:rsidRPr="00E90E42" w:rsidRDefault="00E0609E">
      <w:r w:rsidRPr="00E90E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A3582" w14:textId="77777777" w:rsidR="00064002" w:rsidRPr="00E90E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08093" w14:textId="77777777" w:rsidR="00064002" w:rsidRPr="00E90E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E2550" w14:textId="77777777" w:rsidR="00064002" w:rsidRPr="00E90E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7A3F5" w14:textId="77777777" w:rsidR="00E0609E" w:rsidRPr="00E90E42" w:rsidRDefault="00E0609E">
      <w:r w:rsidRPr="00E90E42">
        <w:separator/>
      </w:r>
    </w:p>
  </w:footnote>
  <w:footnote w:type="continuationSeparator" w:id="0">
    <w:p w14:paraId="669EA698" w14:textId="77777777" w:rsidR="00E0609E" w:rsidRPr="00E90E42" w:rsidRDefault="00E0609E">
      <w:r w:rsidRPr="00E90E42">
        <w:continuationSeparator/>
      </w:r>
    </w:p>
  </w:footnote>
  <w:footnote w:id="1">
    <w:p w14:paraId="38516251" w14:textId="77777777" w:rsidR="00AC7894" w:rsidRPr="00E90E42" w:rsidRDefault="00AC7894" w:rsidP="00E90E42">
      <w:pPr>
        <w:pStyle w:val="FootnoteText"/>
        <w:ind w:left="567" w:hanging="567"/>
        <w:rPr>
          <w:sz w:val="24"/>
          <w:lang w:val="sv-SE"/>
        </w:rPr>
      </w:pPr>
      <w:r w:rsidRPr="00E90E42">
        <w:rPr>
          <w:rStyle w:val="FootnoteReference"/>
          <w:sz w:val="24"/>
          <w:lang w:val="sv-SE"/>
        </w:rPr>
        <w:footnoteRef/>
      </w:r>
      <w:r w:rsidR="00E90E42" w:rsidRPr="00E90E42">
        <w:rPr>
          <w:sz w:val="24"/>
          <w:lang w:val="sv-SE"/>
        </w:rPr>
        <w:t xml:space="preserve"> </w:t>
      </w:r>
      <w:r w:rsidR="00E90E42" w:rsidRPr="00E90E42">
        <w:rPr>
          <w:sz w:val="24"/>
          <w:lang w:val="sv-SE"/>
        </w:rPr>
        <w:tab/>
      </w:r>
      <w:r w:rsidRPr="00E90E42">
        <w:rPr>
          <w:sz w:val="24"/>
          <w:lang w:val="sv-SE"/>
        </w:rPr>
        <w:t xml:space="preserve">Domstolens dom av den 21 oktober 2008, </w:t>
      </w:r>
      <w:proofErr w:type="spellStart"/>
      <w:r w:rsidRPr="00E90E42">
        <w:rPr>
          <w:sz w:val="24"/>
          <w:lang w:val="sv-SE"/>
        </w:rPr>
        <w:t>Marra</w:t>
      </w:r>
      <w:proofErr w:type="spellEnd"/>
      <w:r w:rsidRPr="00E90E42">
        <w:rPr>
          <w:sz w:val="24"/>
          <w:lang w:val="sv-SE"/>
        </w:rPr>
        <w:t xml:space="preserve">/De Gregorio och Clemente, C-200/07 och C-201/07, ECLI:EU:C:2008:579, tribunalens dom av den 19 mars 2010, </w:t>
      </w:r>
      <w:proofErr w:type="spellStart"/>
      <w:r w:rsidRPr="00E90E42">
        <w:rPr>
          <w:sz w:val="24"/>
          <w:lang w:val="sv-SE"/>
        </w:rPr>
        <w:t>Gollnisch</w:t>
      </w:r>
      <w:proofErr w:type="spellEnd"/>
      <w:r w:rsidRPr="00E90E42">
        <w:rPr>
          <w:sz w:val="24"/>
          <w:lang w:val="sv-SE"/>
        </w:rPr>
        <w:t xml:space="preserve">/parlamentet, T-42/06, ECLI:EU:T:2010:102, domstolens dom av den 6 september 2011, </w:t>
      </w:r>
      <w:proofErr w:type="spellStart"/>
      <w:r w:rsidRPr="00E90E42">
        <w:rPr>
          <w:sz w:val="24"/>
          <w:lang w:val="sv-SE"/>
        </w:rPr>
        <w:t>Patriciello</w:t>
      </w:r>
      <w:proofErr w:type="spellEnd"/>
      <w:r w:rsidRPr="00E90E42">
        <w:rPr>
          <w:sz w:val="24"/>
          <w:lang w:val="sv-SE"/>
        </w:rPr>
        <w:t xml:space="preserve">, C-163/10, ECLI:EU:C:2011:543, tribunalens dom av den 17 januari 2013, </w:t>
      </w:r>
      <w:proofErr w:type="spellStart"/>
      <w:r w:rsidRPr="00E90E42">
        <w:rPr>
          <w:sz w:val="24"/>
          <w:lang w:val="sv-SE"/>
        </w:rPr>
        <w:t>Gollnisch</w:t>
      </w:r>
      <w:proofErr w:type="spellEnd"/>
      <w:r w:rsidRPr="00E90E42">
        <w:rPr>
          <w:sz w:val="24"/>
          <w:lang w:val="sv-SE"/>
        </w:rPr>
        <w:t xml:space="preserve">/parlamentet, T-346/11 och T-347/11, ECLI:EU:T:2013:23, domstolens dom av den 19 december 2019, </w:t>
      </w:r>
      <w:proofErr w:type="spellStart"/>
      <w:r w:rsidRPr="00E90E42">
        <w:rPr>
          <w:sz w:val="24"/>
          <w:lang w:val="sv-SE"/>
        </w:rPr>
        <w:t>Jungqueras</w:t>
      </w:r>
      <w:proofErr w:type="spellEnd"/>
      <w:r w:rsidRPr="00E90E42">
        <w:rPr>
          <w:sz w:val="24"/>
          <w:lang w:val="sv-SE"/>
        </w:rPr>
        <w:t xml:space="preserve"> </w:t>
      </w:r>
      <w:proofErr w:type="spellStart"/>
      <w:r w:rsidRPr="00E90E42">
        <w:rPr>
          <w:sz w:val="24"/>
          <w:lang w:val="sv-SE"/>
        </w:rPr>
        <w:t>Vies</w:t>
      </w:r>
      <w:proofErr w:type="spellEnd"/>
      <w:r w:rsidRPr="00E90E42">
        <w:rPr>
          <w:sz w:val="24"/>
          <w:lang w:val="sv-SE"/>
        </w:rPr>
        <w:t xml:space="preserve">, C-502/19, ECLI:EU:C:2019:1115, tribunalens dom av den 5 juli 2023, </w:t>
      </w:r>
      <w:proofErr w:type="spellStart"/>
      <w:r w:rsidRPr="00E90E42">
        <w:rPr>
          <w:sz w:val="24"/>
          <w:lang w:val="sv-SE"/>
        </w:rPr>
        <w:t>Puigdemont</w:t>
      </w:r>
      <w:proofErr w:type="spellEnd"/>
      <w:r w:rsidRPr="00E90E42">
        <w:rPr>
          <w:sz w:val="24"/>
          <w:lang w:val="sv-SE"/>
        </w:rPr>
        <w:t xml:space="preserve"> i </w:t>
      </w:r>
      <w:proofErr w:type="spellStart"/>
      <w:r w:rsidRPr="00E90E42">
        <w:rPr>
          <w:sz w:val="24"/>
          <w:lang w:val="sv-SE"/>
        </w:rPr>
        <w:t>Casamajó</w:t>
      </w:r>
      <w:proofErr w:type="spellEnd"/>
      <w:r w:rsidRPr="00E90E42">
        <w:rPr>
          <w:sz w:val="24"/>
          <w:lang w:val="sv-SE"/>
        </w:rPr>
        <w:t xml:space="preserve"> m.fl./parlamentet, T-272/21/P, ECLI:EU:T:2023:373.</w:t>
      </w:r>
    </w:p>
  </w:footnote>
  <w:footnote w:id="2">
    <w:p w14:paraId="25357C5E" w14:textId="77777777" w:rsidR="00AC7894" w:rsidRPr="00E90E42" w:rsidRDefault="00AC7894" w:rsidP="00E90E42">
      <w:pPr>
        <w:pStyle w:val="FootnoteText"/>
        <w:ind w:left="567" w:hanging="567"/>
        <w:rPr>
          <w:sz w:val="24"/>
          <w:lang w:val="sv-SE"/>
        </w:rPr>
      </w:pPr>
      <w:r w:rsidRPr="00E90E42">
        <w:rPr>
          <w:rStyle w:val="FootnoteReference"/>
          <w:sz w:val="24"/>
          <w:lang w:val="sv-SE"/>
        </w:rPr>
        <w:footnoteRef/>
      </w:r>
      <w:r w:rsidR="00E90E42" w:rsidRPr="00E90E42">
        <w:rPr>
          <w:sz w:val="24"/>
          <w:lang w:val="sv-SE"/>
        </w:rPr>
        <w:t xml:space="preserve"> </w:t>
      </w:r>
      <w:r w:rsidR="00E90E42" w:rsidRPr="00E90E42">
        <w:rPr>
          <w:sz w:val="24"/>
          <w:lang w:val="sv-SE"/>
        </w:rPr>
        <w:tab/>
      </w:r>
      <w:r w:rsidRPr="00E90E42">
        <w:rPr>
          <w:sz w:val="24"/>
          <w:lang w:val="sv-SE"/>
        </w:rPr>
        <w:t xml:space="preserve">Tribunalens dom av den 30 april 2019, </w:t>
      </w:r>
      <w:proofErr w:type="spellStart"/>
      <w:r w:rsidRPr="00E90E42">
        <w:rPr>
          <w:sz w:val="24"/>
          <w:lang w:val="sv-SE"/>
        </w:rPr>
        <w:t>Briois</w:t>
      </w:r>
      <w:proofErr w:type="spellEnd"/>
      <w:r w:rsidRPr="00E90E42">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B6A2F" w14:textId="77777777" w:rsidR="00064002" w:rsidRPr="00E90E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A912" w14:textId="77777777" w:rsidR="00064002" w:rsidRPr="00E90E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67859" w14:textId="77777777" w:rsidR="00064002" w:rsidRPr="00E90E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SV"/>
    <w:docVar w:name="dvnumam" w:val="0"/>
    <w:docVar w:name="dvpe" w:val="766.947"/>
    <w:docVar w:name="dvrapporteur" w:val="Föredragande: "/>
    <w:docVar w:name="dvtitre" w:val="Europaparlamentets beslut av den xx xx 2025 om begäran om upphävande av Jana Nagyovás immunitet(2024/2035(IMM))"/>
  </w:docVars>
  <w:rsids>
    <w:rsidRoot w:val="00E0609E"/>
    <w:rsid w:val="00002272"/>
    <w:rsid w:val="00064002"/>
    <w:rsid w:val="000677B9"/>
    <w:rsid w:val="000831BA"/>
    <w:rsid w:val="00097247"/>
    <w:rsid w:val="000A42CC"/>
    <w:rsid w:val="000E7DD9"/>
    <w:rsid w:val="0010095E"/>
    <w:rsid w:val="00125B37"/>
    <w:rsid w:val="00187494"/>
    <w:rsid w:val="001F32AE"/>
    <w:rsid w:val="002767FF"/>
    <w:rsid w:val="002B18FE"/>
    <w:rsid w:val="002B5493"/>
    <w:rsid w:val="00343214"/>
    <w:rsid w:val="00361C00"/>
    <w:rsid w:val="00382345"/>
    <w:rsid w:val="00395FA1"/>
    <w:rsid w:val="00396419"/>
    <w:rsid w:val="003E15D4"/>
    <w:rsid w:val="00411CCE"/>
    <w:rsid w:val="0041666E"/>
    <w:rsid w:val="00421060"/>
    <w:rsid w:val="004502AC"/>
    <w:rsid w:val="00471C19"/>
    <w:rsid w:val="004867E3"/>
    <w:rsid w:val="00494A28"/>
    <w:rsid w:val="004C0004"/>
    <w:rsid w:val="004C5D52"/>
    <w:rsid w:val="0050519A"/>
    <w:rsid w:val="005072A1"/>
    <w:rsid w:val="00514517"/>
    <w:rsid w:val="00545827"/>
    <w:rsid w:val="00560270"/>
    <w:rsid w:val="005C2568"/>
    <w:rsid w:val="005D76BD"/>
    <w:rsid w:val="005F1B17"/>
    <w:rsid w:val="006037C0"/>
    <w:rsid w:val="0062276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894"/>
    <w:rsid w:val="00AE0928"/>
    <w:rsid w:val="00AF3B82"/>
    <w:rsid w:val="00B04599"/>
    <w:rsid w:val="00B12E95"/>
    <w:rsid w:val="00B22876"/>
    <w:rsid w:val="00B558F0"/>
    <w:rsid w:val="00BD48FE"/>
    <w:rsid w:val="00BD7BD8"/>
    <w:rsid w:val="00BE6ADC"/>
    <w:rsid w:val="00C05BFE"/>
    <w:rsid w:val="00C23CD4"/>
    <w:rsid w:val="00C61C0C"/>
    <w:rsid w:val="00C660A3"/>
    <w:rsid w:val="00C941CB"/>
    <w:rsid w:val="00CC2357"/>
    <w:rsid w:val="00CF071A"/>
    <w:rsid w:val="00D058B8"/>
    <w:rsid w:val="00D56C11"/>
    <w:rsid w:val="00D834A0"/>
    <w:rsid w:val="00D872DF"/>
    <w:rsid w:val="00D91E21"/>
    <w:rsid w:val="00DA1CD9"/>
    <w:rsid w:val="00DA7FCD"/>
    <w:rsid w:val="00E0609E"/>
    <w:rsid w:val="00E365E1"/>
    <w:rsid w:val="00E820A4"/>
    <w:rsid w:val="00E90E4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DD723"/>
  <w15:chartTrackingRefBased/>
  <w15:docId w15:val="{3E728CC2-48FD-4F0F-A0BF-4FAAA815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C7894"/>
    <w:pPr>
      <w:keepNext/>
      <w:spacing w:after="480"/>
      <w:jc w:val="center"/>
    </w:pPr>
    <w:rPr>
      <w:rFonts w:ascii="Arial" w:hAnsi="Arial" w:cs="Arial"/>
      <w:b/>
    </w:rPr>
  </w:style>
  <w:style w:type="paragraph" w:customStyle="1" w:styleId="NormalBold">
    <w:name w:val="NormalBold"/>
    <w:basedOn w:val="Normal"/>
    <w:rsid w:val="00AC7894"/>
    <w:rPr>
      <w:b/>
    </w:rPr>
  </w:style>
  <w:style w:type="paragraph" w:customStyle="1" w:styleId="NormalHanging12a">
    <w:name w:val="NormalHanging12a"/>
    <w:basedOn w:val="Normal"/>
    <w:rsid w:val="00AC7894"/>
    <w:pPr>
      <w:spacing w:after="240"/>
      <w:ind w:left="567" w:hanging="567"/>
    </w:pPr>
  </w:style>
  <w:style w:type="paragraph" w:customStyle="1" w:styleId="EPComma">
    <w:name w:val="EPComma"/>
    <w:basedOn w:val="Normal"/>
    <w:rsid w:val="00AC7894"/>
    <w:pPr>
      <w:spacing w:before="480" w:after="240"/>
    </w:pPr>
  </w:style>
  <w:style w:type="character" w:styleId="CommentReference">
    <w:name w:val="annotation reference"/>
    <w:basedOn w:val="DefaultParagraphFont"/>
    <w:rsid w:val="00DA1CD9"/>
    <w:rPr>
      <w:sz w:val="16"/>
      <w:szCs w:val="16"/>
    </w:rPr>
  </w:style>
  <w:style w:type="paragraph" w:styleId="CommentText">
    <w:name w:val="annotation text"/>
    <w:basedOn w:val="Normal"/>
    <w:link w:val="CommentTextChar"/>
    <w:rsid w:val="00DA1CD9"/>
    <w:rPr>
      <w:sz w:val="20"/>
    </w:rPr>
  </w:style>
  <w:style w:type="character" w:customStyle="1" w:styleId="CommentTextChar">
    <w:name w:val="Comment Text Char"/>
    <w:basedOn w:val="DefaultParagraphFont"/>
    <w:link w:val="CommentText"/>
    <w:rsid w:val="00DA1CD9"/>
    <w:rPr>
      <w:lang w:val="sv-SE"/>
    </w:rPr>
  </w:style>
  <w:style w:type="paragraph" w:styleId="CommentSubject">
    <w:name w:val="annotation subject"/>
    <w:basedOn w:val="CommentText"/>
    <w:next w:val="CommentText"/>
    <w:link w:val="CommentSubjectChar"/>
    <w:rsid w:val="00DA1CD9"/>
    <w:rPr>
      <w:b/>
      <w:bCs/>
    </w:rPr>
  </w:style>
  <w:style w:type="character" w:customStyle="1" w:styleId="CommentSubjectChar">
    <w:name w:val="Comment Subject Char"/>
    <w:basedOn w:val="CommentTextChar"/>
    <w:link w:val="CommentSubject"/>
    <w:rsid w:val="00DA1CD9"/>
    <w:rPr>
      <w:b/>
      <w:bCs/>
      <w:lang w:val="sv-SE"/>
    </w:rPr>
  </w:style>
  <w:style w:type="paragraph" w:styleId="BalloonText">
    <w:name w:val="Balloon Text"/>
    <w:basedOn w:val="Normal"/>
    <w:link w:val="BalloonTextChar"/>
    <w:rsid w:val="00DA1CD9"/>
    <w:rPr>
      <w:rFonts w:ascii="Segoe UI" w:hAnsi="Segoe UI" w:cs="Segoe UI"/>
      <w:sz w:val="18"/>
      <w:szCs w:val="18"/>
    </w:rPr>
  </w:style>
  <w:style w:type="character" w:customStyle="1" w:styleId="BalloonTextChar">
    <w:name w:val="Balloon Text Char"/>
    <w:basedOn w:val="DefaultParagraphFont"/>
    <w:link w:val="BalloonText"/>
    <w:rsid w:val="00DA1CD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7B3F3-B836-4AE6-A4D5-BB48A972B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2025-04-01T10:16:00Z</dcterms:created>
  <dcterms:modified xsi:type="dcterms:W3CDTF">2025-04-01T10:16:00Z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P10_TA-PROV(2025)0040_A10-0029_2025_SV_r</vt:lpwstr>
  </property>
  <property fmtid="{D5CDD505-2E9C-101B-9397-08002B2CF9AE}" pid="4" name="&lt;Type&gt;">
    <vt:lpwstr>RR</vt:lpwstr>
  </property>
</Properties>
</file>