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464F" w14:paraId="0D84A6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3AFE8E" w14:textId="77777777" w:rsidR="00751A4A" w:rsidRPr="0002464F" w:rsidRDefault="000937B9" w:rsidP="0010095E">
            <w:pPr>
              <w:pStyle w:val="EPName"/>
            </w:pPr>
            <w:r w:rsidRPr="0002464F">
              <w:t>Evropský parlament</w:t>
            </w:r>
          </w:p>
          <w:p w14:paraId="6544422F" w14:textId="77777777" w:rsidR="00751A4A" w:rsidRPr="0002464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464F">
              <w:t>2024</w:t>
            </w:r>
            <w:r w:rsidR="00817416" w:rsidRPr="0002464F">
              <w:t>-202</w:t>
            </w:r>
            <w:r w:rsidRPr="0002464F">
              <w:t>9</w:t>
            </w:r>
          </w:p>
        </w:tc>
        <w:tc>
          <w:tcPr>
            <w:tcW w:w="2268" w:type="dxa"/>
            <w:shd w:val="clear" w:color="auto" w:fill="auto"/>
          </w:tcPr>
          <w:p w14:paraId="06ABF28C" w14:textId="77777777" w:rsidR="00751A4A" w:rsidRPr="0002464F" w:rsidRDefault="00187494" w:rsidP="0010095E">
            <w:pPr>
              <w:pStyle w:val="EPLogo"/>
            </w:pPr>
            <w:r w:rsidRPr="0002464F">
              <w:rPr>
                <w:noProof/>
                <w:lang w:val="en-GB"/>
              </w:rPr>
              <w:drawing>
                <wp:inline distT="0" distB="0" distL="0" distR="0" wp14:anchorId="2EF8CBED" wp14:editId="19B41E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FFB3F5" w14:textId="77777777" w:rsidR="00D058B8" w:rsidRPr="0002464F" w:rsidRDefault="00D058B8" w:rsidP="004C5D52">
      <w:pPr>
        <w:pStyle w:val="LineTop"/>
      </w:pPr>
    </w:p>
    <w:p w14:paraId="50A77B4B" w14:textId="77777777" w:rsidR="00680577" w:rsidRPr="0002464F" w:rsidRDefault="000937B9" w:rsidP="00680577">
      <w:pPr>
        <w:pStyle w:val="EPBodyTA1"/>
      </w:pPr>
      <w:r w:rsidRPr="0002464F">
        <w:t>PŘIJATÉ TEXTY</w:t>
      </w:r>
    </w:p>
    <w:p w14:paraId="4431DC6A" w14:textId="77777777" w:rsidR="00D058B8" w:rsidRPr="0002464F" w:rsidRDefault="00D058B8" w:rsidP="00D058B8">
      <w:pPr>
        <w:pStyle w:val="LineBottom"/>
      </w:pPr>
    </w:p>
    <w:p w14:paraId="47E1A520" w14:textId="14CBA867" w:rsidR="000937B9" w:rsidRPr="0002464F" w:rsidRDefault="000937B9" w:rsidP="000937B9">
      <w:pPr>
        <w:pStyle w:val="ATHeading1"/>
      </w:pPr>
      <w:bookmarkStart w:id="0" w:name="TANumber"/>
      <w:r w:rsidRPr="0002464F">
        <w:t>P10_TA(2025)00</w:t>
      </w:r>
      <w:r w:rsidR="00887CBC">
        <w:t>41</w:t>
      </w:r>
      <w:bookmarkStart w:id="1" w:name="_GoBack"/>
      <w:bookmarkEnd w:id="0"/>
      <w:bookmarkEnd w:id="1"/>
    </w:p>
    <w:p w14:paraId="36889591" w14:textId="77777777" w:rsidR="000937B9" w:rsidRPr="0002464F" w:rsidRDefault="000937B9" w:rsidP="000937B9">
      <w:pPr>
        <w:pStyle w:val="ATHeading2"/>
      </w:pPr>
      <w:bookmarkStart w:id="2" w:name="title"/>
      <w:r w:rsidRPr="00072BE2">
        <w:t>Žádost, aby byl Petr Bystron zbaven imunity</w:t>
      </w:r>
      <w:bookmarkEnd w:id="2"/>
    </w:p>
    <w:p w14:paraId="30DEA675" w14:textId="77777777" w:rsidR="000937B9" w:rsidRPr="0002464F" w:rsidRDefault="000937B9" w:rsidP="000937B9">
      <w:pPr>
        <w:rPr>
          <w:i/>
          <w:vanish/>
        </w:rPr>
      </w:pPr>
      <w:r w:rsidRPr="0002464F">
        <w:rPr>
          <w:i/>
        </w:rPr>
        <w:fldChar w:fldCharType="begin"/>
      </w:r>
      <w:r w:rsidRPr="0002464F">
        <w:rPr>
          <w:i/>
        </w:rPr>
        <w:instrText xml:space="preserve"> TC"(</w:instrText>
      </w:r>
      <w:bookmarkStart w:id="3" w:name="DocNumber"/>
      <w:r w:rsidRPr="0002464F">
        <w:rPr>
          <w:i/>
        </w:rPr>
        <w:instrText>A10-0030/2025</w:instrText>
      </w:r>
      <w:bookmarkEnd w:id="3"/>
      <w:r w:rsidRPr="0002464F">
        <w:rPr>
          <w:i/>
        </w:rPr>
        <w:instrText xml:space="preserve"> - Zpravodaj: Dominik Tarczyński)"\l3 \n&gt; \* MERGEFORMAT </w:instrText>
      </w:r>
      <w:r w:rsidRPr="0002464F">
        <w:rPr>
          <w:i/>
        </w:rPr>
        <w:fldChar w:fldCharType="end"/>
      </w:r>
    </w:p>
    <w:p w14:paraId="68A4949E" w14:textId="77777777" w:rsidR="000937B9" w:rsidRPr="0002464F" w:rsidRDefault="000937B9" w:rsidP="000937B9">
      <w:pPr>
        <w:rPr>
          <w:vanish/>
        </w:rPr>
      </w:pPr>
      <w:bookmarkStart w:id="4" w:name="Commission"/>
      <w:r w:rsidRPr="0002464F">
        <w:rPr>
          <w:vanish/>
        </w:rPr>
        <w:t>Výbor pro právní záležitosti</w:t>
      </w:r>
      <w:bookmarkEnd w:id="4"/>
    </w:p>
    <w:p w14:paraId="0CE6617F" w14:textId="77777777" w:rsidR="000937B9" w:rsidRPr="0002464F" w:rsidRDefault="000937B9" w:rsidP="000937B9">
      <w:pPr>
        <w:rPr>
          <w:vanish/>
        </w:rPr>
      </w:pPr>
      <w:bookmarkStart w:id="5" w:name="PE"/>
      <w:r w:rsidRPr="0002464F">
        <w:rPr>
          <w:vanish/>
        </w:rPr>
        <w:t>PE766.948</w:t>
      </w:r>
      <w:bookmarkEnd w:id="5"/>
    </w:p>
    <w:p w14:paraId="7D36EE6B" w14:textId="77777777" w:rsidR="000937B9" w:rsidRPr="0002464F" w:rsidRDefault="000937B9" w:rsidP="000937B9">
      <w:pPr>
        <w:pStyle w:val="ATHeading3"/>
      </w:pPr>
      <w:bookmarkStart w:id="6" w:name="Sujet"/>
      <w:r w:rsidRPr="0002464F">
        <w:t xml:space="preserve">Rozhodnutí </w:t>
      </w:r>
      <w:r w:rsidR="0000657C">
        <w:t>Evropského parlament</w:t>
      </w:r>
      <w:r w:rsidR="006A0FCD">
        <w:t>u ze dne 1</w:t>
      </w:r>
      <w:r w:rsidR="0000657C">
        <w:t>. dubna</w:t>
      </w:r>
      <w:r w:rsidRPr="0002464F">
        <w:t xml:space="preserve"> 2025 o žádosti, aby byl Petr Bystron zbaven imunity</w:t>
      </w:r>
      <w:bookmarkEnd w:id="6"/>
      <w:r w:rsidRPr="0002464F">
        <w:t xml:space="preserve"> </w:t>
      </w:r>
      <w:bookmarkStart w:id="7" w:name="References"/>
      <w:r w:rsidRPr="0002464F">
        <w:t>(2024/2048(IMM))</w:t>
      </w:r>
      <w:bookmarkEnd w:id="7"/>
    </w:p>
    <w:p w14:paraId="3F65824C" w14:textId="77777777" w:rsidR="00A37B5B" w:rsidRPr="0002464F" w:rsidRDefault="00A37B5B" w:rsidP="00A37B5B">
      <w:pPr>
        <w:pStyle w:val="EPComma"/>
      </w:pPr>
      <w:bookmarkStart w:id="8" w:name="TextBodyBegin"/>
      <w:bookmarkEnd w:id="8"/>
      <w:r w:rsidRPr="0002464F">
        <w:rPr>
          <w:i/>
        </w:rPr>
        <w:t>Evropský parlament</w:t>
      </w:r>
      <w:r w:rsidRPr="0002464F">
        <w:t>,</w:t>
      </w:r>
    </w:p>
    <w:p w14:paraId="3444682A" w14:textId="77777777" w:rsidR="00A37B5B" w:rsidRPr="0002464F" w:rsidRDefault="00A37B5B" w:rsidP="00A37B5B">
      <w:pPr>
        <w:pStyle w:val="NormalHanging12a"/>
      </w:pPr>
      <w:r w:rsidRPr="0002464F">
        <w:t>–</w:t>
      </w:r>
      <w:r w:rsidRPr="0002464F">
        <w:tab/>
        <w:t xml:space="preserve">s ohledem na žádost, aby byl Petr Bystron zbaven imunity, kterou Parlament obdržel dopisem německého spolkového ministerstva spravedlnosti ze dne 27. srpna 2024, v němž ministerstvo předává žádost nejvyššího státního zástupce v Mnichově I v souvislosti s trestním řízením probíhajícím u okresního soudu v Mnichově, a která byla oznámena na plenárním zasedání dne 16. září 2024, </w:t>
      </w:r>
    </w:p>
    <w:p w14:paraId="3F5CE2D5" w14:textId="77777777" w:rsidR="00A37B5B" w:rsidRPr="0002464F" w:rsidRDefault="00A37B5B" w:rsidP="00A37B5B">
      <w:pPr>
        <w:pStyle w:val="NormalHanging12a"/>
      </w:pPr>
      <w:r w:rsidRPr="0002464F">
        <w:t>–</w:t>
      </w:r>
      <w:r w:rsidRPr="0002464F">
        <w:tab/>
        <w:t>poté, co dne 29. ledna 2025 Petr Bystron dostal příležitost vyjádřit se v souladu s čl. 9 odst. 6 jednacího řádu, a s ohledem na dokumenty, které předložil během slyšení,</w:t>
      </w:r>
    </w:p>
    <w:p w14:paraId="6976DB78" w14:textId="61F366EC" w:rsidR="00A37B5B" w:rsidRPr="0002464F" w:rsidRDefault="00A37B5B" w:rsidP="00A37B5B">
      <w:pPr>
        <w:pStyle w:val="NormalHanging12a"/>
      </w:pPr>
      <w:r w:rsidRPr="0002464F">
        <w:t>–</w:t>
      </w:r>
      <w:r w:rsidRPr="0002464F">
        <w:tab/>
        <w:t xml:space="preserve">s ohledem na články 8 a 9 Protokolu č. 7 o výsadách a imunitách Evropské unie a na čl. 6 odst. 2 </w:t>
      </w:r>
      <w:r w:rsidR="006A0FCD">
        <w:t>a</w:t>
      </w:r>
      <w:r w:rsidRPr="0002464F">
        <w:t>ktu ze dne 20. září 1976 o volbě členů Evropského parlamentu ve všeobecných a přímých volbách,</w:t>
      </w:r>
    </w:p>
    <w:p w14:paraId="0FCE7F7C" w14:textId="77777777" w:rsidR="00A37B5B" w:rsidRPr="0002464F" w:rsidRDefault="00A37B5B" w:rsidP="00A37B5B">
      <w:pPr>
        <w:pStyle w:val="NormalHanging12a"/>
      </w:pPr>
      <w:r w:rsidRPr="0002464F">
        <w:t>–</w:t>
      </w:r>
      <w:r w:rsidRPr="0002464F">
        <w:tab/>
        <w:t>s ohledem na rozsudky Soudního dvora Evropské unie ze dne 21. října 2008, 19. března 2010, 6. září 2011, 17. ledna 2013, 19. prosince 2019 a 5. července 2023</w:t>
      </w:r>
      <w:r w:rsidRPr="0002464F">
        <w:rPr>
          <w:rStyle w:val="FootnoteReference"/>
        </w:rPr>
        <w:footnoteReference w:id="1"/>
      </w:r>
      <w:r w:rsidRPr="0002464F">
        <w:t>,</w:t>
      </w:r>
    </w:p>
    <w:p w14:paraId="7FFD794E" w14:textId="77777777" w:rsidR="00A37B5B" w:rsidRPr="0002464F" w:rsidRDefault="00A37B5B" w:rsidP="00A37B5B">
      <w:pPr>
        <w:pStyle w:val="NormalHanging12a"/>
      </w:pPr>
      <w:r w:rsidRPr="0002464F">
        <w:t>–</w:t>
      </w:r>
      <w:r w:rsidRPr="0002464F">
        <w:tab/>
        <w:t>s ohledem na článek 46 Základního zákona Spolkové republiky Německo,</w:t>
      </w:r>
    </w:p>
    <w:p w14:paraId="3A23AD8E" w14:textId="77777777" w:rsidR="00A37B5B" w:rsidRPr="0002464F" w:rsidRDefault="00A37B5B" w:rsidP="00A37B5B">
      <w:pPr>
        <w:pStyle w:val="NormalHanging12a"/>
      </w:pPr>
      <w:r w:rsidRPr="0002464F">
        <w:t>–</w:t>
      </w:r>
      <w:r w:rsidRPr="0002464F">
        <w:tab/>
        <w:t>s ohledem na čl. 5 odst. 2, čl. 6 odst. 1 a článek 9 jednacího řádu,</w:t>
      </w:r>
    </w:p>
    <w:p w14:paraId="05C6031F" w14:textId="77777777" w:rsidR="00A37B5B" w:rsidRPr="0002464F" w:rsidRDefault="00A37B5B" w:rsidP="00A37B5B">
      <w:pPr>
        <w:pStyle w:val="NormalHanging12a"/>
      </w:pPr>
      <w:r w:rsidRPr="0002464F">
        <w:t>–</w:t>
      </w:r>
      <w:r w:rsidRPr="0002464F">
        <w:tab/>
        <w:t>s ohledem na zprávu Výboru pro právní záležitosti (A10</w:t>
      </w:r>
      <w:r w:rsidRPr="0002464F">
        <w:noBreakHyphen/>
        <w:t>0030/2025),</w:t>
      </w:r>
    </w:p>
    <w:p w14:paraId="18726A45" w14:textId="59D9FEC9" w:rsidR="00A37B5B" w:rsidRPr="0002464F" w:rsidRDefault="00A37B5B" w:rsidP="00A37B5B">
      <w:pPr>
        <w:pStyle w:val="NormalHanging12a"/>
      </w:pPr>
      <w:r w:rsidRPr="0002464F">
        <w:t>A.</w:t>
      </w:r>
      <w:r w:rsidRPr="0002464F">
        <w:tab/>
        <w:t xml:space="preserve">vzhledem k tomu, že nejvyšší státní zástupce v Mnichově I požádal, aby byl Petr Bystron, poslanec Evropského parlamentu, zbaven poslanecké imunity v souvislosti </w:t>
      </w:r>
      <w:r w:rsidRPr="0002464F">
        <w:lastRenderedPageBreak/>
        <w:t xml:space="preserve">s obviněními, která proti němu byla vznesena podle § 86a německého trestního zákoníku a v souvislosti s § 86 </w:t>
      </w:r>
      <w:r w:rsidR="00465FFF">
        <w:t>tohoto</w:t>
      </w:r>
      <w:r w:rsidR="00465FFF" w:rsidRPr="0002464F">
        <w:t xml:space="preserve"> </w:t>
      </w:r>
      <w:r w:rsidRPr="0002464F">
        <w:t>zákoníku, pokud jde o údajné používání symbolů protiústavních a teroristických organizací;</w:t>
      </w:r>
    </w:p>
    <w:p w14:paraId="7863A0C5" w14:textId="337E789D" w:rsidR="00A37B5B" w:rsidRPr="0002464F" w:rsidRDefault="00A37B5B" w:rsidP="00A37B5B">
      <w:pPr>
        <w:pStyle w:val="NormalHanging12a"/>
      </w:pPr>
      <w:r w:rsidRPr="0002464F">
        <w:rPr>
          <w:shd w:val="clear" w:color="auto" w:fill="FFFFFF"/>
        </w:rPr>
        <w:t>B.</w:t>
      </w:r>
      <w:r w:rsidRPr="0002464F">
        <w:rPr>
          <w:shd w:val="clear" w:color="auto" w:fill="FFFFFF"/>
        </w:rPr>
        <w:tab/>
      </w:r>
      <w:r w:rsidRPr="0002464F">
        <w:t xml:space="preserve">vzhledem k tomu, že v žádosti se uvádí, že poté, co byl dne 12. července 2022 odvolán ukrajinský velvyslanec v Německu z funkce, </w:t>
      </w:r>
      <w:r w:rsidRPr="0002464F">
        <w:rPr>
          <w:shd w:val="clear" w:color="auto" w:fill="FFFFFF"/>
        </w:rPr>
        <w:t>Petr Bystron</w:t>
      </w:r>
      <w:r w:rsidRPr="0002464F">
        <w:t xml:space="preserve"> na svém účtu na Twitteru údajně zveřejnil fotomontáž tvořenou výstřižky fotografií osob, které dříve zastávaly vysokou veřejnou funkci, přičemž všechny mají zdviženou pravou nebo levou paži, s nataženou dlaní a prsty směřujícími vzhůru; vzhledem k tomu, že zveřejněnou koláž doprovází popisek „Bye, bye […]! Němečtí politici mávají na rozloučenou!“</w:t>
      </w:r>
      <w:r w:rsidR="00410459">
        <w:rPr>
          <w:rStyle w:val="FootnoteReference"/>
        </w:rPr>
        <w:footnoteReference w:id="2"/>
      </w:r>
      <w:r w:rsidRPr="0002464F">
        <w:t xml:space="preserve">; vzhledem k tomu, že </w:t>
      </w:r>
      <w:r w:rsidRPr="0002464F">
        <w:rPr>
          <w:shd w:val="clear" w:color="auto" w:fill="FFFFFF"/>
        </w:rPr>
        <w:t>Petr Bystron</w:t>
      </w:r>
      <w:r w:rsidRPr="0002464F">
        <w:t xml:space="preserve"> byl obviněn z toho, že přinejmenším mlčky akceptoval, že tato fotomontáž vyvolá u objektivního uživatele Twitteru dojem, že vyobrazená poloha paže je „Hitlerovým pozdravem“, což byla forma pozdravu používaná nacistickým režimem; vzhledem k tomu, že </w:t>
      </w:r>
      <w:r w:rsidRPr="0002464F">
        <w:rPr>
          <w:shd w:val="clear" w:color="auto" w:fill="FFFFFF"/>
        </w:rPr>
        <w:t>Petr Bystron</w:t>
      </w:r>
      <w:r w:rsidRPr="0002464F">
        <w:t xml:space="preserve"> byl obžalován z toho, že v Německu šířil nebo veřejně používal symboly protiústavních a teroristických organizací;</w:t>
      </w:r>
    </w:p>
    <w:p w14:paraId="211B9F41" w14:textId="77777777" w:rsidR="00A37B5B" w:rsidRPr="0002464F" w:rsidRDefault="00A37B5B" w:rsidP="00A37B5B">
      <w:pPr>
        <w:pStyle w:val="NormalHanging12a"/>
      </w:pPr>
      <w:r w:rsidRPr="0002464F">
        <w:t>C.</w:t>
      </w:r>
      <w:r w:rsidRPr="0002464F">
        <w:tab/>
        <w:t>vzhledem k tomu, že po provedení šetření podaly příslušné orgány žádost, aby byl Petr Bystron zbaven imunity, kterou zaslaly německému Spolkovému sněmu, jehož byl v té době členem; vzhledem k tomu, že německý Spolkový sněm jej dne 7. září 2023 zbavil imunity;</w:t>
      </w:r>
    </w:p>
    <w:p w14:paraId="3BB9337D" w14:textId="77777777" w:rsidR="00A37B5B" w:rsidRPr="0002464F" w:rsidRDefault="00A37B5B" w:rsidP="00A37B5B">
      <w:pPr>
        <w:pStyle w:val="NormalHanging12a"/>
      </w:pPr>
      <w:r w:rsidRPr="0002464F">
        <w:t>D.</w:t>
      </w:r>
      <w:r w:rsidRPr="0002464F">
        <w:tab/>
      </w:r>
      <w:r w:rsidRPr="0002464F">
        <w:rPr>
          <w:shd w:val="clear" w:color="auto" w:fill="FFFFFF"/>
        </w:rPr>
        <w:t>vzhledem k tomu, že Petr Bystron byl v evropských volbách v roce 2024 zvolen do Evropského parlamentu; vzhledem</w:t>
      </w:r>
      <w:r w:rsidRPr="0002464F">
        <w:t xml:space="preserve"> k tomu, že po oznámení konečného výsledku voleb příslušné orgány rozhodnutím ze dne 9. července 2024 dočasně pozastavily trestní řízení proti němu s cílem přistoupit k podání žádosti, aby byl zbaven imunity;</w:t>
      </w:r>
    </w:p>
    <w:p w14:paraId="4AF92910" w14:textId="77777777" w:rsidR="00A37B5B" w:rsidRPr="0002464F" w:rsidRDefault="00A37B5B" w:rsidP="00A37B5B">
      <w:pPr>
        <w:pStyle w:val="NormalHanging12a"/>
      </w:pPr>
      <w:r w:rsidRPr="0002464F">
        <w:t>E.</w:t>
      </w:r>
      <w:r w:rsidRPr="0002464F">
        <w:tab/>
        <w:t xml:space="preserve">vzhledem k tomu, že Petr Bystron </w:t>
      </w:r>
      <w:r w:rsidRPr="0002464F">
        <w:rPr>
          <w:shd w:val="clear" w:color="auto" w:fill="FFFFFF"/>
        </w:rPr>
        <w:t>nebyl v době údajného trestného činu poslancem Evropského parlamentu</w:t>
      </w:r>
      <w:r w:rsidRPr="0002464F">
        <w:t>;</w:t>
      </w:r>
    </w:p>
    <w:p w14:paraId="53A91ECE" w14:textId="77777777" w:rsidR="00A37B5B" w:rsidRPr="0002464F" w:rsidRDefault="00A37B5B" w:rsidP="00A37B5B">
      <w:pPr>
        <w:pStyle w:val="NormalHanging12a"/>
      </w:pPr>
      <w:r w:rsidRPr="0002464F">
        <w:t>F.</w:t>
      </w:r>
      <w:r w:rsidRPr="0002464F">
        <w:tab/>
        <w:t>vzhledem k tomu, že údajný trestný čin a následná žádost o zbavení imunity nemá souvislost s názory či hlasováním Petra Bystroně během výkonu jeho funkce ve smyslu článku 8 Protokolu č. 7 o výsadách a imunitách Evropské unie;</w:t>
      </w:r>
    </w:p>
    <w:p w14:paraId="1A0FB66E" w14:textId="77777777" w:rsidR="00A37B5B" w:rsidRPr="0002464F" w:rsidRDefault="00A37B5B" w:rsidP="00A37B5B">
      <w:pPr>
        <w:pStyle w:val="NormalHanging12a"/>
      </w:pPr>
      <w:r w:rsidRPr="0002464F">
        <w:t>G.</w:t>
      </w:r>
      <w:r w:rsidRPr="0002464F">
        <w:tab/>
        <w:t>vzhledem k tomu, že čl. 9 první pododstavec písm. a) Protokolu č. 7 o výsadách a imunitách Evropské unie stanoví, že členové Evropského parlamentu požívají na území vlastního státu imunit přiznávaných členům parlamentu vlastního státu;</w:t>
      </w:r>
    </w:p>
    <w:p w14:paraId="67D65B85" w14:textId="77777777" w:rsidR="00A37B5B" w:rsidRPr="0002464F" w:rsidRDefault="00A37B5B" w:rsidP="00A37B5B">
      <w:pPr>
        <w:pStyle w:val="NormalHanging12a"/>
      </w:pPr>
      <w:r w:rsidRPr="0002464F">
        <w:t>H.</w:t>
      </w:r>
      <w:r w:rsidRPr="0002464F">
        <w:tab/>
        <w:t>vzhledem k tomu, že čl. 46 odst. 2, 3 a 4 Základního zákona Spolkové republiky Německo stanoví, že:</w:t>
      </w:r>
    </w:p>
    <w:p w14:paraId="2581FB0C" w14:textId="77777777" w:rsidR="00A37B5B" w:rsidRPr="0002464F" w:rsidRDefault="00A37B5B" w:rsidP="006A0FCD">
      <w:pPr>
        <w:pStyle w:val="NormalHanging12a"/>
        <w:ind w:left="1134"/>
      </w:pPr>
      <w:r w:rsidRPr="0002464F">
        <w:t xml:space="preserve">„(2) </w:t>
      </w:r>
      <w:r w:rsidRPr="0002464F">
        <w:tab/>
        <w:t>V případě spáchání trestného činu smí být poslanec stíhán nebo zatčen pouze se souhlasem Spolkového sněmu, pokud nebyl přistižen při činu nebo v průběhu následujícího dne.</w:t>
      </w:r>
    </w:p>
    <w:p w14:paraId="0688CD43" w14:textId="77777777" w:rsidR="00A37B5B" w:rsidRPr="0002464F" w:rsidRDefault="00A37B5B" w:rsidP="006A0FCD">
      <w:pPr>
        <w:pStyle w:val="NormalHanging12a"/>
        <w:ind w:left="1134"/>
      </w:pPr>
      <w:r w:rsidRPr="0002464F">
        <w:t xml:space="preserve">(3) </w:t>
      </w:r>
      <w:r w:rsidRPr="0002464F">
        <w:tab/>
        <w:t>Souhlas Spolkového sněmu je rovněž nutný k jakémukoli omezení osobní svobody poslance nebo k tomu, aby bylo proti poslanci zahájeno řízení podle článku 18.</w:t>
      </w:r>
    </w:p>
    <w:p w14:paraId="493724E8" w14:textId="77777777" w:rsidR="00A37B5B" w:rsidRPr="0002464F" w:rsidRDefault="00A37B5B" w:rsidP="006A0FCD">
      <w:pPr>
        <w:pStyle w:val="NormalHanging12a"/>
        <w:ind w:left="1134"/>
      </w:pPr>
      <w:r w:rsidRPr="0002464F">
        <w:t xml:space="preserve">(4) </w:t>
      </w:r>
      <w:r w:rsidRPr="0002464F">
        <w:tab/>
        <w:t xml:space="preserve">Jakékoli trestní řízení nebo řízení podle článku 18, které je vedeno proti poslanci, </w:t>
      </w:r>
      <w:r w:rsidRPr="0002464F">
        <w:lastRenderedPageBreak/>
        <w:t>jeho zadržování nebo jiné omezení jeho osobní svobody musí být na žádost Spolkového sněmu zastaveno.“;</w:t>
      </w:r>
    </w:p>
    <w:p w14:paraId="638FC081" w14:textId="77777777" w:rsidR="00A37B5B" w:rsidRPr="0002464F" w:rsidRDefault="00A37B5B" w:rsidP="00A37B5B">
      <w:pPr>
        <w:pStyle w:val="NormalHanging12a"/>
      </w:pPr>
      <w:r w:rsidRPr="0002464F">
        <w:t>I.</w:t>
      </w:r>
      <w:r w:rsidRPr="0002464F">
        <w:tab/>
        <w:t>vzhledem k tomu, že účelem poslanecké imunity je chránit Parlament a jeho poslance před soudními řízeními v souvislosti s činností, kterou vykonávají v rámci plnění svých parlamentních povinností a která nemůže být od těchto povinností oddělena;</w:t>
      </w:r>
    </w:p>
    <w:p w14:paraId="1CD9081B" w14:textId="77777777" w:rsidR="00A37B5B" w:rsidRPr="0002464F" w:rsidRDefault="00A37B5B" w:rsidP="00A37B5B">
      <w:pPr>
        <w:pStyle w:val="NormalHanging12a"/>
      </w:pPr>
      <w:r w:rsidRPr="0002464F">
        <w:t>J.</w:t>
      </w:r>
      <w:r w:rsidRPr="0002464F">
        <w:tab/>
        <w:t>vzhledem k tomu, že podle čl. 5 odst. 2 jednacího řádu není poslanecká imunita osobní výsadou poslanců, nýbrž zárukou nezávislosti Evropského parlamentu jako celku a jeho poslanců;</w:t>
      </w:r>
    </w:p>
    <w:p w14:paraId="4D18B538" w14:textId="77777777" w:rsidR="00A37B5B" w:rsidRDefault="00A37B5B" w:rsidP="00A37B5B">
      <w:pPr>
        <w:pStyle w:val="NormalHanging12a"/>
      </w:pPr>
      <w:r w:rsidRPr="0002464F">
        <w:t>K.</w:t>
      </w:r>
      <w:r w:rsidRPr="0002464F">
        <w:tab/>
        <w:t xml:space="preserve">vzhledem k tomu, že v této věci Parlament nenalezl důkazy o existenci </w:t>
      </w:r>
      <w:r w:rsidRPr="0002464F">
        <w:rPr>
          <w:i/>
          <w:iCs/>
        </w:rPr>
        <w:t>fumus persecutionis</w:t>
      </w:r>
      <w:r w:rsidRPr="0002464F">
        <w:t>, tedy skutečností nasvědčujících tomu, že soudní řízení bylo zahájeno s úmyslem poškodit politickou činnost poslance, a tím i Evropského parlamentu;</w:t>
      </w:r>
    </w:p>
    <w:p w14:paraId="47ED1523" w14:textId="77777777" w:rsidR="00A37B5B" w:rsidRPr="0002464F" w:rsidRDefault="00A37B5B" w:rsidP="00A37B5B">
      <w:pPr>
        <w:pStyle w:val="NormalHanging12a"/>
      </w:pPr>
      <w:r w:rsidRPr="0002464F">
        <w:t>L.</w:t>
      </w:r>
      <w:r w:rsidRPr="0002464F">
        <w:tab/>
        <w:t>vzhledem k tomu, že na jedné straně Evropský parlament nelze považovat za soud a že na straně druhé poslanec nemůže být v rámci řízení o zbavení imunity považován za „obžalovaného“</w:t>
      </w:r>
      <w:r w:rsidRPr="0002464F">
        <w:rPr>
          <w:vertAlign w:val="superscript"/>
        </w:rPr>
        <w:footnoteReference w:id="3"/>
      </w:r>
      <w:r w:rsidRPr="0002464F">
        <w:t>;</w:t>
      </w:r>
    </w:p>
    <w:p w14:paraId="6D50B9DA" w14:textId="77777777" w:rsidR="00A37B5B" w:rsidRPr="0002464F" w:rsidRDefault="00A37B5B" w:rsidP="00A37B5B">
      <w:pPr>
        <w:pStyle w:val="NormalHanging12a"/>
      </w:pPr>
      <w:r w:rsidRPr="0002464F">
        <w:t>1.</w:t>
      </w:r>
      <w:r w:rsidRPr="0002464F">
        <w:tab/>
        <w:t>rozhodl, že se Petr Bystron zbavuje imunity;</w:t>
      </w:r>
    </w:p>
    <w:p w14:paraId="4CF6CDBD" w14:textId="77777777" w:rsidR="00A37B5B" w:rsidRPr="0002464F" w:rsidRDefault="00A37B5B" w:rsidP="00A37B5B">
      <w:pPr>
        <w:pStyle w:val="NormalHanging12a"/>
      </w:pPr>
      <w:r w:rsidRPr="0002464F">
        <w:t>2.</w:t>
      </w:r>
      <w:r w:rsidRPr="0002464F">
        <w:tab/>
        <w:t>pověřuje svou předsedkyni, aby ihned předala toto rozhodnutí a zprávu příslušného výboru příslušnému orgánu Německé spolkové republiky a Petru Bystronovi.</w:t>
      </w:r>
    </w:p>
    <w:p w14:paraId="333FBB14" w14:textId="77777777" w:rsidR="00A37B5B" w:rsidRDefault="00A37B5B" w:rsidP="00A37B5B"/>
    <w:sectPr w:rsidR="00A37B5B" w:rsidSect="000246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8CD0C" w14:textId="77777777" w:rsidR="000937B9" w:rsidRPr="0002464F" w:rsidRDefault="000937B9">
      <w:r w:rsidRPr="0002464F">
        <w:separator/>
      </w:r>
    </w:p>
  </w:endnote>
  <w:endnote w:type="continuationSeparator" w:id="0">
    <w:p w14:paraId="5741C6A6" w14:textId="77777777" w:rsidR="000937B9" w:rsidRPr="0002464F" w:rsidRDefault="000937B9">
      <w:r w:rsidRPr="000246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303997" w14:textId="77777777" w:rsidR="00064002" w:rsidRPr="000246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60348" w14:textId="77777777" w:rsidR="00064002" w:rsidRPr="000246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ED8B0" w14:textId="77777777" w:rsidR="00064002" w:rsidRPr="000246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A5E61" w14:textId="77777777" w:rsidR="000937B9" w:rsidRPr="0002464F" w:rsidRDefault="000937B9">
      <w:r w:rsidRPr="0002464F">
        <w:separator/>
      </w:r>
    </w:p>
  </w:footnote>
  <w:footnote w:type="continuationSeparator" w:id="0">
    <w:p w14:paraId="2B48135A" w14:textId="77777777" w:rsidR="000937B9" w:rsidRPr="0002464F" w:rsidRDefault="000937B9">
      <w:r w:rsidRPr="0002464F">
        <w:continuationSeparator/>
      </w:r>
    </w:p>
  </w:footnote>
  <w:footnote w:id="1">
    <w:p w14:paraId="197EB5CD" w14:textId="77777777" w:rsidR="00A37B5B" w:rsidRPr="0002464F" w:rsidRDefault="00A37B5B" w:rsidP="0002464F">
      <w:pPr>
        <w:pStyle w:val="FootnoteText"/>
        <w:ind w:left="567" w:hanging="567"/>
        <w:rPr>
          <w:sz w:val="24"/>
          <w:lang w:val="cs-CZ"/>
        </w:rPr>
      </w:pPr>
      <w:r w:rsidRPr="0002464F">
        <w:rPr>
          <w:rStyle w:val="FootnoteReference"/>
          <w:sz w:val="24"/>
          <w:lang w:val="cs-CZ"/>
        </w:rPr>
        <w:footnoteRef/>
      </w:r>
      <w:r w:rsidR="0002464F" w:rsidRPr="0002464F">
        <w:rPr>
          <w:sz w:val="24"/>
          <w:lang w:val="cs-CZ"/>
        </w:rPr>
        <w:t xml:space="preserve"> </w:t>
      </w:r>
      <w:r w:rsidR="0002464F" w:rsidRPr="0002464F">
        <w:rPr>
          <w:sz w:val="24"/>
          <w:lang w:val="cs-CZ"/>
        </w:rPr>
        <w:tab/>
      </w:r>
      <w:r w:rsidRPr="0002464F">
        <w:rPr>
          <w:sz w:val="24"/>
          <w:lang w:val="cs-CZ"/>
        </w:rPr>
        <w:t>Rozsudek Soudního dvora ze dne 21. října 2008, Marra/De Gregorio a Clemente, C 200/07 a C-201/07, ECLI:EU:C:2008:579; rozsudek Tribunálu ze dne 19. března 2010, Gollnisch/Parlament, T-42/06, ECLI:EU:T:2010:102; rozsudek Soudního dvora ze dne 6. září 2011, Patriciello, C 163/10, ECLI: EU:C:2011:543; rozsudek Tribunálu ze dne 17. ledna 2013, Gollnisch/Parlament, T-346/11 a T-347/11, ECLI:EU:T:2013:23, rozsudek Soudního dvora ze dne 19. prosince 2019, Junqueras Vies, C-502/19, ECLI:EU:C:2019:1115, rozsudek Tribunálu ze dne 5. července 2023, Puigdemont i Casamajó a další/Parlament, T-272/21, ECLI:EU:T:2023:373.</w:t>
      </w:r>
    </w:p>
  </w:footnote>
  <w:footnote w:id="2">
    <w:p w14:paraId="15E600E5" w14:textId="5945FD55" w:rsidR="00410459" w:rsidRPr="00072BE2" w:rsidRDefault="00410459" w:rsidP="00072BE2">
      <w:pPr>
        <w:pStyle w:val="FootnoteText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072BE2">
        <w:rPr>
          <w:lang w:val="cs-CZ"/>
        </w:rPr>
        <w:t xml:space="preserve"> </w:t>
      </w:r>
      <w:r>
        <w:rPr>
          <w:lang w:val="cs-CZ"/>
        </w:rPr>
        <w:tab/>
      </w:r>
      <w:r w:rsidRPr="00072BE2">
        <w:rPr>
          <w:sz w:val="24"/>
          <w:szCs w:val="24"/>
          <w:lang w:val="cs-CZ"/>
        </w:rPr>
        <w:t>Překlad originálu do češtiny</w:t>
      </w:r>
      <w:r>
        <w:rPr>
          <w:sz w:val="24"/>
          <w:szCs w:val="24"/>
          <w:lang w:val="cs-CZ"/>
        </w:rPr>
        <w:t>.</w:t>
      </w:r>
    </w:p>
  </w:footnote>
  <w:footnote w:id="3">
    <w:p w14:paraId="0A6B901F" w14:textId="77777777" w:rsidR="00A37B5B" w:rsidRPr="0002464F" w:rsidRDefault="00A37B5B" w:rsidP="0002464F">
      <w:pPr>
        <w:pStyle w:val="FootnoteText"/>
        <w:ind w:left="567" w:hanging="567"/>
        <w:rPr>
          <w:sz w:val="24"/>
          <w:lang w:val="cs-CZ"/>
        </w:rPr>
      </w:pPr>
      <w:r w:rsidRPr="0002464F">
        <w:rPr>
          <w:rStyle w:val="FootnoteReference"/>
          <w:sz w:val="24"/>
          <w:lang w:val="cs-CZ"/>
        </w:rPr>
        <w:footnoteRef/>
      </w:r>
      <w:r w:rsidR="0002464F" w:rsidRPr="0002464F">
        <w:rPr>
          <w:sz w:val="24"/>
          <w:lang w:val="cs-CZ"/>
        </w:rPr>
        <w:t xml:space="preserve"> </w:t>
      </w:r>
      <w:r w:rsidR="0002464F" w:rsidRPr="0002464F">
        <w:rPr>
          <w:sz w:val="24"/>
          <w:lang w:val="cs-CZ"/>
        </w:rPr>
        <w:tab/>
      </w:r>
      <w:r w:rsidRPr="0002464F">
        <w:rPr>
          <w:sz w:val="24"/>
          <w:lang w:val="cs-CZ"/>
        </w:rPr>
        <w:t>Rozsudek Tribunálu ze dne 30. dubna 2019, Briois v. Evropský 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211A82" w14:textId="77777777" w:rsidR="00064002" w:rsidRPr="000246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41CF4" w14:textId="77777777" w:rsidR="00064002" w:rsidRPr="000246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CFCF7" w14:textId="77777777" w:rsidR="00064002" w:rsidRPr="000246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0/2025"/>
    <w:docVar w:name="dvlangue" w:val="CS"/>
    <w:docVar w:name="dvnumam" w:val="0"/>
    <w:docVar w:name="dvpe" w:val="766.948"/>
    <w:docVar w:name="dvrapporteur" w:val="Zpravodaj: "/>
    <w:docVar w:name="dvtitre" w:val="Rozhodnutí Evropského parlamentu ze dne.... 2025 o žádosti, aby byl Petr Bystron zbaven imunity(2024/2048(IMM))"/>
  </w:docVars>
  <w:rsids>
    <w:rsidRoot w:val="000937B9"/>
    <w:rsid w:val="00002272"/>
    <w:rsid w:val="0000657C"/>
    <w:rsid w:val="0002464F"/>
    <w:rsid w:val="00064002"/>
    <w:rsid w:val="000677B9"/>
    <w:rsid w:val="00072BE2"/>
    <w:rsid w:val="000831BA"/>
    <w:rsid w:val="000937B9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0459"/>
    <w:rsid w:val="00411CCE"/>
    <w:rsid w:val="0041666E"/>
    <w:rsid w:val="00421060"/>
    <w:rsid w:val="00465FF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0FC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2F6"/>
    <w:rsid w:val="00817416"/>
    <w:rsid w:val="00842779"/>
    <w:rsid w:val="00865F67"/>
    <w:rsid w:val="00881A7B"/>
    <w:rsid w:val="008840E5"/>
    <w:rsid w:val="00887B3E"/>
    <w:rsid w:val="00887CBC"/>
    <w:rsid w:val="008C2AC6"/>
    <w:rsid w:val="00930C23"/>
    <w:rsid w:val="0093193B"/>
    <w:rsid w:val="009509D8"/>
    <w:rsid w:val="00950B64"/>
    <w:rsid w:val="00981893"/>
    <w:rsid w:val="00A1687D"/>
    <w:rsid w:val="00A37B5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2E3BD"/>
  <w15:chartTrackingRefBased/>
  <w15:docId w15:val="{056B05D8-83B9-4A63-8495-2BDCC481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37B5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A37B5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A37B5B"/>
    <w:pPr>
      <w:spacing w:after="240"/>
      <w:ind w:left="567" w:hanging="567"/>
    </w:pPr>
  </w:style>
  <w:style w:type="paragraph" w:customStyle="1" w:styleId="Normal24a">
    <w:name w:val="Normal24a"/>
    <w:basedOn w:val="Normal"/>
    <w:rsid w:val="00A37B5B"/>
    <w:pPr>
      <w:spacing w:after="480"/>
    </w:pPr>
    <w:rPr>
      <w:lang w:val="en-GB"/>
    </w:rPr>
  </w:style>
  <w:style w:type="paragraph" w:styleId="Header">
    <w:name w:val="header"/>
    <w:basedOn w:val="Normal"/>
    <w:link w:val="HeaderChar"/>
    <w:rsid w:val="00A37B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37B5B"/>
    <w:rPr>
      <w:sz w:val="24"/>
      <w:lang w:val="cs-CZ"/>
    </w:rPr>
  </w:style>
  <w:style w:type="paragraph" w:customStyle="1" w:styleId="EPFooter">
    <w:name w:val="EPFooter"/>
    <w:basedOn w:val="Normal"/>
    <w:rsid w:val="00A37B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37B5B"/>
    <w:pPr>
      <w:spacing w:before="480" w:after="240"/>
    </w:pPr>
  </w:style>
  <w:style w:type="paragraph" w:styleId="Footer">
    <w:name w:val="footer"/>
    <w:basedOn w:val="Normal"/>
    <w:link w:val="FooterChar"/>
    <w:rsid w:val="000065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0657C"/>
    <w:rPr>
      <w:sz w:val="24"/>
      <w:lang w:val="cs-CZ"/>
    </w:rPr>
  </w:style>
  <w:style w:type="character" w:styleId="CommentReference">
    <w:name w:val="annotation reference"/>
    <w:basedOn w:val="DefaultParagraphFont"/>
    <w:rsid w:val="00465F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5FF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5FFF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465F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5FFF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465F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5FFF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6096C-8311-41A2-963E-6E6DAAC88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872</Words>
  <Characters>4754</Characters>
  <Application>Microsoft Office Word</Application>
  <DocSecurity>0</DocSecurity>
  <Lines>182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2025-04-01T10:19:00Z</dcterms:created>
  <dcterms:modified xsi:type="dcterms:W3CDTF">2025-04-01T10:19:00Z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A10-0030/2025</vt:lpwstr>
  </property>
  <property fmtid="{D5CDD505-2E9C-101B-9397-08002B2CF9AE}" pid="4" name="&lt;Type&gt;">
    <vt:lpwstr>RR</vt:lpwstr>
  </property>
</Properties>
</file>