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3D7" w:rsidTr="0010095E">
        <w:trPr>
          <w:trHeight w:hRule="exact" w:val="1418"/>
        </w:trPr>
        <w:tc>
          <w:tcPr>
            <w:tcW w:w="6804" w:type="dxa"/>
            <w:shd w:val="clear" w:color="auto" w:fill="auto"/>
            <w:vAlign w:val="center"/>
          </w:tcPr>
          <w:p w:rsidR="00751A4A" w:rsidRPr="00CF03D7" w:rsidRDefault="00D81485" w:rsidP="0010095E">
            <w:pPr>
              <w:pStyle w:val="EPName"/>
            </w:pPr>
            <w:r w:rsidRPr="00CF03D7">
              <w:t>Ευρωπαϊκό Κοινοβούλιο</w:t>
            </w:r>
          </w:p>
          <w:p w:rsidR="00751A4A" w:rsidRPr="00CF03D7" w:rsidRDefault="005F1B17" w:rsidP="005F1B17">
            <w:pPr>
              <w:pStyle w:val="EPTerm"/>
              <w:rPr>
                <w:rStyle w:val="HideTWBExt"/>
                <w:noProof w:val="0"/>
                <w:vanish w:val="0"/>
                <w:color w:val="auto"/>
              </w:rPr>
            </w:pPr>
            <w:r w:rsidRPr="00CF03D7">
              <w:t>2024</w:t>
            </w:r>
            <w:r w:rsidR="00817416" w:rsidRPr="00CF03D7">
              <w:t>-202</w:t>
            </w:r>
            <w:r w:rsidRPr="00CF03D7">
              <w:t>9</w:t>
            </w:r>
          </w:p>
        </w:tc>
        <w:tc>
          <w:tcPr>
            <w:tcW w:w="2268" w:type="dxa"/>
            <w:shd w:val="clear" w:color="auto" w:fill="auto"/>
          </w:tcPr>
          <w:p w:rsidR="00751A4A" w:rsidRPr="00CF03D7" w:rsidRDefault="00187494" w:rsidP="0010095E">
            <w:pPr>
              <w:pStyle w:val="EPLogo"/>
            </w:pPr>
            <w:r w:rsidRPr="00CF03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03D7" w:rsidRDefault="00D058B8" w:rsidP="004C5D52">
      <w:pPr>
        <w:pStyle w:val="LineTop"/>
      </w:pPr>
    </w:p>
    <w:p w:rsidR="00680577" w:rsidRPr="00CF03D7" w:rsidRDefault="00D81485" w:rsidP="00680577">
      <w:pPr>
        <w:pStyle w:val="EPBodyTA1"/>
      </w:pPr>
      <w:r w:rsidRPr="00CF03D7">
        <w:t>ΚΕΙΜΕΝΑ ΠΟΥ ΕΓΚΡΙΘΗΚΑΝ</w:t>
      </w:r>
    </w:p>
    <w:p w:rsidR="00D058B8" w:rsidRPr="00CF03D7" w:rsidRDefault="00D058B8" w:rsidP="00D058B8">
      <w:pPr>
        <w:pStyle w:val="LineBottom"/>
      </w:pPr>
    </w:p>
    <w:p w:rsidR="00D81485" w:rsidRPr="00CF03D7" w:rsidRDefault="00D81485" w:rsidP="00D81485">
      <w:pPr>
        <w:pStyle w:val="ATHeading1"/>
      </w:pPr>
      <w:bookmarkStart w:id="0" w:name="TANumber"/>
      <w:r w:rsidRPr="00CF03D7">
        <w:t>P10_TA(2025)00</w:t>
      </w:r>
      <w:r w:rsidR="00E0476C">
        <w:rPr>
          <w:lang w:val="en-GB"/>
        </w:rPr>
        <w:t>41</w:t>
      </w:r>
      <w:bookmarkEnd w:id="0"/>
    </w:p>
    <w:p w:rsidR="00D81485" w:rsidRPr="00CF03D7" w:rsidRDefault="00D81485" w:rsidP="00D81485">
      <w:pPr>
        <w:pStyle w:val="ATHeading2"/>
      </w:pPr>
      <w:bookmarkStart w:id="1" w:name="title"/>
      <w:r w:rsidRPr="00CF03D7">
        <w:t xml:space="preserve">Αίτημα για την άρση της ασυλίας του </w:t>
      </w:r>
      <w:proofErr w:type="spellStart"/>
      <w:r w:rsidRPr="00CF03D7">
        <w:t>Petr</w:t>
      </w:r>
      <w:proofErr w:type="spellEnd"/>
      <w:r w:rsidRPr="00CF03D7">
        <w:t xml:space="preserve"> </w:t>
      </w:r>
      <w:proofErr w:type="spellStart"/>
      <w:r w:rsidRPr="00CF03D7">
        <w:t>Bystron</w:t>
      </w:r>
      <w:bookmarkEnd w:id="1"/>
      <w:proofErr w:type="spellEnd"/>
    </w:p>
    <w:p w:rsidR="00D81485" w:rsidRPr="00CF03D7" w:rsidRDefault="00D81485" w:rsidP="00D81485">
      <w:pPr>
        <w:rPr>
          <w:i/>
          <w:vanish/>
        </w:rPr>
      </w:pPr>
      <w:r w:rsidRPr="00CF03D7">
        <w:rPr>
          <w:i/>
        </w:rPr>
        <w:fldChar w:fldCharType="begin"/>
      </w:r>
      <w:r w:rsidRPr="00CF03D7">
        <w:rPr>
          <w:i/>
        </w:rPr>
        <w:instrText xml:space="preserve"> TC"(</w:instrText>
      </w:r>
      <w:bookmarkStart w:id="2" w:name="DocNumber"/>
      <w:r w:rsidRPr="00CF03D7">
        <w:rPr>
          <w:i/>
        </w:rPr>
        <w:instrText>A10-0030/2025</w:instrText>
      </w:r>
      <w:bookmarkEnd w:id="2"/>
      <w:r w:rsidRPr="00CF03D7">
        <w:rPr>
          <w:i/>
        </w:rPr>
        <w:instrText xml:space="preserve"> - Εισηγητής: Dominik Tarczyński)"\l3 \n&gt; \* MERGEFORMAT </w:instrText>
      </w:r>
      <w:r w:rsidRPr="00CF03D7">
        <w:rPr>
          <w:i/>
        </w:rPr>
        <w:fldChar w:fldCharType="end"/>
      </w:r>
    </w:p>
    <w:p w:rsidR="00D81485" w:rsidRPr="00CF03D7" w:rsidRDefault="00D81485" w:rsidP="00D81485">
      <w:pPr>
        <w:rPr>
          <w:vanish/>
        </w:rPr>
      </w:pPr>
      <w:bookmarkStart w:id="3" w:name="Commission"/>
      <w:r w:rsidRPr="00CF03D7">
        <w:rPr>
          <w:vanish/>
        </w:rPr>
        <w:t>Επιτροπή Νομικών Θεμάτων</w:t>
      </w:r>
      <w:bookmarkEnd w:id="3"/>
    </w:p>
    <w:p w:rsidR="00D81485" w:rsidRPr="00CF03D7" w:rsidRDefault="00D81485" w:rsidP="00D81485">
      <w:pPr>
        <w:rPr>
          <w:vanish/>
        </w:rPr>
      </w:pPr>
      <w:bookmarkStart w:id="4" w:name="PE"/>
      <w:r w:rsidRPr="00CF03D7">
        <w:rPr>
          <w:vanish/>
        </w:rPr>
        <w:t>PE766.948</w:t>
      </w:r>
      <w:bookmarkEnd w:id="4"/>
    </w:p>
    <w:p w:rsidR="00D81485" w:rsidRPr="00CF03D7" w:rsidRDefault="00D81485" w:rsidP="00D81485">
      <w:pPr>
        <w:pStyle w:val="ATHeading3"/>
      </w:pPr>
      <w:bookmarkStart w:id="5" w:name="Sujet"/>
      <w:r w:rsidRPr="00CF03D7">
        <w:t xml:space="preserve">Απόφαση του Ευρωπαϊκού Κοινοβουλίου </w:t>
      </w:r>
      <w:r w:rsidR="0093585C">
        <w:t xml:space="preserve">της 1ης Απριλίου 2025 </w:t>
      </w:r>
      <w:r w:rsidRPr="00CF03D7">
        <w:t xml:space="preserve">σχετικά με το αίτημα για την άρση της ασυλίας του </w:t>
      </w:r>
      <w:proofErr w:type="spellStart"/>
      <w:r w:rsidRPr="00CF03D7">
        <w:t>Petr</w:t>
      </w:r>
      <w:proofErr w:type="spellEnd"/>
      <w:r w:rsidRPr="00CF03D7">
        <w:t xml:space="preserve"> </w:t>
      </w:r>
      <w:proofErr w:type="spellStart"/>
      <w:r w:rsidRPr="00CF03D7">
        <w:t>Bystron</w:t>
      </w:r>
      <w:bookmarkEnd w:id="5"/>
      <w:proofErr w:type="spellEnd"/>
      <w:r w:rsidRPr="00CF03D7">
        <w:t xml:space="preserve"> </w:t>
      </w:r>
      <w:bookmarkStart w:id="6" w:name="References"/>
      <w:r w:rsidRPr="00CF03D7">
        <w:t>(2024/2048(IMM))</w:t>
      </w:r>
      <w:bookmarkEnd w:id="6"/>
    </w:p>
    <w:p w:rsidR="00D3711A" w:rsidRPr="00CF03D7" w:rsidRDefault="00D3711A" w:rsidP="00D3711A">
      <w:pPr>
        <w:pStyle w:val="EPComma"/>
      </w:pPr>
      <w:bookmarkStart w:id="7" w:name="TextBodyBegin"/>
      <w:bookmarkEnd w:id="7"/>
      <w:r w:rsidRPr="00CF03D7">
        <w:rPr>
          <w:i/>
          <w:iCs/>
        </w:rPr>
        <w:t>Το Ευρωπαϊκό Κοινοβούλιο,</w:t>
      </w:r>
    </w:p>
    <w:p w:rsidR="00D3711A" w:rsidRPr="00CF03D7" w:rsidRDefault="00D3711A" w:rsidP="00D3711A">
      <w:pPr>
        <w:pStyle w:val="NormalHanging12a"/>
      </w:pPr>
      <w:r w:rsidRPr="00CF03D7">
        <w:t>–</w:t>
      </w:r>
      <w:r w:rsidRPr="00CF03D7">
        <w:tab/>
        <w:t xml:space="preserve">έχοντας υπόψη το αίτημα για την άρση της ασυλίας του </w:t>
      </w:r>
      <w:proofErr w:type="spellStart"/>
      <w:r w:rsidRPr="00CF03D7">
        <w:t>Petr</w:t>
      </w:r>
      <w:proofErr w:type="spellEnd"/>
      <w:r w:rsidRPr="00CF03D7">
        <w:t xml:space="preserve"> </w:t>
      </w:r>
      <w:proofErr w:type="spellStart"/>
      <w:r w:rsidRPr="00CF03D7">
        <w:t>Bystron</w:t>
      </w:r>
      <w:proofErr w:type="spellEnd"/>
      <w:r w:rsidRPr="00CF03D7">
        <w:t>, που διαβίβασε το γερμανικό Ομοσπονδιακό Υπουργείο Δικαιοσύνης με επιστολή της 27ης Αυ</w:t>
      </w:r>
      <w:bookmarkStart w:id="8" w:name="_GoBack"/>
      <w:bookmarkEnd w:id="8"/>
      <w:r w:rsidRPr="00CF03D7">
        <w:t>γούστου 2024, κατόπιν αιτήματος του γενικού εισαγγελέα του Μονάχου Ι</w:t>
      </w:r>
      <w:r w:rsidR="00F54E29">
        <w:t>,</w:t>
      </w:r>
      <w:r w:rsidRPr="00CF03D7">
        <w:t xml:space="preserve"> σε συνάρτηση με την εκκρεμούσα ποινική διαδικασία ενώπιον του Περιφερειακού Δικαστηρίου του Μονάχου, και το οποίο ανακοινώθηκε στην Ολομέλεια στις 16</w:t>
      </w:r>
      <w:r w:rsidR="00F54E29">
        <w:t> </w:t>
      </w:r>
      <w:r w:rsidRPr="00CF03D7">
        <w:t>Σεπτεμβρίου 2024,</w:t>
      </w:r>
    </w:p>
    <w:p w:rsidR="00D3711A" w:rsidRPr="00CF03D7" w:rsidRDefault="00D3711A" w:rsidP="00D3711A">
      <w:pPr>
        <w:pStyle w:val="NormalHanging12a"/>
      </w:pPr>
      <w:r w:rsidRPr="00CF03D7">
        <w:t>–</w:t>
      </w:r>
      <w:r w:rsidRPr="00CF03D7">
        <w:tab/>
        <w:t xml:space="preserve">έχοντας ακούσει τον </w:t>
      </w:r>
      <w:proofErr w:type="spellStart"/>
      <w:r w:rsidRPr="00CF03D7">
        <w:t>Petr</w:t>
      </w:r>
      <w:proofErr w:type="spellEnd"/>
      <w:r w:rsidRPr="00CF03D7">
        <w:t xml:space="preserve"> </w:t>
      </w:r>
      <w:proofErr w:type="spellStart"/>
      <w:r w:rsidRPr="00CF03D7">
        <w:t>Bystron</w:t>
      </w:r>
      <w:proofErr w:type="spellEnd"/>
      <w:r w:rsidR="00F54E29">
        <w:t>,</w:t>
      </w:r>
      <w:r w:rsidRPr="00CF03D7">
        <w:t xml:space="preserve"> στις 29 Ιανουαρίου 2025, σύμφωνα με το άρθρο 9 παράγραφος 6 του Κανονισμού του, και έχοντας υπόψη τα έγγραφα που προσκόμισε κατά την ακρόαση,</w:t>
      </w:r>
    </w:p>
    <w:p w:rsidR="00D3711A" w:rsidRPr="00CF03D7" w:rsidRDefault="00D3711A" w:rsidP="00D3711A">
      <w:pPr>
        <w:pStyle w:val="NormalHanging12a"/>
      </w:pPr>
      <w:r w:rsidRPr="00CF03D7">
        <w:t>–</w:t>
      </w:r>
      <w:r w:rsidRPr="00CF03D7">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D3711A" w:rsidRPr="00CF03D7" w:rsidRDefault="00D3711A" w:rsidP="00D3711A">
      <w:pPr>
        <w:pStyle w:val="NormalHanging12a"/>
      </w:pPr>
      <w:r w:rsidRPr="00CF03D7">
        <w:t>–</w:t>
      </w:r>
      <w:r w:rsidRPr="00CF03D7">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CF03D7">
        <w:rPr>
          <w:rStyle w:val="FootnoteReference"/>
          <w:color w:val="000000"/>
        </w:rPr>
        <w:footnoteReference w:id="1"/>
      </w:r>
      <w:r w:rsidRPr="00CF03D7">
        <w:t>,</w:t>
      </w:r>
    </w:p>
    <w:p w:rsidR="00D3711A" w:rsidRPr="00CF03D7" w:rsidRDefault="00D3711A" w:rsidP="00D3711A">
      <w:pPr>
        <w:pStyle w:val="NormalHanging12a"/>
      </w:pPr>
      <w:r w:rsidRPr="00CF03D7">
        <w:t>–</w:t>
      </w:r>
      <w:r w:rsidRPr="00CF03D7">
        <w:tab/>
        <w:t xml:space="preserve">έχοντας υπόψη το άρθρο 46 του Θεμελιώδους Νόμου της Ομοσπονδιακής Δημοκρατίας </w:t>
      </w:r>
      <w:r w:rsidRPr="00CF03D7">
        <w:lastRenderedPageBreak/>
        <w:t>της Γερμανίας,</w:t>
      </w:r>
    </w:p>
    <w:p w:rsidR="00D3711A" w:rsidRPr="00CF03D7" w:rsidRDefault="00D3711A" w:rsidP="00D3711A">
      <w:pPr>
        <w:pStyle w:val="NormalHanging12a"/>
      </w:pPr>
      <w:r w:rsidRPr="00CF03D7">
        <w:t>–</w:t>
      </w:r>
      <w:r w:rsidRPr="00CF03D7">
        <w:tab/>
        <w:t>έχοντας υπόψη το άρθρο 5 παράγραφος 2, το άρθρο 6 παράγραφος 1 και το άρθρο 9 του Κανονισμού του,</w:t>
      </w:r>
    </w:p>
    <w:p w:rsidR="00D3711A" w:rsidRPr="00CF03D7" w:rsidRDefault="00D3711A" w:rsidP="00D3711A">
      <w:pPr>
        <w:pStyle w:val="NormalHanging12a"/>
      </w:pPr>
      <w:r w:rsidRPr="00CF03D7">
        <w:t>–</w:t>
      </w:r>
      <w:r w:rsidRPr="00CF03D7">
        <w:tab/>
        <w:t>έχοντας υπόψη την έκθεση της Επιτροπής Νομικών Θεμάτων (A10-0030/2025),</w:t>
      </w:r>
    </w:p>
    <w:p w:rsidR="00D3711A" w:rsidRPr="00CF03D7" w:rsidRDefault="00D3711A" w:rsidP="00D3711A">
      <w:pPr>
        <w:pStyle w:val="NormalHanging12a"/>
      </w:pPr>
      <w:r w:rsidRPr="00CF03D7">
        <w:t>Α.</w:t>
      </w:r>
      <w:r w:rsidRPr="00CF03D7">
        <w:tab/>
        <w:t xml:space="preserve">λαμβάνοντας υπόψη ότι ο γενικός εισαγγελέας του Μονάχου Ι ζήτησε την άρση της ασυλίας του </w:t>
      </w:r>
      <w:proofErr w:type="spellStart"/>
      <w:r w:rsidRPr="00CF03D7">
        <w:t>Petr</w:t>
      </w:r>
      <w:proofErr w:type="spellEnd"/>
      <w:r w:rsidRPr="00CF03D7">
        <w:t xml:space="preserve"> </w:t>
      </w:r>
      <w:proofErr w:type="spellStart"/>
      <w:r w:rsidRPr="00CF03D7">
        <w:t>Bystron</w:t>
      </w:r>
      <w:proofErr w:type="spellEnd"/>
      <w:r w:rsidRPr="00CF03D7">
        <w:t>, βουλευτή του Ευρωπαϊκού Κοινοβουλίου, στο πλαίσιο κατηγοριών που απαγγέλθηκαν εις βάρος του δυνάμει του άρθρου 86α του γερμανικού ποινικού κώδικα και σε συνάρτηση με το άρθρο 86 του</w:t>
      </w:r>
      <w:r w:rsidR="0093585C">
        <w:t xml:space="preserve"> εν λόγω</w:t>
      </w:r>
      <w:r w:rsidRPr="00CF03D7">
        <w:t xml:space="preserve"> κώδικα, αναφορικά με την εικαζόμενη χρήση συμβόλων αντισυνταγματικών και τρομοκρατικών οργανώσεων·</w:t>
      </w:r>
    </w:p>
    <w:p w:rsidR="00D3711A" w:rsidRPr="00CF03D7" w:rsidRDefault="00D3711A" w:rsidP="00D3711A">
      <w:pPr>
        <w:pStyle w:val="NormalHanging12a"/>
      </w:pPr>
      <w:r w:rsidRPr="00CF03D7">
        <w:rPr>
          <w:shd w:val="clear" w:color="auto" w:fill="FFFFFF"/>
        </w:rPr>
        <w:t>Β.</w:t>
      </w:r>
      <w:r w:rsidRPr="00CF03D7">
        <w:rPr>
          <w:shd w:val="clear" w:color="auto" w:fill="FFFFFF"/>
        </w:rPr>
        <w:tab/>
      </w:r>
      <w:r w:rsidRPr="00CF03D7">
        <w:t xml:space="preserve">λαμβάνοντας υπόψη ότι το αίτημα αναφέρει ότι, μετά την παύση του Ουκρανού πρέσβη στη Γερμανία από τα καθήκοντά του στις 12 Ιουλίου 2022, ο </w:t>
      </w:r>
      <w:proofErr w:type="spellStart"/>
      <w:r w:rsidRPr="00CF03D7">
        <w:rPr>
          <w:shd w:val="clear" w:color="auto" w:fill="FFFFFF"/>
        </w:rPr>
        <w:t>Petr</w:t>
      </w:r>
      <w:proofErr w:type="spellEnd"/>
      <w:r w:rsidRPr="00CF03D7">
        <w:rPr>
          <w:shd w:val="clear" w:color="auto" w:fill="FFFFFF"/>
        </w:rPr>
        <w:t xml:space="preserve"> </w:t>
      </w:r>
      <w:proofErr w:type="spellStart"/>
      <w:r w:rsidRPr="00CF03D7">
        <w:rPr>
          <w:shd w:val="clear" w:color="auto" w:fill="FFFFFF"/>
        </w:rPr>
        <w:t>Bystron</w:t>
      </w:r>
      <w:proofErr w:type="spellEnd"/>
      <w:r w:rsidRPr="00CF03D7">
        <w:t xml:space="preserve"> φέρεται να δημοσίευσε φωτομοντάζ στον λογαριασμό του στο Twitter, παρουσιάζοντας αποκόμματα από φωτογραφίες ατόμων που κατείχαν προηγουμένως υψηλά δημόσια αξιώματα, καθένα από τα οποία ανύψωνε το δεξί ή το αριστερό του χέρι με την παλάμη τεντωμένη παράλληλα με το χέρι και τα δάχτυλα να δείχνουν προς τα πάνω· λαμβάνοντας υπόψη ότι το δημοσιευμένο φωτομοντάζ συνοδεύεται από την περιγραφή «Γεια σας, γεια σας [...]! Οι Γερμανοί πολιτικοί σας αποχαιρετούν!»</w:t>
      </w:r>
      <w:r w:rsidRPr="00CF03D7">
        <w:rPr>
          <w:rStyle w:val="FootnoteReference"/>
          <w:color w:val="000000"/>
        </w:rPr>
        <w:footnoteReference w:id="2"/>
      </w:r>
      <w:r w:rsidRPr="00CF03D7">
        <w:t xml:space="preserve">· λαμβάνοντας υπόψη ότι ο </w:t>
      </w:r>
      <w:proofErr w:type="spellStart"/>
      <w:r w:rsidRPr="00CF03D7">
        <w:rPr>
          <w:shd w:val="clear" w:color="auto" w:fill="FFFFFF"/>
        </w:rPr>
        <w:t>Petr</w:t>
      </w:r>
      <w:proofErr w:type="spellEnd"/>
      <w:r w:rsidRPr="00CF03D7">
        <w:rPr>
          <w:shd w:val="clear" w:color="auto" w:fill="FFFFFF"/>
        </w:rPr>
        <w:t xml:space="preserve"> </w:t>
      </w:r>
      <w:proofErr w:type="spellStart"/>
      <w:r w:rsidRPr="00CF03D7">
        <w:rPr>
          <w:shd w:val="clear" w:color="auto" w:fill="FFFFFF"/>
        </w:rPr>
        <w:t>Bystron</w:t>
      </w:r>
      <w:proofErr w:type="spellEnd"/>
      <w:r w:rsidRPr="00CF03D7">
        <w:t xml:space="preserve"> κατηγορήθηκε ότι αποδέχθηκε, τουλάχιστον σιωπηρά, ότι αυτό το φωτομοντάζ θα μπορούσε να δημιουργήσει, σε έναν αμερόληπτο χρήστη του Twitter, την εντύπωση ότι η </w:t>
      </w:r>
      <w:proofErr w:type="spellStart"/>
      <w:r w:rsidRPr="00CF03D7">
        <w:t>απεικονιζόμενη</w:t>
      </w:r>
      <w:proofErr w:type="spellEnd"/>
      <w:r w:rsidRPr="00CF03D7">
        <w:t xml:space="preserve"> χειρονομία ήταν ο «χαιρετισμός του Χίτλερ», καθώς πρόκειται για μια μορφή χαιρετισμού που χρησιμοποιήθηκε από το ναζιστικό καθεστώς· λαμβάνοντας υπόψη ότι απαγγέλθηκε εις βάρος του </w:t>
      </w:r>
      <w:proofErr w:type="spellStart"/>
      <w:r w:rsidRPr="00CF03D7">
        <w:rPr>
          <w:shd w:val="clear" w:color="auto" w:fill="FFFFFF"/>
        </w:rPr>
        <w:t>Petr</w:t>
      </w:r>
      <w:proofErr w:type="spellEnd"/>
      <w:r w:rsidRPr="00CF03D7">
        <w:rPr>
          <w:shd w:val="clear" w:color="auto" w:fill="FFFFFF"/>
        </w:rPr>
        <w:t xml:space="preserve"> </w:t>
      </w:r>
      <w:proofErr w:type="spellStart"/>
      <w:r w:rsidRPr="00CF03D7">
        <w:rPr>
          <w:shd w:val="clear" w:color="auto" w:fill="FFFFFF"/>
        </w:rPr>
        <w:t>Bystron</w:t>
      </w:r>
      <w:proofErr w:type="spellEnd"/>
      <w:r w:rsidRPr="00CF03D7">
        <w:t xml:space="preserve"> κατηγορία για το ότι διένειμε ή χρησιμοποίησε δημοσίως στη Γερμανία σύμβολα αντισυνταγματικών και τρομοκρατικών οργανώσεων·</w:t>
      </w:r>
    </w:p>
    <w:p w:rsidR="00D3711A" w:rsidRPr="00CF03D7" w:rsidRDefault="00D3711A" w:rsidP="00D3711A">
      <w:pPr>
        <w:pStyle w:val="NormalHanging12a"/>
      </w:pPr>
      <w:r w:rsidRPr="00CF03D7">
        <w:t>Γ.</w:t>
      </w:r>
      <w:r w:rsidRPr="00CF03D7">
        <w:tab/>
        <w:t xml:space="preserve">λαμβάνοντας υπόψη ότι, μετά τη διεξαγωγή ερευνών, οι αρμόδιες αρχές υπέβαλαν αίτημα για την άρση της ασυλίας του </w:t>
      </w:r>
      <w:proofErr w:type="spellStart"/>
      <w:r w:rsidRPr="00CF03D7">
        <w:t>Petr</w:t>
      </w:r>
      <w:proofErr w:type="spellEnd"/>
      <w:r w:rsidRPr="00CF03D7">
        <w:t xml:space="preserve"> </w:t>
      </w:r>
      <w:proofErr w:type="spellStart"/>
      <w:r w:rsidRPr="00CF03D7">
        <w:t>Bystron</w:t>
      </w:r>
      <w:proofErr w:type="spellEnd"/>
      <w:r w:rsidRPr="00CF03D7">
        <w:t>, το οποίο απευθυνόταν στη Γερμανική Ομοσπονδιακή Βουλή, της οποίας ήταν βουλευτής εκείνη την περίοδο· λαμβάνοντας υπόψη ότι η Γερμανική Ομοσπονδιακή Βουλή ήρε την ασυλία του στις 7 Σεπτεμβρίου 2023·</w:t>
      </w:r>
    </w:p>
    <w:p w:rsidR="00D3711A" w:rsidRPr="00CF03D7" w:rsidRDefault="00D3711A" w:rsidP="00D3711A">
      <w:pPr>
        <w:pStyle w:val="NormalHanging12a"/>
      </w:pPr>
      <w:r w:rsidRPr="00CF03D7">
        <w:t>Δ.</w:t>
      </w:r>
      <w:r w:rsidRPr="00CF03D7">
        <w:tab/>
      </w:r>
      <w:r w:rsidRPr="00CF03D7">
        <w:rPr>
          <w:shd w:val="clear" w:color="auto" w:fill="FFFFFF"/>
        </w:rPr>
        <w:t xml:space="preserve">λαμβάνοντας υπόψη ότι ο </w:t>
      </w:r>
      <w:proofErr w:type="spellStart"/>
      <w:r w:rsidRPr="00CF03D7">
        <w:rPr>
          <w:shd w:val="clear" w:color="auto" w:fill="FFFFFF"/>
        </w:rPr>
        <w:t>Petr</w:t>
      </w:r>
      <w:proofErr w:type="spellEnd"/>
      <w:r w:rsidRPr="00CF03D7">
        <w:rPr>
          <w:shd w:val="clear" w:color="auto" w:fill="FFFFFF"/>
        </w:rPr>
        <w:t xml:space="preserve"> </w:t>
      </w:r>
      <w:proofErr w:type="spellStart"/>
      <w:r w:rsidRPr="00CF03D7">
        <w:rPr>
          <w:shd w:val="clear" w:color="auto" w:fill="FFFFFF"/>
        </w:rPr>
        <w:t>Bystron</w:t>
      </w:r>
      <w:proofErr w:type="spellEnd"/>
      <w:r w:rsidRPr="00CF03D7">
        <w:rPr>
          <w:shd w:val="clear" w:color="auto" w:fill="FFFFFF"/>
        </w:rPr>
        <w:t xml:space="preserve"> εξελέγη στο Ευρωπαϊκό Κοινοβούλιο στις ευρωπαϊκές εκλογές του 2024· λαμβάνοντας υπόψη ότι</w:t>
      </w:r>
      <w:r w:rsidRPr="00CF03D7">
        <w:t>, μετά την ανακοίνωση του τελικού αποτελέσματος των εκλογών, οι αρμόδιες αρχές, με απόφαση της 9ης Ιουλίου 2024, ανέστειλαν προσωρινά την εις βάρος του ποινική διαδικασία προκειμένου να προχωρήσουν στο αίτημα άρσης της ασυλίας του·</w:t>
      </w:r>
    </w:p>
    <w:p w:rsidR="00D3711A" w:rsidRPr="00CF03D7" w:rsidRDefault="00D3711A" w:rsidP="00D3711A">
      <w:pPr>
        <w:pStyle w:val="NormalHanging12a"/>
      </w:pPr>
      <w:r w:rsidRPr="00CF03D7">
        <w:t>Ε.</w:t>
      </w:r>
      <w:r w:rsidRPr="00CF03D7">
        <w:tab/>
        <w:t xml:space="preserve">λαμβάνοντας υπόψη ότι ο </w:t>
      </w:r>
      <w:proofErr w:type="spellStart"/>
      <w:r w:rsidRPr="00CF03D7">
        <w:rPr>
          <w:shd w:val="clear" w:color="auto" w:fill="FFFFFF"/>
        </w:rPr>
        <w:t>Petr</w:t>
      </w:r>
      <w:proofErr w:type="spellEnd"/>
      <w:r w:rsidRPr="00CF03D7">
        <w:rPr>
          <w:shd w:val="clear" w:color="auto" w:fill="FFFFFF"/>
        </w:rPr>
        <w:t xml:space="preserve"> </w:t>
      </w:r>
      <w:proofErr w:type="spellStart"/>
      <w:r w:rsidRPr="00CF03D7">
        <w:rPr>
          <w:shd w:val="clear" w:color="auto" w:fill="FFFFFF"/>
        </w:rPr>
        <w:t>Bystron</w:t>
      </w:r>
      <w:proofErr w:type="spellEnd"/>
      <w:r w:rsidRPr="00CF03D7">
        <w:t xml:space="preserve"> δεν ήταν βουλευτής του Ευρωπαϊκού Κοινοβουλίου κατά τον χρόνο τέλεσης του εικαζόμενου αδικήματος·</w:t>
      </w:r>
    </w:p>
    <w:p w:rsidR="00D3711A" w:rsidRPr="00CF03D7" w:rsidRDefault="00D3711A" w:rsidP="00D3711A">
      <w:pPr>
        <w:pStyle w:val="NormalHanging12a"/>
      </w:pPr>
      <w:r w:rsidRPr="00CF03D7">
        <w:t>ΣΤ.</w:t>
      </w:r>
      <w:r w:rsidRPr="00CF03D7">
        <w:tab/>
        <w:t xml:space="preserve">λαμβάνοντας υπόψη ότι το εικαζόμενο αδίκημα και το επακόλουθο αίτημα για την άρση της ασυλίας του δεν συνδέονται με έκφραση γνώμης ή ψήφο δοθείσα από τον </w:t>
      </w:r>
      <w:proofErr w:type="spellStart"/>
      <w:r w:rsidRPr="00CF03D7">
        <w:t>Petr</w:t>
      </w:r>
      <w:proofErr w:type="spellEnd"/>
      <w:r w:rsidRPr="00CF03D7">
        <w:t xml:space="preserve"> </w:t>
      </w:r>
      <w:proofErr w:type="spellStart"/>
      <w:r w:rsidRPr="00CF03D7">
        <w:t>Bystron</w:t>
      </w:r>
      <w:proofErr w:type="spellEnd"/>
      <w:r w:rsidRPr="00CF03D7">
        <w:t xml:space="preserve"> κατά την άσκηση των καθηκόντων του υπό την έννοια του άρθρου 8 του Πρωτοκόλλου αριθ. 7 περί των προνομίων και ασυλιών της Ευρωπαϊκής Ένωσης·</w:t>
      </w:r>
    </w:p>
    <w:p w:rsidR="00D3711A" w:rsidRPr="00CF03D7" w:rsidRDefault="00D3711A" w:rsidP="00D3711A">
      <w:pPr>
        <w:pStyle w:val="NormalHanging12a"/>
      </w:pPr>
      <w:r w:rsidRPr="00CF03D7">
        <w:lastRenderedPageBreak/>
        <w:t>Ζ.</w:t>
      </w:r>
      <w:r w:rsidRPr="00CF03D7">
        <w:tab/>
        <w:t xml:space="preserve">λαμβάνοντας υπόψη ότι, όπως προβλέπεται στο άρθρο 9 παράγραφος 1 στοιχείο α) του </w:t>
      </w:r>
      <w:r w:rsidR="00F54E29">
        <w:t>Π</w:t>
      </w:r>
      <w:r w:rsidRPr="00CF03D7">
        <w:t>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D3711A" w:rsidRPr="00CF03D7" w:rsidRDefault="00D3711A" w:rsidP="00D3711A">
      <w:pPr>
        <w:pStyle w:val="NormalHanging12a"/>
      </w:pPr>
      <w:r w:rsidRPr="00CF03D7">
        <w:t>Η.</w:t>
      </w:r>
      <w:r w:rsidRPr="00CF03D7">
        <w:tab/>
        <w:t>λαμβάνοντας υπόψη ότι το άρθρο 46 παράγραφοι 2, 3 και 4 του Θεμελιώδους Νόμου της Ομοσπονδιακής Δημοκρατίας της Γερμανίας ορίζει τα εξής:</w:t>
      </w:r>
    </w:p>
    <w:p w:rsidR="00D3711A" w:rsidRPr="00CF03D7" w:rsidRDefault="00D3711A" w:rsidP="00E0476C">
      <w:pPr>
        <w:pStyle w:val="NormalHanging12a"/>
        <w:ind w:left="1134"/>
      </w:pPr>
      <w:r w:rsidRPr="00CF03D7">
        <w:t>«2)</w:t>
      </w:r>
      <w:r w:rsidRPr="00CF03D7">
        <w:tab/>
        <w:t>Βουλευτής δεν καλείται να λογοδοτήσει ούτε συλλαμβάνεται για αξιόποινη πράξη παρά με άδεια της Ομοσπονδιακής Βουλής, εκτός εάν συλληφθεί επ’ αυτοφώρω ή κατά τη διάρκεια της επόμενης ημέρας.</w:t>
      </w:r>
    </w:p>
    <w:p w:rsidR="00D3711A" w:rsidRPr="00CF03D7" w:rsidRDefault="00D3711A" w:rsidP="00E0476C">
      <w:pPr>
        <w:pStyle w:val="NormalHanging12a"/>
        <w:ind w:left="1134"/>
      </w:pPr>
      <w:r w:rsidRPr="00CF03D7">
        <w:t>3)</w:t>
      </w:r>
      <w:r w:rsidRPr="00CF03D7">
        <w:tab/>
        <w:t>Άδεια της Βουλής απαιτείται ακόμη για κάθε άλλο περιορισμό της προσωπικής ελευθερίας βουλευτή ή για την κίνηση κατά βουλευτή της διαδικασίας του άρθρου 18.</w:t>
      </w:r>
    </w:p>
    <w:p w:rsidR="00D3711A" w:rsidRPr="00CF03D7" w:rsidRDefault="00D3711A" w:rsidP="00E0476C">
      <w:pPr>
        <w:pStyle w:val="NormalHanging12a"/>
        <w:ind w:left="1134"/>
      </w:pPr>
      <w:r w:rsidRPr="00CF03D7">
        <w:t>4)</w:t>
      </w:r>
      <w:r w:rsidRPr="00CF03D7">
        <w:tab/>
        <w:t>Κάθε ποινική δίωξη και κάθε διαδικασία του άρθρου 18 εναντίον βουλευτή, κάθε κράτηση και κάθε άλλος περιορισμός της προσωπικής του ελευθερίας αναστέλλονται, εφόσον το ζητήσει η Ομοσπονδιακή Βουλή.»·</w:t>
      </w:r>
    </w:p>
    <w:p w:rsidR="00D3711A" w:rsidRPr="00CF03D7" w:rsidRDefault="00D3711A" w:rsidP="00D3711A">
      <w:pPr>
        <w:pStyle w:val="NormalHanging12a"/>
      </w:pPr>
      <w:r w:rsidRPr="00CF03D7">
        <w:t>Θ.</w:t>
      </w:r>
      <w:r w:rsidRPr="00CF03D7">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D3711A" w:rsidRPr="00CF03D7" w:rsidRDefault="00D3711A" w:rsidP="00D3711A">
      <w:pPr>
        <w:pStyle w:val="NormalHanging12a"/>
      </w:pPr>
      <w:r w:rsidRPr="00CF03D7">
        <w:t>Ι.</w:t>
      </w:r>
      <w:r w:rsidRPr="00CF03D7">
        <w:tab/>
        <w:t>λαμβάνοντας υπόψη ότι, σύμφωνα με το άρθρο 5 παράγραφος 2 του Κανονισμού του, η ασυλία δεν αποτελεί προσωπικό προνόμιο των βουλευτών, αλλά εγγύηση της ανεξαρτησίας του Κοινοβουλίου στο σύνολό του και των βουλευτών του·</w:t>
      </w:r>
    </w:p>
    <w:p w:rsidR="00D3711A" w:rsidRPr="00CF03D7" w:rsidRDefault="00D3711A" w:rsidP="00D3711A">
      <w:pPr>
        <w:pStyle w:val="NormalHanging12a"/>
      </w:pPr>
      <w:r w:rsidRPr="00CF03D7">
        <w:t>ΙΑ.</w:t>
      </w:r>
      <w:r w:rsidRPr="00CF03D7">
        <w:tab/>
        <w:t xml:space="preserve">λαμβάνοντας υπόψη ότι, στην προκειμένη περίπτωση, το Κοινοβούλιο δεν διαπίστωσε την ύπαρξη ενδείξεων περί </w:t>
      </w:r>
      <w:proofErr w:type="spellStart"/>
      <w:r w:rsidRPr="00CF03D7">
        <w:t>fumus</w:t>
      </w:r>
      <w:proofErr w:type="spellEnd"/>
      <w:r w:rsidRPr="00CF03D7">
        <w:t xml:space="preserve"> </w:t>
      </w:r>
      <w:proofErr w:type="spellStart"/>
      <w:r w:rsidRPr="00CF03D7">
        <w:t>persecutionis</w:t>
      </w:r>
      <w:proofErr w:type="spellEnd"/>
      <w:r w:rsidRPr="00CF03D7">
        <w:t>, δηλαδή πραγματικών στοιχείων που να υποδεικνύουν ότι η επίμαχη δικαστική διαδικασία κινείται με σκοπό να παρακωλυθεί η πολιτική δραστηριότητα του βουλευτή υπό την ιδιότητά του ως μέλους του Ευρωπαϊκού Κοινοβουλίου·</w:t>
      </w:r>
    </w:p>
    <w:p w:rsidR="00D3711A" w:rsidRPr="00CF03D7" w:rsidRDefault="00D3711A" w:rsidP="00D3711A">
      <w:pPr>
        <w:pStyle w:val="NormalHanging12a"/>
      </w:pPr>
      <w:r w:rsidRPr="00CF03D7">
        <w:t>ΙΒ.</w:t>
      </w:r>
      <w:r w:rsidRPr="00CF03D7">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CF03D7">
        <w:rPr>
          <w:vertAlign w:val="superscript"/>
        </w:rPr>
        <w:footnoteReference w:id="3"/>
      </w:r>
      <w:r w:rsidRPr="00CF03D7">
        <w:t>·</w:t>
      </w:r>
    </w:p>
    <w:p w:rsidR="00D3711A" w:rsidRPr="00CF03D7" w:rsidRDefault="00D3711A" w:rsidP="00D3711A">
      <w:pPr>
        <w:pStyle w:val="NormalHanging12a"/>
      </w:pPr>
      <w:r w:rsidRPr="00CF03D7">
        <w:t>1.</w:t>
      </w:r>
      <w:r w:rsidRPr="00CF03D7">
        <w:tab/>
        <w:t>αποφασίζει να άρει τη</w:t>
      </w:r>
      <w:r w:rsidR="00F54E29">
        <w:t>ν</w:t>
      </w:r>
      <w:r w:rsidRPr="00CF03D7">
        <w:t xml:space="preserve"> ασυλία του </w:t>
      </w:r>
      <w:proofErr w:type="spellStart"/>
      <w:r w:rsidRPr="00CF03D7">
        <w:t>Petr</w:t>
      </w:r>
      <w:proofErr w:type="spellEnd"/>
      <w:r w:rsidRPr="00CF03D7">
        <w:t xml:space="preserve"> </w:t>
      </w:r>
      <w:proofErr w:type="spellStart"/>
      <w:r w:rsidRPr="00CF03D7">
        <w:t>Bystron</w:t>
      </w:r>
      <w:proofErr w:type="spellEnd"/>
      <w:r w:rsidRPr="00CF03D7">
        <w:t>·</w:t>
      </w:r>
    </w:p>
    <w:p w:rsidR="00CF03D7" w:rsidRPr="00CF03D7" w:rsidRDefault="00D3711A" w:rsidP="00CF03D7">
      <w:pPr>
        <w:pStyle w:val="NormalHanging12a"/>
      </w:pPr>
      <w:r w:rsidRPr="00CF03D7">
        <w:t>2.</w:t>
      </w:r>
      <w:r w:rsidRPr="00CF03D7">
        <w:tab/>
        <w:t xml:space="preserve">αναθέτει στην Πρόεδρό του να διαβιβάσει αμελλητί την παρούσα απόφαση και την έκθεση της αρμόδιας επιτροπής του στην αρμόδια αρχή της Ομοσπονδιακής Δημοκρατίας της Γερμανίας και στον </w:t>
      </w:r>
      <w:proofErr w:type="spellStart"/>
      <w:r w:rsidRPr="00CF03D7">
        <w:t>Petr</w:t>
      </w:r>
      <w:proofErr w:type="spellEnd"/>
      <w:r w:rsidRPr="00CF03D7">
        <w:t xml:space="preserve"> </w:t>
      </w:r>
      <w:proofErr w:type="spellStart"/>
      <w:r w:rsidRPr="00CF03D7">
        <w:t>Bystron</w:t>
      </w:r>
      <w:proofErr w:type="spellEnd"/>
      <w:r w:rsidRPr="00CF03D7">
        <w:t>.</w:t>
      </w:r>
    </w:p>
    <w:p w:rsidR="00E365E1" w:rsidRPr="00CF03D7" w:rsidRDefault="00E365E1" w:rsidP="00D81485"/>
    <w:sectPr w:rsidR="00E365E1" w:rsidRPr="00CF03D7" w:rsidSect="00CF03D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485" w:rsidRPr="00CF03D7" w:rsidRDefault="00D81485">
      <w:r w:rsidRPr="00CF03D7">
        <w:separator/>
      </w:r>
    </w:p>
  </w:endnote>
  <w:endnote w:type="continuationSeparator" w:id="0">
    <w:p w:rsidR="00D81485" w:rsidRPr="00CF03D7" w:rsidRDefault="00D81485">
      <w:r w:rsidRPr="00CF03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485" w:rsidRPr="00CF03D7" w:rsidRDefault="00D81485">
      <w:r w:rsidRPr="00CF03D7">
        <w:separator/>
      </w:r>
    </w:p>
  </w:footnote>
  <w:footnote w:type="continuationSeparator" w:id="0">
    <w:p w:rsidR="00D81485" w:rsidRPr="00CF03D7" w:rsidRDefault="00D81485">
      <w:r w:rsidRPr="00CF03D7">
        <w:continuationSeparator/>
      </w:r>
    </w:p>
  </w:footnote>
  <w:footnote w:id="1">
    <w:p w:rsidR="00D3711A" w:rsidRPr="00CF03D7" w:rsidRDefault="00D3711A" w:rsidP="00CF03D7">
      <w:pPr>
        <w:pStyle w:val="FootnoteText"/>
        <w:ind w:left="567" w:hanging="567"/>
        <w:rPr>
          <w:sz w:val="24"/>
          <w:lang w:val="el-GR"/>
        </w:rPr>
      </w:pPr>
      <w:r w:rsidRPr="00CF03D7">
        <w:rPr>
          <w:rStyle w:val="FootnoteReference"/>
          <w:sz w:val="24"/>
          <w:lang w:val="el-GR"/>
        </w:rPr>
        <w:footnoteRef/>
      </w:r>
      <w:r w:rsidR="00CF03D7" w:rsidRPr="00CF03D7">
        <w:rPr>
          <w:sz w:val="24"/>
          <w:lang w:val="el-GR"/>
        </w:rPr>
        <w:t xml:space="preserve"> </w:t>
      </w:r>
      <w:r w:rsidR="00CF03D7" w:rsidRPr="00CF03D7">
        <w:rPr>
          <w:sz w:val="24"/>
          <w:lang w:val="el-GR"/>
        </w:rPr>
        <w:tab/>
      </w:r>
      <w:r w:rsidRPr="00CF03D7">
        <w:rPr>
          <w:sz w:val="24"/>
          <w:lang w:val="el-GR"/>
        </w:rPr>
        <w:t xml:space="preserve">Απόφαση του Δικαστηρίου, της 21ης Οκτωβρίου 2008, </w:t>
      </w:r>
      <w:proofErr w:type="spellStart"/>
      <w:r w:rsidRPr="00CF03D7">
        <w:rPr>
          <w:sz w:val="24"/>
          <w:lang w:val="el-GR"/>
        </w:rPr>
        <w:t>Marra</w:t>
      </w:r>
      <w:proofErr w:type="spellEnd"/>
      <w:r w:rsidRPr="00CF03D7">
        <w:rPr>
          <w:sz w:val="24"/>
          <w:lang w:val="el-GR"/>
        </w:rPr>
        <w:t xml:space="preserve"> κατά De </w:t>
      </w:r>
      <w:proofErr w:type="spellStart"/>
      <w:r w:rsidRPr="00CF03D7">
        <w:rPr>
          <w:sz w:val="24"/>
          <w:lang w:val="el-GR"/>
        </w:rPr>
        <w:t>Gregorio</w:t>
      </w:r>
      <w:proofErr w:type="spellEnd"/>
      <w:r w:rsidRPr="00CF03D7">
        <w:rPr>
          <w:sz w:val="24"/>
          <w:lang w:val="el-GR"/>
        </w:rPr>
        <w:t xml:space="preserve"> και </w:t>
      </w:r>
      <w:proofErr w:type="spellStart"/>
      <w:r w:rsidRPr="00CF03D7">
        <w:rPr>
          <w:sz w:val="24"/>
          <w:lang w:val="el-GR"/>
        </w:rPr>
        <w:t>Clemente</w:t>
      </w:r>
      <w:proofErr w:type="spellEnd"/>
      <w:r w:rsidRPr="00CF03D7">
        <w:rPr>
          <w:sz w:val="24"/>
          <w:lang w:val="el-GR"/>
        </w:rPr>
        <w:t xml:space="preserve">, C-200/07 και C-201/07, ECLI:EU:C:2008:579· απόφαση του Γενικού Δικαστηρίου, της 19ης Μαρτίου 2010, </w:t>
      </w:r>
      <w:proofErr w:type="spellStart"/>
      <w:r w:rsidRPr="00CF03D7">
        <w:rPr>
          <w:sz w:val="24"/>
          <w:lang w:val="el-GR"/>
        </w:rPr>
        <w:t>Gollnisch</w:t>
      </w:r>
      <w:proofErr w:type="spellEnd"/>
      <w:r w:rsidRPr="00CF03D7">
        <w:rPr>
          <w:sz w:val="24"/>
          <w:lang w:val="el-GR"/>
        </w:rPr>
        <w:t xml:space="preserve"> κατά Κοινοβουλίου, T-42/06, ECLI:EU:T:2010:102· απόφαση του Δικαστηρίου, της 6ης Σεπτεμβρίου 2011, </w:t>
      </w:r>
      <w:proofErr w:type="spellStart"/>
      <w:r w:rsidRPr="00CF03D7">
        <w:rPr>
          <w:sz w:val="24"/>
          <w:lang w:val="el-GR"/>
        </w:rPr>
        <w:t>Patriciello</w:t>
      </w:r>
      <w:proofErr w:type="spellEnd"/>
      <w:r w:rsidRPr="00CF03D7">
        <w:rPr>
          <w:sz w:val="24"/>
          <w:lang w:val="el-GR"/>
        </w:rPr>
        <w:t xml:space="preserve">, C-163/10, ECLI:EU:C:2011:543· απόφαση του Γενικού Δικαστηρίου, της 17ης Ιανουαρίου 2013, </w:t>
      </w:r>
      <w:proofErr w:type="spellStart"/>
      <w:r w:rsidRPr="00CF03D7">
        <w:rPr>
          <w:sz w:val="24"/>
          <w:lang w:val="el-GR"/>
        </w:rPr>
        <w:t>Gollnisch</w:t>
      </w:r>
      <w:proofErr w:type="spellEnd"/>
      <w:r w:rsidRPr="00CF03D7">
        <w:rPr>
          <w:sz w:val="24"/>
          <w:lang w:val="el-GR"/>
        </w:rPr>
        <w:t xml:space="preserve"> κατά Κοινοβουλίου, T-346/11 και T-347/11, ECLI:EU:T:2013:23· απόφαση του Δικαστηρίου, της 19ης Δεκεμβρίου 2019, </w:t>
      </w:r>
      <w:proofErr w:type="spellStart"/>
      <w:r w:rsidRPr="00CF03D7">
        <w:rPr>
          <w:sz w:val="24"/>
          <w:lang w:val="el-GR"/>
        </w:rPr>
        <w:t>Junqueras</w:t>
      </w:r>
      <w:proofErr w:type="spellEnd"/>
      <w:r w:rsidRPr="00CF03D7">
        <w:rPr>
          <w:sz w:val="24"/>
          <w:lang w:val="el-GR"/>
        </w:rPr>
        <w:t xml:space="preserve"> </w:t>
      </w:r>
      <w:proofErr w:type="spellStart"/>
      <w:r w:rsidRPr="00CF03D7">
        <w:rPr>
          <w:sz w:val="24"/>
          <w:lang w:val="el-GR"/>
        </w:rPr>
        <w:t>Vies</w:t>
      </w:r>
      <w:proofErr w:type="spellEnd"/>
      <w:r w:rsidRPr="00CF03D7">
        <w:rPr>
          <w:sz w:val="24"/>
          <w:lang w:val="el-GR"/>
        </w:rPr>
        <w:t xml:space="preserve">, C-502/19, ECLI:EU:C:2019:1115· απόφαση του Γενικού Δικαστηρίου, της 5ης Ιουλίου 2023, </w:t>
      </w:r>
      <w:proofErr w:type="spellStart"/>
      <w:r w:rsidRPr="00CF03D7">
        <w:rPr>
          <w:sz w:val="24"/>
          <w:lang w:val="el-GR"/>
        </w:rPr>
        <w:t>Puigdemont</w:t>
      </w:r>
      <w:proofErr w:type="spellEnd"/>
      <w:r w:rsidRPr="00CF03D7">
        <w:rPr>
          <w:sz w:val="24"/>
          <w:lang w:val="el-GR"/>
        </w:rPr>
        <w:t xml:space="preserve"> i </w:t>
      </w:r>
      <w:proofErr w:type="spellStart"/>
      <w:r w:rsidRPr="00CF03D7">
        <w:rPr>
          <w:sz w:val="24"/>
          <w:lang w:val="el-GR"/>
        </w:rPr>
        <w:t>Casamajó</w:t>
      </w:r>
      <w:proofErr w:type="spellEnd"/>
      <w:r w:rsidRPr="00CF03D7">
        <w:rPr>
          <w:sz w:val="24"/>
          <w:lang w:val="el-GR"/>
        </w:rPr>
        <w:t xml:space="preserve"> κ.λπ. κατά Ευρωπαϊκού Κοινοβουλίου, T-272/21, ECLI:EU:T:2023:373.</w:t>
      </w:r>
    </w:p>
  </w:footnote>
  <w:footnote w:id="2">
    <w:p w:rsidR="00D3711A" w:rsidRPr="00CF03D7" w:rsidRDefault="00D3711A" w:rsidP="00CF03D7">
      <w:pPr>
        <w:pStyle w:val="FootnoteText"/>
        <w:ind w:left="567" w:hanging="567"/>
        <w:rPr>
          <w:sz w:val="24"/>
          <w:lang w:val="el-GR"/>
        </w:rPr>
      </w:pPr>
      <w:r w:rsidRPr="00CF03D7">
        <w:rPr>
          <w:rStyle w:val="FootnoteReference"/>
          <w:sz w:val="24"/>
          <w:lang w:val="el-GR"/>
        </w:rPr>
        <w:footnoteRef/>
      </w:r>
      <w:r w:rsidR="00CF03D7" w:rsidRPr="00CF03D7">
        <w:rPr>
          <w:sz w:val="24"/>
          <w:lang w:val="el-GR"/>
        </w:rPr>
        <w:t xml:space="preserve"> </w:t>
      </w:r>
      <w:r w:rsidR="00CF03D7" w:rsidRPr="00CF03D7">
        <w:rPr>
          <w:sz w:val="24"/>
          <w:lang w:val="el-GR"/>
        </w:rPr>
        <w:tab/>
      </w:r>
      <w:r w:rsidRPr="00CF03D7">
        <w:rPr>
          <w:sz w:val="24"/>
          <w:lang w:val="el-GR"/>
        </w:rPr>
        <w:t>Αγγλική μετάφραση του πρωτοτύπου.</w:t>
      </w:r>
    </w:p>
  </w:footnote>
  <w:footnote w:id="3">
    <w:p w:rsidR="00D3711A" w:rsidRPr="00CF03D7" w:rsidRDefault="00D3711A" w:rsidP="00CF03D7">
      <w:pPr>
        <w:pStyle w:val="FootnoteText"/>
        <w:ind w:left="567" w:hanging="567"/>
        <w:rPr>
          <w:sz w:val="24"/>
          <w:lang w:val="el-GR"/>
        </w:rPr>
      </w:pPr>
      <w:r w:rsidRPr="00CF03D7">
        <w:rPr>
          <w:rStyle w:val="FootnoteReference"/>
          <w:sz w:val="24"/>
          <w:lang w:val="el-GR"/>
        </w:rPr>
        <w:footnoteRef/>
      </w:r>
      <w:r w:rsidR="00CF03D7" w:rsidRPr="00CF03D7">
        <w:rPr>
          <w:sz w:val="24"/>
          <w:lang w:val="el-GR"/>
        </w:rPr>
        <w:t xml:space="preserve"> </w:t>
      </w:r>
      <w:r w:rsidR="00CF03D7" w:rsidRPr="00CF03D7">
        <w:rPr>
          <w:sz w:val="24"/>
          <w:lang w:val="el-GR"/>
        </w:rPr>
        <w:tab/>
      </w:r>
      <w:r w:rsidRPr="00CF03D7">
        <w:rPr>
          <w:sz w:val="24"/>
          <w:lang w:val="el-GR"/>
        </w:rPr>
        <w:t xml:space="preserve">Απόφαση του Γενικού Δικαστηρίου, της 30ής Απριλίου 2019, </w:t>
      </w:r>
      <w:proofErr w:type="spellStart"/>
      <w:r w:rsidRPr="00CF03D7">
        <w:rPr>
          <w:sz w:val="24"/>
          <w:lang w:val="el-GR"/>
        </w:rPr>
        <w:t>Briois</w:t>
      </w:r>
      <w:proofErr w:type="spellEnd"/>
      <w:r w:rsidRPr="00CF03D7">
        <w:rPr>
          <w:sz w:val="24"/>
          <w:lang w:val="el-GR"/>
        </w:rPr>
        <w:t xml:space="preserve"> κατά Κοινοβουλίου,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EL"/>
    <w:docVar w:name="dvnumam" w:val="0"/>
    <w:docVar w:name="dvpe" w:val="766.948"/>
    <w:docVar w:name="dvrapporteur" w:val="Εισηγητής: "/>
    <w:docVar w:name="dvtitre" w:val="Απόφαση του Ευρωπαϊκού Κοινοβουλίου σχετικά με το αίτημα για την άρση της ασυλίας του Petr Bystron(2024/2048(IMM))"/>
  </w:docVars>
  <w:rsids>
    <w:rsidRoot w:val="00D8148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0F4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85C"/>
    <w:rsid w:val="009509D8"/>
    <w:rsid w:val="00950B64"/>
    <w:rsid w:val="00981893"/>
    <w:rsid w:val="00A1687D"/>
    <w:rsid w:val="00A43E52"/>
    <w:rsid w:val="00A4678D"/>
    <w:rsid w:val="00A778C7"/>
    <w:rsid w:val="00AB441E"/>
    <w:rsid w:val="00AB6293"/>
    <w:rsid w:val="00AE0928"/>
    <w:rsid w:val="00AF3B82"/>
    <w:rsid w:val="00B12E95"/>
    <w:rsid w:val="00B14CDE"/>
    <w:rsid w:val="00B22876"/>
    <w:rsid w:val="00B558F0"/>
    <w:rsid w:val="00BD48FE"/>
    <w:rsid w:val="00BD7BD8"/>
    <w:rsid w:val="00BE6ADC"/>
    <w:rsid w:val="00BF1423"/>
    <w:rsid w:val="00C05BFE"/>
    <w:rsid w:val="00C23CD4"/>
    <w:rsid w:val="00C61C0C"/>
    <w:rsid w:val="00C941CB"/>
    <w:rsid w:val="00CC2357"/>
    <w:rsid w:val="00CF03D7"/>
    <w:rsid w:val="00CF071A"/>
    <w:rsid w:val="00D058B8"/>
    <w:rsid w:val="00D3711A"/>
    <w:rsid w:val="00D56C11"/>
    <w:rsid w:val="00D81485"/>
    <w:rsid w:val="00D834A0"/>
    <w:rsid w:val="00D872DF"/>
    <w:rsid w:val="00D91E21"/>
    <w:rsid w:val="00DA7FCD"/>
    <w:rsid w:val="00E0476C"/>
    <w:rsid w:val="00E365E1"/>
    <w:rsid w:val="00E820A4"/>
    <w:rsid w:val="00EB006A"/>
    <w:rsid w:val="00EB4772"/>
    <w:rsid w:val="00ED169E"/>
    <w:rsid w:val="00ED4235"/>
    <w:rsid w:val="00F04346"/>
    <w:rsid w:val="00F075DC"/>
    <w:rsid w:val="00F149E9"/>
    <w:rsid w:val="00F5134D"/>
    <w:rsid w:val="00F54E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6AA5C"/>
  <w15:chartTrackingRefBased/>
  <w15:docId w15:val="{57521305-C484-4972-8749-9E405D183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3711A"/>
    <w:pPr>
      <w:spacing w:after="240"/>
      <w:ind w:left="567" w:hanging="567"/>
    </w:pPr>
  </w:style>
  <w:style w:type="paragraph" w:customStyle="1" w:styleId="EPComma">
    <w:name w:val="EPComma"/>
    <w:basedOn w:val="Normal"/>
    <w:rsid w:val="00D3711A"/>
    <w:pPr>
      <w:spacing w:before="480" w:after="240"/>
    </w:pPr>
  </w:style>
  <w:style w:type="paragraph" w:styleId="Header">
    <w:name w:val="header"/>
    <w:basedOn w:val="Normal"/>
    <w:link w:val="HeaderChar"/>
    <w:rsid w:val="006D0F42"/>
    <w:pPr>
      <w:tabs>
        <w:tab w:val="center" w:pos="4513"/>
        <w:tab w:val="right" w:pos="9026"/>
      </w:tabs>
    </w:pPr>
  </w:style>
  <w:style w:type="character" w:customStyle="1" w:styleId="HeaderChar">
    <w:name w:val="Header Char"/>
    <w:basedOn w:val="DefaultParagraphFont"/>
    <w:link w:val="Header"/>
    <w:rsid w:val="006D0F42"/>
    <w:rPr>
      <w:sz w:val="24"/>
      <w:lang w:val="el-GR"/>
    </w:rPr>
  </w:style>
  <w:style w:type="paragraph" w:styleId="BalloonText">
    <w:name w:val="Balloon Text"/>
    <w:basedOn w:val="Normal"/>
    <w:link w:val="BalloonTextChar"/>
    <w:rsid w:val="0093585C"/>
    <w:rPr>
      <w:rFonts w:ascii="Segoe UI" w:hAnsi="Segoe UI" w:cs="Segoe UI"/>
      <w:sz w:val="18"/>
      <w:szCs w:val="18"/>
    </w:rPr>
  </w:style>
  <w:style w:type="character" w:customStyle="1" w:styleId="BalloonTextChar">
    <w:name w:val="Balloon Text Char"/>
    <w:basedOn w:val="DefaultParagraphFont"/>
    <w:link w:val="BalloonText"/>
    <w:rsid w:val="0093585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825C8-14CE-4093-8FD1-3D890AFF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985</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2025-04-01T10:15:00Z</dcterms:created>
  <dcterms:modified xsi:type="dcterms:W3CDTF">2025-04-01T10:15:00Z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A10-0030/2025</vt:lpwstr>
  </property>
  <property fmtid="{D5CDD505-2E9C-101B-9397-08002B2CF9AE}" pid="4" name="&lt;Type&gt;">
    <vt:lpwstr>RR</vt:lpwstr>
  </property>
</Properties>
</file>