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4BEF" w14:paraId="78A967EF" w14:textId="77777777" w:rsidTr="0010095E">
        <w:trPr>
          <w:trHeight w:hRule="exact" w:val="1418"/>
        </w:trPr>
        <w:tc>
          <w:tcPr>
            <w:tcW w:w="6804" w:type="dxa"/>
            <w:shd w:val="clear" w:color="auto" w:fill="auto"/>
            <w:vAlign w:val="center"/>
          </w:tcPr>
          <w:p w14:paraId="3DD250DE" w14:textId="77777777" w:rsidR="00751A4A" w:rsidRPr="00A84BEF" w:rsidRDefault="00A156EE" w:rsidP="0010095E">
            <w:pPr>
              <w:pStyle w:val="EPName"/>
            </w:pPr>
            <w:r w:rsidRPr="00A84BEF">
              <w:t>Parlamento Europeo</w:t>
            </w:r>
          </w:p>
          <w:p w14:paraId="487527E5" w14:textId="77777777" w:rsidR="00751A4A" w:rsidRPr="00A84BEF" w:rsidRDefault="005F1B17" w:rsidP="005F1B17">
            <w:pPr>
              <w:pStyle w:val="EPTerm"/>
              <w:rPr>
                <w:rStyle w:val="HideTWBExt"/>
                <w:noProof w:val="0"/>
                <w:vanish w:val="0"/>
                <w:color w:val="auto"/>
              </w:rPr>
            </w:pPr>
            <w:r w:rsidRPr="00A84BEF">
              <w:t>2024</w:t>
            </w:r>
            <w:r w:rsidR="00817416" w:rsidRPr="00A84BEF">
              <w:t>-202</w:t>
            </w:r>
            <w:r w:rsidRPr="00A84BEF">
              <w:t>9</w:t>
            </w:r>
          </w:p>
        </w:tc>
        <w:tc>
          <w:tcPr>
            <w:tcW w:w="2268" w:type="dxa"/>
            <w:shd w:val="clear" w:color="auto" w:fill="auto"/>
          </w:tcPr>
          <w:p w14:paraId="51886577" w14:textId="77777777" w:rsidR="00751A4A" w:rsidRPr="00A84BEF" w:rsidRDefault="00187494" w:rsidP="0010095E">
            <w:pPr>
              <w:pStyle w:val="EPLogo"/>
            </w:pPr>
            <w:r w:rsidRPr="00A84BEF">
              <w:rPr>
                <w:noProof/>
                <w:lang w:val="en-GB"/>
              </w:rPr>
              <w:drawing>
                <wp:inline distT="0" distB="0" distL="0" distR="0" wp14:anchorId="55B8C684" wp14:editId="2CA4AC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0536A2" w14:textId="77777777" w:rsidR="00D058B8" w:rsidRPr="00A84BEF" w:rsidRDefault="00D058B8" w:rsidP="004C5D52">
      <w:pPr>
        <w:pStyle w:val="LineTop"/>
      </w:pPr>
    </w:p>
    <w:p w14:paraId="610DB399" w14:textId="77777777" w:rsidR="00680577" w:rsidRPr="00A84BEF" w:rsidRDefault="00A156EE" w:rsidP="00680577">
      <w:pPr>
        <w:pStyle w:val="EPBodyTA1"/>
      </w:pPr>
      <w:r w:rsidRPr="00A84BEF">
        <w:t>TEXTOS APROBADOS</w:t>
      </w:r>
    </w:p>
    <w:p w14:paraId="65AFF11C" w14:textId="77777777" w:rsidR="00D058B8" w:rsidRPr="00A84BEF" w:rsidRDefault="00D058B8" w:rsidP="00D058B8">
      <w:pPr>
        <w:pStyle w:val="LineBottom"/>
      </w:pPr>
    </w:p>
    <w:p w14:paraId="29C1BB08" w14:textId="219633BA" w:rsidR="00A156EE" w:rsidRPr="00A84BEF" w:rsidRDefault="00A156EE" w:rsidP="00A156EE">
      <w:pPr>
        <w:pStyle w:val="ATHeading1"/>
      </w:pPr>
      <w:bookmarkStart w:id="0" w:name="TANumber"/>
      <w:r w:rsidRPr="00A84BEF">
        <w:t>P10_</w:t>
      </w:r>
      <w:proofErr w:type="gramStart"/>
      <w:r w:rsidRPr="00A84BEF">
        <w:t>TA(</w:t>
      </w:r>
      <w:proofErr w:type="gramEnd"/>
      <w:r w:rsidRPr="00A84BEF">
        <w:t>2025)00</w:t>
      </w:r>
      <w:r w:rsidR="00F72224" w:rsidRPr="00A84BEF">
        <w:t>41</w:t>
      </w:r>
      <w:bookmarkEnd w:id="0"/>
    </w:p>
    <w:p w14:paraId="0830DF0D" w14:textId="77777777" w:rsidR="00A156EE" w:rsidRPr="00A84BEF" w:rsidRDefault="00453E20" w:rsidP="00A156EE">
      <w:pPr>
        <w:pStyle w:val="ATHeading2"/>
      </w:pPr>
      <w:bookmarkStart w:id="1" w:name="title"/>
      <w:r w:rsidRPr="00A84BEF">
        <w:t xml:space="preserve">Suplicatorio de suspensión de la inmunidad de </w:t>
      </w:r>
      <w:proofErr w:type="spellStart"/>
      <w:r w:rsidRPr="00A84BEF">
        <w:t>Petr</w:t>
      </w:r>
      <w:proofErr w:type="spellEnd"/>
      <w:r w:rsidRPr="00A84BEF">
        <w:t xml:space="preserve"> </w:t>
      </w:r>
      <w:proofErr w:type="spellStart"/>
      <w:r w:rsidRPr="00A84BEF">
        <w:t>Bystron</w:t>
      </w:r>
      <w:bookmarkEnd w:id="1"/>
      <w:proofErr w:type="spellEnd"/>
    </w:p>
    <w:p w14:paraId="55E9B197" w14:textId="77777777" w:rsidR="00A156EE" w:rsidRPr="00A84BEF" w:rsidRDefault="00A156EE" w:rsidP="00A156EE">
      <w:pPr>
        <w:rPr>
          <w:i/>
          <w:vanish/>
        </w:rPr>
      </w:pPr>
      <w:r w:rsidRPr="00A84BEF">
        <w:rPr>
          <w:i/>
        </w:rPr>
        <w:fldChar w:fldCharType="begin"/>
      </w:r>
      <w:r w:rsidRPr="00A84BEF">
        <w:rPr>
          <w:i/>
        </w:rPr>
        <w:instrText xml:space="preserve"> TC"(</w:instrText>
      </w:r>
      <w:bookmarkStart w:id="2" w:name="DocNumber"/>
      <w:r w:rsidRPr="00A84BEF">
        <w:rPr>
          <w:i/>
        </w:rPr>
        <w:instrText>A10-0030/2025</w:instrText>
      </w:r>
      <w:bookmarkEnd w:id="2"/>
      <w:r w:rsidRPr="00A84BEF">
        <w:rPr>
          <w:i/>
        </w:rPr>
        <w:instrText xml:space="preserve"> - Ponente: </w:instrText>
      </w:r>
      <w:proofErr w:type="spellStart"/>
      <w:r w:rsidRPr="00A84BEF">
        <w:rPr>
          <w:i/>
        </w:rPr>
        <w:instrText>Dominik</w:instrText>
      </w:r>
      <w:proofErr w:type="spellEnd"/>
      <w:r w:rsidRPr="00A84BEF">
        <w:rPr>
          <w:i/>
        </w:rPr>
        <w:instrText xml:space="preserve"> </w:instrText>
      </w:r>
      <w:proofErr w:type="spellStart"/>
      <w:r w:rsidRPr="00A84BEF">
        <w:rPr>
          <w:i/>
        </w:rPr>
        <w:instrText>Tarczyński</w:instrText>
      </w:r>
      <w:proofErr w:type="spellEnd"/>
      <w:r w:rsidRPr="00A84BEF">
        <w:rPr>
          <w:i/>
        </w:rPr>
        <w:instrText xml:space="preserve">)"\l3 \n&gt; \* MERGEFORMAT </w:instrText>
      </w:r>
      <w:r w:rsidRPr="00A84BEF">
        <w:rPr>
          <w:i/>
        </w:rPr>
        <w:fldChar w:fldCharType="end"/>
      </w:r>
    </w:p>
    <w:p w14:paraId="014ECCB8" w14:textId="77777777" w:rsidR="00A156EE" w:rsidRPr="00A84BEF" w:rsidRDefault="00A156EE" w:rsidP="00A156EE">
      <w:pPr>
        <w:rPr>
          <w:vanish/>
        </w:rPr>
      </w:pPr>
      <w:bookmarkStart w:id="3" w:name="Commission"/>
      <w:r w:rsidRPr="00A84BEF">
        <w:rPr>
          <w:vanish/>
        </w:rPr>
        <w:t>Comisión de Asuntos Jurídicos</w:t>
      </w:r>
      <w:bookmarkEnd w:id="3"/>
    </w:p>
    <w:p w14:paraId="471060AC" w14:textId="77777777" w:rsidR="00A156EE" w:rsidRPr="00A84BEF" w:rsidRDefault="00A156EE" w:rsidP="00A156EE">
      <w:pPr>
        <w:rPr>
          <w:vanish/>
        </w:rPr>
      </w:pPr>
      <w:bookmarkStart w:id="4" w:name="PE"/>
      <w:r w:rsidRPr="00A84BEF">
        <w:rPr>
          <w:vanish/>
        </w:rPr>
        <w:t>PE766.948</w:t>
      </w:r>
      <w:bookmarkEnd w:id="4"/>
    </w:p>
    <w:p w14:paraId="5A59784E" w14:textId="1CCF58B1" w:rsidR="00A156EE" w:rsidRPr="00A84BEF" w:rsidRDefault="00453E20" w:rsidP="00A156EE">
      <w:pPr>
        <w:pStyle w:val="ATHeading3"/>
      </w:pPr>
      <w:bookmarkStart w:id="5" w:name="Sujet"/>
      <w:r w:rsidRPr="00A84BEF">
        <w:t xml:space="preserve">Decisión </w:t>
      </w:r>
      <w:r w:rsidR="00A156EE" w:rsidRPr="00A84BEF">
        <w:t xml:space="preserve">del Parlamento Europeo, de </w:t>
      </w:r>
      <w:r w:rsidRPr="00A84BEF">
        <w:t>1</w:t>
      </w:r>
      <w:r w:rsidR="00A156EE" w:rsidRPr="00A84BEF">
        <w:t xml:space="preserve"> de abril de 2025, sobre el suplicatorio de suspensión de la inmunidad de </w:t>
      </w:r>
      <w:proofErr w:type="spellStart"/>
      <w:r w:rsidR="00A156EE" w:rsidRPr="00A84BEF">
        <w:t>Petr</w:t>
      </w:r>
      <w:proofErr w:type="spellEnd"/>
      <w:r w:rsidR="00A156EE" w:rsidRPr="00A84BEF">
        <w:t xml:space="preserve"> </w:t>
      </w:r>
      <w:proofErr w:type="spellStart"/>
      <w:r w:rsidR="00A156EE" w:rsidRPr="00A84BEF">
        <w:t>Bystron</w:t>
      </w:r>
      <w:bookmarkEnd w:id="5"/>
      <w:proofErr w:type="spellEnd"/>
      <w:r w:rsidR="00A156EE" w:rsidRPr="00A84BEF">
        <w:t xml:space="preserve"> </w:t>
      </w:r>
      <w:bookmarkStart w:id="6" w:name="References"/>
      <w:r w:rsidR="00A156EE" w:rsidRPr="00A84BEF">
        <w:t>(2024/2048(IMM))</w:t>
      </w:r>
      <w:bookmarkEnd w:id="6"/>
    </w:p>
    <w:p w14:paraId="35693B21" w14:textId="77777777" w:rsidR="00A156EE" w:rsidRPr="00A84BEF" w:rsidRDefault="00A156EE" w:rsidP="00A156EE"/>
    <w:p w14:paraId="210E1EF5" w14:textId="77777777" w:rsidR="00784D3D" w:rsidRPr="00A84BEF" w:rsidRDefault="00784D3D" w:rsidP="00453E20">
      <w:pPr>
        <w:pStyle w:val="EPComma"/>
        <w:spacing w:before="120"/>
      </w:pPr>
      <w:bookmarkStart w:id="7" w:name="TextBodyBegin"/>
      <w:bookmarkEnd w:id="7"/>
      <w:r w:rsidRPr="00A84BEF">
        <w:rPr>
          <w:i/>
          <w:iCs/>
        </w:rPr>
        <w:t>El Parlamento Europeo</w:t>
      </w:r>
      <w:r w:rsidRPr="00A84BEF">
        <w:t>,</w:t>
      </w:r>
    </w:p>
    <w:p w14:paraId="35C658CC" w14:textId="46C5DC9A" w:rsidR="00784D3D" w:rsidRPr="00A84BEF" w:rsidRDefault="00784D3D" w:rsidP="00784D3D">
      <w:pPr>
        <w:pStyle w:val="NormalHanging12a"/>
      </w:pPr>
      <w:r w:rsidRPr="00A84BEF">
        <w:t>–</w:t>
      </w:r>
      <w:r w:rsidRPr="00A84BEF">
        <w:tab/>
        <w:t xml:space="preserve">Visto el suplicatorio de suspensión de la inmunidad de </w:t>
      </w:r>
      <w:proofErr w:type="spellStart"/>
      <w:r w:rsidRPr="00A84BEF">
        <w:t>Petr</w:t>
      </w:r>
      <w:proofErr w:type="spellEnd"/>
      <w:r w:rsidRPr="00A84BEF">
        <w:t xml:space="preserve"> </w:t>
      </w:r>
      <w:proofErr w:type="spellStart"/>
      <w:r w:rsidRPr="00A84BEF">
        <w:t>Bystron</w:t>
      </w:r>
      <w:proofErr w:type="spellEnd"/>
      <w:r w:rsidRPr="00A84BEF">
        <w:t xml:space="preserve">, </w:t>
      </w:r>
      <w:r w:rsidR="00912724" w:rsidRPr="00A84BEF">
        <w:t xml:space="preserve">recibido </w:t>
      </w:r>
      <w:r w:rsidRPr="00A84BEF">
        <w:t xml:space="preserve">mediante carta con fecha de 27 de agosto de 2024 </w:t>
      </w:r>
      <w:r w:rsidR="00912724" w:rsidRPr="00A84BEF">
        <w:t>del</w:t>
      </w:r>
      <w:r w:rsidRPr="00A84BEF">
        <w:t xml:space="preserve"> Ministerio Federal de Justicia de Alemania, por la que se </w:t>
      </w:r>
      <w:r w:rsidR="00912724" w:rsidRPr="00A84BEF">
        <w:t xml:space="preserve">transmite </w:t>
      </w:r>
      <w:r w:rsidRPr="00A84BEF">
        <w:t>un suplicatorio del fiscal jefe de Múnich I, en relación con el procedimiento penal en curso ante el Tribunal de Distrito de Múnich, y comunicado al Pleno el 16 de septiembre de 2024,</w:t>
      </w:r>
    </w:p>
    <w:p w14:paraId="15496201" w14:textId="77777777" w:rsidR="00784D3D" w:rsidRPr="00A84BEF" w:rsidRDefault="00784D3D" w:rsidP="00784D3D">
      <w:pPr>
        <w:pStyle w:val="NormalHanging12a"/>
      </w:pPr>
      <w:r w:rsidRPr="00A84BEF">
        <w:t>–</w:t>
      </w:r>
      <w:r w:rsidRPr="00A84BEF">
        <w:tab/>
        <w:t xml:space="preserve">Previa audiencia a </w:t>
      </w:r>
      <w:proofErr w:type="spellStart"/>
      <w:r w:rsidRPr="00A84BEF">
        <w:t>Petr</w:t>
      </w:r>
      <w:proofErr w:type="spellEnd"/>
      <w:r w:rsidRPr="00A84BEF">
        <w:t xml:space="preserve"> </w:t>
      </w:r>
      <w:proofErr w:type="spellStart"/>
      <w:r w:rsidRPr="00A84BEF">
        <w:t>Bystron</w:t>
      </w:r>
      <w:proofErr w:type="spellEnd"/>
      <w:r w:rsidRPr="00A84BEF">
        <w:t xml:space="preserve"> el 29 de enero de 2025, de conformidad con el artículo 9, apartado 6, de su Reglamento interno, y visto el documento por él aportado durante la audiencia,</w:t>
      </w:r>
    </w:p>
    <w:p w14:paraId="3B417650" w14:textId="77777777" w:rsidR="00784D3D" w:rsidRPr="00A84BEF" w:rsidRDefault="00784D3D" w:rsidP="00784D3D">
      <w:pPr>
        <w:pStyle w:val="NormalHanging12a"/>
      </w:pPr>
      <w:r w:rsidRPr="00A84BEF">
        <w:t>–</w:t>
      </w:r>
      <w:r w:rsidRPr="00A84BEF">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5964AC82" w14:textId="77777777" w:rsidR="00784D3D" w:rsidRPr="00A84BEF" w:rsidRDefault="00784D3D" w:rsidP="00784D3D">
      <w:pPr>
        <w:pStyle w:val="NormalHanging12a"/>
      </w:pPr>
      <w:r w:rsidRPr="00A84BEF">
        <w:t>–</w:t>
      </w:r>
      <w:r w:rsidRPr="00A84BEF">
        <w:tab/>
        <w:t>Vistas las sentencias del Tribunal de Justicia de la Unión Europea de 21 de octubre de 2008, 19 de marzo de 2010, 6 de septiembre de 2011, 17 de enero de 2013, 19 de diciembre de 2019 y 5 de julio de 2023</w:t>
      </w:r>
      <w:r w:rsidRPr="00A84BEF">
        <w:rPr>
          <w:rStyle w:val="FootnoteReference"/>
          <w:color w:val="000000"/>
        </w:rPr>
        <w:footnoteReference w:id="1"/>
      </w:r>
      <w:r w:rsidRPr="00A84BEF">
        <w:t>,</w:t>
      </w:r>
    </w:p>
    <w:p w14:paraId="063AE214" w14:textId="77777777" w:rsidR="00784D3D" w:rsidRPr="00A84BEF" w:rsidRDefault="00784D3D" w:rsidP="00784D3D">
      <w:pPr>
        <w:pStyle w:val="NormalHanging12a"/>
      </w:pPr>
      <w:r w:rsidRPr="00A84BEF">
        <w:lastRenderedPageBreak/>
        <w:t>–</w:t>
      </w:r>
      <w:r w:rsidRPr="00A84BEF">
        <w:tab/>
        <w:t>Visto el artículo 46 de la Ley Fundamental de la República Federal de Alemania,</w:t>
      </w:r>
    </w:p>
    <w:p w14:paraId="1BFFCD7E" w14:textId="77777777" w:rsidR="00784D3D" w:rsidRPr="00A84BEF" w:rsidRDefault="00784D3D" w:rsidP="00784D3D">
      <w:pPr>
        <w:pStyle w:val="NormalHanging12a"/>
      </w:pPr>
      <w:r w:rsidRPr="00A84BEF">
        <w:t>–</w:t>
      </w:r>
      <w:r w:rsidRPr="00A84BEF">
        <w:tab/>
        <w:t>Vistos el artículo 5, apartado 2, el artículo 6, apartado 1, y el artículo 9 de su Reglamento interno,</w:t>
      </w:r>
    </w:p>
    <w:p w14:paraId="3F7B2567" w14:textId="77777777" w:rsidR="00784D3D" w:rsidRPr="00A84BEF" w:rsidRDefault="00784D3D" w:rsidP="00784D3D">
      <w:pPr>
        <w:pStyle w:val="NormalHanging12a"/>
      </w:pPr>
      <w:r w:rsidRPr="00A84BEF">
        <w:t>–</w:t>
      </w:r>
      <w:r w:rsidRPr="00A84BEF">
        <w:tab/>
        <w:t>Visto el informe de la Comisión de Asuntos Jurídicos (A10</w:t>
      </w:r>
      <w:r w:rsidRPr="00A84BEF">
        <w:noBreakHyphen/>
        <w:t>0030/2025),</w:t>
      </w:r>
    </w:p>
    <w:p w14:paraId="7256B6F5" w14:textId="436D5D6E" w:rsidR="00784D3D" w:rsidRPr="00A84BEF" w:rsidRDefault="00784D3D" w:rsidP="00784D3D">
      <w:pPr>
        <w:pStyle w:val="NormalHanging12a"/>
      </w:pPr>
      <w:r w:rsidRPr="00A84BEF">
        <w:t>A.</w:t>
      </w:r>
      <w:r w:rsidRPr="00A84BEF">
        <w:tab/>
        <w:t xml:space="preserve">Considerando que el fiscal general de Múnich I ha solicitado la suspensión de la inmunidad parlamentaria de </w:t>
      </w:r>
      <w:proofErr w:type="spellStart"/>
      <w:r w:rsidRPr="00A84BEF">
        <w:t>Petr</w:t>
      </w:r>
      <w:proofErr w:type="spellEnd"/>
      <w:r w:rsidRPr="00A84BEF">
        <w:t xml:space="preserve"> </w:t>
      </w:r>
      <w:proofErr w:type="spellStart"/>
      <w:r w:rsidRPr="00A84BEF">
        <w:t>Bystron</w:t>
      </w:r>
      <w:proofErr w:type="spellEnd"/>
      <w:r w:rsidRPr="00A84BEF">
        <w:t xml:space="preserve">, diputado al Parlamento Europeo, en el contexto de las acusaciones formuladas contra él en virtud del artículo 86a del Código Penal alemán y en relación con el artículo 86 </w:t>
      </w:r>
      <w:r w:rsidR="00453E20" w:rsidRPr="00A84BEF">
        <w:t>dicho</w:t>
      </w:r>
      <w:r w:rsidRPr="00A84BEF">
        <w:t xml:space="preserve"> Código, en lo relativo al supuesto uso de símbolos de organizaciones inconstitucionales y terroristas;</w:t>
      </w:r>
    </w:p>
    <w:p w14:paraId="03B5CD58" w14:textId="415C6D37" w:rsidR="00784D3D" w:rsidRPr="00A84BEF" w:rsidRDefault="00784D3D" w:rsidP="00784D3D">
      <w:pPr>
        <w:pStyle w:val="NormalHanging12a"/>
      </w:pPr>
      <w:r w:rsidRPr="00A84BEF">
        <w:rPr>
          <w:shd w:val="clear" w:color="auto" w:fill="FFFFFF"/>
        </w:rPr>
        <w:t>B.</w:t>
      </w:r>
      <w:r w:rsidRPr="00A84BEF">
        <w:rPr>
          <w:shd w:val="clear" w:color="auto" w:fill="FFFFFF"/>
        </w:rPr>
        <w:tab/>
      </w:r>
      <w:r w:rsidRPr="00A84BEF">
        <w:t xml:space="preserve">Considerando que </w:t>
      </w:r>
      <w:r w:rsidR="00912724" w:rsidRPr="00A84BEF">
        <w:t>el suplicatorio</w:t>
      </w:r>
      <w:r w:rsidRPr="00A84BEF">
        <w:t xml:space="preserve"> indica que, tras el cese del embajador de Ucrania en Alemania el 12 de julio de 2022, </w:t>
      </w:r>
      <w:proofErr w:type="spellStart"/>
      <w:r w:rsidRPr="00A84BEF">
        <w:t>Petr</w:t>
      </w:r>
      <w:proofErr w:type="spellEnd"/>
      <w:r w:rsidRPr="00A84BEF">
        <w:t xml:space="preserve"> </w:t>
      </w:r>
      <w:proofErr w:type="spellStart"/>
      <w:r w:rsidRPr="00A84BEF">
        <w:t>Bystron</w:t>
      </w:r>
      <w:proofErr w:type="spellEnd"/>
      <w:r w:rsidRPr="00A84BEF">
        <w:t xml:space="preserve"> supuestamente publicó un montaje fotográfico en su cuenta de Twitter en el que se mostraban recortes de imágenes de personas que habían ocupado anteriormente un alto cargo público, cada una de ellas alzando el brazo derecho </w:t>
      </w:r>
      <w:bookmarkStart w:id="8" w:name="_GoBack"/>
      <w:bookmarkEnd w:id="8"/>
      <w:r w:rsidRPr="00A84BEF">
        <w:t>o izquierdo con la mano extendida y los dedos apuntando hacia arriba; que el montaje publicado va acompañado del texto «¡</w:t>
      </w:r>
      <w:proofErr w:type="spellStart"/>
      <w:r w:rsidRPr="00A84BEF">
        <w:t>Bye</w:t>
      </w:r>
      <w:proofErr w:type="spellEnd"/>
      <w:r w:rsidRPr="00A84BEF">
        <w:t xml:space="preserve">, </w:t>
      </w:r>
      <w:proofErr w:type="spellStart"/>
      <w:r w:rsidRPr="00A84BEF">
        <w:t>bye</w:t>
      </w:r>
      <w:proofErr w:type="spellEnd"/>
      <w:r w:rsidRPr="00A84BEF">
        <w:t xml:space="preserve"> [...]! ¡Los políticos alemanes dicen adiós con la mano!)»</w:t>
      </w:r>
      <w:r w:rsidRPr="00A84BEF">
        <w:rPr>
          <w:rStyle w:val="FootnoteReference"/>
          <w:color w:val="000000"/>
        </w:rPr>
        <w:footnoteReference w:id="2"/>
      </w:r>
      <w:r w:rsidRPr="00A84BEF">
        <w:t xml:space="preserve">; que se acusó a </w:t>
      </w:r>
      <w:proofErr w:type="spellStart"/>
      <w:r w:rsidRPr="00A84BEF">
        <w:t>Petr</w:t>
      </w:r>
      <w:proofErr w:type="spellEnd"/>
      <w:r w:rsidRPr="00A84BEF">
        <w:t xml:space="preserve"> </w:t>
      </w:r>
      <w:proofErr w:type="spellStart"/>
      <w:r w:rsidRPr="00A84BEF">
        <w:t>Bystron</w:t>
      </w:r>
      <w:proofErr w:type="spellEnd"/>
      <w:r w:rsidRPr="00A84BEF">
        <w:t xml:space="preserve"> de aceptar, al menos tácitamente, que ese montaje fotográfico causaría entre los usuarios objetivos de Twitter la impresión de que la posición del brazo representada era el «saludo de Hitler» ya que se trataba de una forma de saludo utilizada por el régimen nazi; que </w:t>
      </w:r>
      <w:proofErr w:type="spellStart"/>
      <w:r w:rsidRPr="00A84BEF">
        <w:t>Petr</w:t>
      </w:r>
      <w:proofErr w:type="spellEnd"/>
      <w:r w:rsidRPr="00A84BEF">
        <w:t> </w:t>
      </w:r>
      <w:proofErr w:type="spellStart"/>
      <w:r w:rsidRPr="00A84BEF">
        <w:t>Bystron</w:t>
      </w:r>
      <w:proofErr w:type="spellEnd"/>
      <w:r w:rsidRPr="00A84BEF">
        <w:t xml:space="preserve"> fue acusado de haber distribuido o utilizado públicamente en Alemania símbolos de organizaciones inconstitucionales y terroristas;</w:t>
      </w:r>
    </w:p>
    <w:p w14:paraId="709351A7" w14:textId="77777777" w:rsidR="00784D3D" w:rsidRPr="00A84BEF" w:rsidRDefault="00784D3D" w:rsidP="00784D3D">
      <w:pPr>
        <w:pStyle w:val="NormalHanging12a"/>
      </w:pPr>
      <w:r w:rsidRPr="00A84BEF">
        <w:t>C.</w:t>
      </w:r>
      <w:r w:rsidRPr="00A84BEF">
        <w:tab/>
        <w:t xml:space="preserve">Considerando que, tras unas investigaciones, las autoridades competentes presentaron un suplicatorio de suspensión de la inmunidad de Peter </w:t>
      </w:r>
      <w:proofErr w:type="spellStart"/>
      <w:r w:rsidRPr="00A84BEF">
        <w:t>Bystron</w:t>
      </w:r>
      <w:proofErr w:type="spellEnd"/>
      <w:r w:rsidRPr="00A84BEF">
        <w:t xml:space="preserve">, dirigido al </w:t>
      </w:r>
      <w:proofErr w:type="spellStart"/>
      <w:r w:rsidRPr="00A84BEF">
        <w:t>Bundestag</w:t>
      </w:r>
      <w:proofErr w:type="spellEnd"/>
      <w:r w:rsidRPr="00A84BEF">
        <w:t xml:space="preserve"> alemán, del que era miembro en aquel momento; que el </w:t>
      </w:r>
      <w:proofErr w:type="spellStart"/>
      <w:r w:rsidRPr="00A84BEF">
        <w:t>Bundestag</w:t>
      </w:r>
      <w:proofErr w:type="spellEnd"/>
      <w:r w:rsidRPr="00A84BEF">
        <w:t xml:space="preserve"> alemán suspendió su inmunidad el 7 de septiembre de 2023;</w:t>
      </w:r>
    </w:p>
    <w:p w14:paraId="5EB065B5" w14:textId="77777777" w:rsidR="00784D3D" w:rsidRPr="00A84BEF" w:rsidRDefault="00784D3D" w:rsidP="00784D3D">
      <w:pPr>
        <w:pStyle w:val="NormalHanging12a"/>
      </w:pPr>
      <w:r w:rsidRPr="00A84BEF">
        <w:t>D.</w:t>
      </w:r>
      <w:r w:rsidRPr="00A84BEF">
        <w:tab/>
      </w:r>
      <w:r w:rsidRPr="00A84BEF">
        <w:rPr>
          <w:shd w:val="clear" w:color="auto" w:fill="FFFFFF"/>
        </w:rPr>
        <w:t xml:space="preserve">Considerando que </w:t>
      </w:r>
      <w:proofErr w:type="spellStart"/>
      <w:r w:rsidRPr="00A84BEF">
        <w:rPr>
          <w:shd w:val="clear" w:color="auto" w:fill="FFFFFF"/>
        </w:rPr>
        <w:t>Petr</w:t>
      </w:r>
      <w:proofErr w:type="spellEnd"/>
      <w:r w:rsidRPr="00A84BEF">
        <w:rPr>
          <w:shd w:val="clear" w:color="auto" w:fill="FFFFFF"/>
        </w:rPr>
        <w:t xml:space="preserve"> </w:t>
      </w:r>
      <w:proofErr w:type="spellStart"/>
      <w:r w:rsidRPr="00A84BEF">
        <w:rPr>
          <w:shd w:val="clear" w:color="auto" w:fill="FFFFFF"/>
        </w:rPr>
        <w:t>Bystron</w:t>
      </w:r>
      <w:proofErr w:type="spellEnd"/>
      <w:r w:rsidRPr="00A84BEF">
        <w:rPr>
          <w:shd w:val="clear" w:color="auto" w:fill="FFFFFF"/>
        </w:rPr>
        <w:t xml:space="preserve"> fue elegido diputado al Parlamento Europeo en las elecciones europeas de junio de 2024; </w:t>
      </w:r>
      <w:r w:rsidRPr="00A84BEF">
        <w:t>que, tras el anuncio del resultado final de las elecciones, las autoridades competentes, mediante decisión de 9 de julio de 2024, suspendieron provisionalmente el proceso penal contra él con el fin de tramitar el suplicatorio de suspensión de su inmunidad;</w:t>
      </w:r>
    </w:p>
    <w:p w14:paraId="303ABC47" w14:textId="77777777" w:rsidR="00784D3D" w:rsidRPr="00A84BEF" w:rsidRDefault="00784D3D" w:rsidP="00784D3D">
      <w:pPr>
        <w:pStyle w:val="NormalHanging12a"/>
      </w:pPr>
      <w:r w:rsidRPr="00A84BEF">
        <w:t>E.</w:t>
      </w:r>
      <w:r w:rsidRPr="00A84BEF">
        <w:tab/>
        <w:t xml:space="preserve">Considerando que </w:t>
      </w:r>
      <w:proofErr w:type="spellStart"/>
      <w:r w:rsidRPr="00A84BEF">
        <w:t>Petr</w:t>
      </w:r>
      <w:proofErr w:type="spellEnd"/>
      <w:r w:rsidRPr="00A84BEF">
        <w:t> </w:t>
      </w:r>
      <w:proofErr w:type="spellStart"/>
      <w:r w:rsidRPr="00A84BEF">
        <w:t>Bystron</w:t>
      </w:r>
      <w:proofErr w:type="spellEnd"/>
      <w:r w:rsidRPr="00A84BEF">
        <w:t xml:space="preserve"> no era diputado al Parlamento Europeo en el momento de la comisión del presunto delito;</w:t>
      </w:r>
    </w:p>
    <w:p w14:paraId="5855BC5E" w14:textId="77777777" w:rsidR="00784D3D" w:rsidRPr="00A84BEF" w:rsidRDefault="00784D3D" w:rsidP="00784D3D">
      <w:pPr>
        <w:pStyle w:val="NormalHanging12a"/>
      </w:pPr>
      <w:r w:rsidRPr="00A84BEF">
        <w:t>F.</w:t>
      </w:r>
      <w:r w:rsidRPr="00A84BEF">
        <w:tab/>
        <w:t xml:space="preserve">Considerando que el presunto delito y el consiguiente suplicatorio de suspensión de la inmunidad no tienen relación con una opinión expresada o un voto emitido por </w:t>
      </w:r>
      <w:proofErr w:type="spellStart"/>
      <w:r w:rsidRPr="00A84BEF">
        <w:t>Petr</w:t>
      </w:r>
      <w:proofErr w:type="spellEnd"/>
      <w:r w:rsidRPr="00A84BEF">
        <w:t xml:space="preserve"> </w:t>
      </w:r>
      <w:proofErr w:type="spellStart"/>
      <w:r w:rsidRPr="00A84BEF">
        <w:t>Bystron</w:t>
      </w:r>
      <w:proofErr w:type="spellEnd"/>
      <w:r w:rsidRPr="00A84BEF">
        <w:t xml:space="preserve"> en el ejercicio de sus funciones en el sentido del artículo 8 del Protocolo n.º 7 sobre los privilegios y las inmunidades de la Unión Europea;</w:t>
      </w:r>
    </w:p>
    <w:p w14:paraId="6C285469" w14:textId="679ACD8C" w:rsidR="00784D3D" w:rsidRPr="00A84BEF" w:rsidRDefault="00784D3D" w:rsidP="00784D3D">
      <w:pPr>
        <w:pStyle w:val="NormalHanging12a"/>
      </w:pPr>
      <w:r w:rsidRPr="00A84BEF">
        <w:t>G.</w:t>
      </w:r>
      <w:r w:rsidRPr="00A84BEF">
        <w:tab/>
        <w:t>Considerando que el artículo 9, párrafo primero, letra a)</w:t>
      </w:r>
      <w:r w:rsidR="00912724" w:rsidRPr="00A84BEF">
        <w:t>,</w:t>
      </w:r>
      <w:r w:rsidRPr="00A84BEF">
        <w:t xml:space="preserve"> del Protocolo n.º 7 sobre los privilegios y las inmunidades de la Unión Europea dispone que los miembros del Parlamento Europeo gozarán, en su propio territorio nacional, de las inmunidades reconocidas a los miembros del Parlamento de su país;</w:t>
      </w:r>
    </w:p>
    <w:p w14:paraId="623B406C" w14:textId="77777777" w:rsidR="00784D3D" w:rsidRPr="00A84BEF" w:rsidRDefault="00784D3D" w:rsidP="00784D3D">
      <w:pPr>
        <w:pStyle w:val="NormalHanging12a"/>
      </w:pPr>
      <w:r w:rsidRPr="00A84BEF">
        <w:lastRenderedPageBreak/>
        <w:t>H.</w:t>
      </w:r>
      <w:r w:rsidRPr="00A84BEF">
        <w:tab/>
        <w:t>Considerando que el artículo 46, apartados 2, 3 y 4, de la Ley Fundamental de la República Federal de Alemania dispone lo siguiente:</w:t>
      </w:r>
    </w:p>
    <w:p w14:paraId="162347E1" w14:textId="77777777" w:rsidR="00784D3D" w:rsidRPr="00A84BEF" w:rsidRDefault="00784D3D" w:rsidP="00F72224">
      <w:pPr>
        <w:pStyle w:val="NormalHanging12a"/>
        <w:ind w:left="1134"/>
      </w:pPr>
      <w:r w:rsidRPr="00A84BEF">
        <w:t>«2.</w:t>
      </w:r>
      <w:r w:rsidRPr="00A84BEF">
        <w:tab/>
        <w:t xml:space="preserve">Únicamente se podrá exigir responsabilidad o detener a un diputado por un acto que acarree una sanción si así lo autoriza el </w:t>
      </w:r>
      <w:proofErr w:type="spellStart"/>
      <w:r w:rsidRPr="00A84BEF">
        <w:t>Bundestag</w:t>
      </w:r>
      <w:proofErr w:type="spellEnd"/>
      <w:r w:rsidRPr="00A84BEF">
        <w:t>, a no ser que el diputado sea detenido en flagrante delito o en el día siguiente a la comisión del acto.</w:t>
      </w:r>
    </w:p>
    <w:p w14:paraId="628931A4" w14:textId="77777777" w:rsidR="00784D3D" w:rsidRPr="00A84BEF" w:rsidRDefault="00784D3D" w:rsidP="00F72224">
      <w:pPr>
        <w:pStyle w:val="NormalHanging12a"/>
        <w:ind w:left="1134"/>
      </w:pPr>
      <w:r w:rsidRPr="00A84BEF">
        <w:t>3.</w:t>
      </w:r>
      <w:r w:rsidRPr="00A84BEF">
        <w:tab/>
        <w:t xml:space="preserve">La autorización del </w:t>
      </w:r>
      <w:proofErr w:type="spellStart"/>
      <w:r w:rsidRPr="00A84BEF">
        <w:t>Bundestag</w:t>
      </w:r>
      <w:proofErr w:type="spellEnd"/>
      <w:r w:rsidRPr="00A84BEF">
        <w:t xml:space="preserve"> será asimismo necesaria para cualquier otra restricción de la libertad personal de un diputado o para iniciar contra un diputado el procedimiento previsto en el artículo 18.</w:t>
      </w:r>
    </w:p>
    <w:p w14:paraId="4442558B" w14:textId="77777777" w:rsidR="00784D3D" w:rsidRPr="00A84BEF" w:rsidRDefault="00784D3D" w:rsidP="00F72224">
      <w:pPr>
        <w:pStyle w:val="NormalHanging12a"/>
        <w:ind w:left="1134"/>
      </w:pPr>
      <w:r w:rsidRPr="00A84BEF">
        <w:t>4.</w:t>
      </w:r>
      <w:r w:rsidRPr="00A84BEF">
        <w:tab/>
        <w:t xml:space="preserve">Se suspenderá a instancia del </w:t>
      </w:r>
      <w:proofErr w:type="spellStart"/>
      <w:r w:rsidRPr="00A84BEF">
        <w:t>Bundestag</w:t>
      </w:r>
      <w:proofErr w:type="spellEnd"/>
      <w:r w:rsidRPr="00A84BEF">
        <w:t xml:space="preserve"> todo proceso penal y todo procedimiento con arreglo al artículo 18 iniciado contra un diputado, toda detención y cualquier otra restricción de su libertad personal.»;</w:t>
      </w:r>
    </w:p>
    <w:p w14:paraId="3FD87DBA" w14:textId="77777777" w:rsidR="00784D3D" w:rsidRPr="00A84BEF" w:rsidRDefault="00784D3D" w:rsidP="00784D3D">
      <w:pPr>
        <w:pStyle w:val="NormalHanging12a"/>
      </w:pPr>
      <w:r w:rsidRPr="00A84BEF">
        <w:t>I.</w:t>
      </w:r>
      <w:r w:rsidRPr="00A84BEF">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14:paraId="6F5C264E" w14:textId="77777777" w:rsidR="00784D3D" w:rsidRPr="00A84BEF" w:rsidRDefault="00784D3D" w:rsidP="00784D3D">
      <w:pPr>
        <w:pStyle w:val="NormalHanging12a"/>
      </w:pPr>
      <w:r w:rsidRPr="00A84BEF">
        <w:t>J.</w:t>
      </w:r>
      <w:r w:rsidRPr="00A84BEF">
        <w:tab/>
        <w:t>Considerando que, de conformidad con el artículo 5, apartado 2, de su Reglamento interno, la inmunidad parlamentaria no es un privilegio personal del diputado, sino una garantía de independencia del Parlamento en su conjunto y de sus diputados;</w:t>
      </w:r>
    </w:p>
    <w:p w14:paraId="3D366118" w14:textId="65318DAD" w:rsidR="00784D3D" w:rsidRPr="00A84BEF" w:rsidRDefault="00784D3D" w:rsidP="00784D3D">
      <w:pPr>
        <w:pStyle w:val="NormalHanging12a"/>
      </w:pPr>
      <w:r w:rsidRPr="00A84BEF">
        <w:t>K.</w:t>
      </w:r>
      <w:r w:rsidRPr="00A84BEF">
        <w:tab/>
        <w:t xml:space="preserve">Considerando que, en este caso, el Parlamento no ha podido determinar la existencia de </w:t>
      </w:r>
      <w:proofErr w:type="spellStart"/>
      <w:r w:rsidRPr="00A84BEF">
        <w:rPr>
          <w:i/>
          <w:iCs/>
        </w:rPr>
        <w:t>fumus</w:t>
      </w:r>
      <w:proofErr w:type="spellEnd"/>
      <w:r w:rsidRPr="00A84BEF">
        <w:rPr>
          <w:i/>
          <w:iCs/>
        </w:rPr>
        <w:t> </w:t>
      </w:r>
      <w:proofErr w:type="spellStart"/>
      <w:r w:rsidRPr="00A84BEF">
        <w:rPr>
          <w:i/>
          <w:iCs/>
        </w:rPr>
        <w:t>persecutionis</w:t>
      </w:r>
      <w:proofErr w:type="spellEnd"/>
      <w:r w:rsidRPr="00A84BEF">
        <w:t xml:space="preserve">, a saber, de elementos de hecho que indiquen que la actuación judicial en cuestión se inició con la intención de dañar la actividad política del diputado </w:t>
      </w:r>
      <w:r w:rsidR="00912724" w:rsidRPr="00A84BEF">
        <w:t xml:space="preserve">en su condición de miembro </w:t>
      </w:r>
      <w:r w:rsidRPr="00A84BEF">
        <w:t>del Parlamento Europeo;</w:t>
      </w:r>
    </w:p>
    <w:p w14:paraId="6A3798C7" w14:textId="2865814C" w:rsidR="00784D3D" w:rsidRPr="00A84BEF" w:rsidRDefault="00784D3D" w:rsidP="00784D3D">
      <w:pPr>
        <w:pStyle w:val="NormalHanging12a"/>
      </w:pPr>
      <w:r w:rsidRPr="00A84BEF">
        <w:t>L.</w:t>
      </w:r>
      <w:r w:rsidRPr="00A84BEF">
        <w:tab/>
        <w:t>Considerando, por un lado, que el Parlamento no puede equipararse a un órgano jurisdiccional y, por otro, que el diputado, en el contexto de un procedimiento de suspensión de la inmunidad, no puede considerarse un «acusado»</w:t>
      </w:r>
      <w:r w:rsidRPr="00A84BEF">
        <w:rPr>
          <w:vertAlign w:val="superscript"/>
        </w:rPr>
        <w:footnoteReference w:id="3"/>
      </w:r>
      <w:r w:rsidRPr="00A84BEF">
        <w:t>;</w:t>
      </w:r>
    </w:p>
    <w:p w14:paraId="71ECF9EF" w14:textId="77777777" w:rsidR="00784D3D" w:rsidRPr="00A84BEF" w:rsidRDefault="00784D3D" w:rsidP="00784D3D">
      <w:pPr>
        <w:pStyle w:val="NormalHanging12a"/>
      </w:pPr>
      <w:r w:rsidRPr="00A84BEF">
        <w:t>1.</w:t>
      </w:r>
      <w:r w:rsidRPr="00A84BEF">
        <w:tab/>
        <w:t xml:space="preserve">Decide suspender la inmunidad parlamentaria de </w:t>
      </w:r>
      <w:proofErr w:type="spellStart"/>
      <w:r w:rsidRPr="00A84BEF">
        <w:t>Petr</w:t>
      </w:r>
      <w:proofErr w:type="spellEnd"/>
      <w:r w:rsidRPr="00A84BEF">
        <w:t xml:space="preserve"> </w:t>
      </w:r>
      <w:proofErr w:type="spellStart"/>
      <w:r w:rsidRPr="00A84BEF">
        <w:t>Bystron</w:t>
      </w:r>
      <w:proofErr w:type="spellEnd"/>
      <w:r w:rsidRPr="00A84BEF">
        <w:t>;</w:t>
      </w:r>
    </w:p>
    <w:p w14:paraId="2B3D3864" w14:textId="77777777" w:rsidR="004C4D53" w:rsidRPr="00A84BEF" w:rsidRDefault="00784D3D" w:rsidP="004C4D53">
      <w:pPr>
        <w:pStyle w:val="NormalHanging12a"/>
      </w:pPr>
      <w:r w:rsidRPr="00A84BEF">
        <w:t>2.</w:t>
      </w:r>
      <w:r w:rsidRPr="00A84BEF">
        <w:tab/>
        <w:t xml:space="preserve">Encarga a su presidenta que transmita inmediatamente la presente Decisión y el informe de la comisión competente a la autoridad competente de la República Federal de Alemania y a </w:t>
      </w:r>
      <w:proofErr w:type="spellStart"/>
      <w:r w:rsidRPr="00A84BEF">
        <w:t>Petr</w:t>
      </w:r>
      <w:proofErr w:type="spellEnd"/>
      <w:r w:rsidRPr="00A84BEF">
        <w:t xml:space="preserve"> </w:t>
      </w:r>
      <w:proofErr w:type="spellStart"/>
      <w:r w:rsidRPr="00A84BEF">
        <w:t>Bystron</w:t>
      </w:r>
      <w:proofErr w:type="spellEnd"/>
      <w:r w:rsidRPr="00A84BEF">
        <w:t>.</w:t>
      </w:r>
    </w:p>
    <w:p w14:paraId="66A923D3" w14:textId="77777777" w:rsidR="00E365E1" w:rsidRPr="00A84BEF" w:rsidRDefault="00E365E1" w:rsidP="00A156EE"/>
    <w:sectPr w:rsidR="00E365E1" w:rsidRPr="00A84BEF" w:rsidSect="004C4D5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5EAA1" w14:textId="77777777" w:rsidR="00A156EE" w:rsidRPr="004C4D53" w:rsidRDefault="00A156EE">
      <w:r w:rsidRPr="004C4D53">
        <w:separator/>
      </w:r>
    </w:p>
  </w:endnote>
  <w:endnote w:type="continuationSeparator" w:id="0">
    <w:p w14:paraId="4D75919E" w14:textId="77777777" w:rsidR="00A156EE" w:rsidRPr="004C4D53" w:rsidRDefault="00A156EE">
      <w:r w:rsidRPr="004C4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AF1F9" w14:textId="77777777" w:rsidR="00064002" w:rsidRPr="004C4D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DEEA7" w14:textId="77777777" w:rsidR="00064002" w:rsidRPr="004C4D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A40DE" w14:textId="77777777" w:rsidR="00064002" w:rsidRPr="004C4D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C4592" w14:textId="77777777" w:rsidR="00A156EE" w:rsidRPr="004C4D53" w:rsidRDefault="00A156EE">
      <w:r w:rsidRPr="004C4D53">
        <w:separator/>
      </w:r>
    </w:p>
  </w:footnote>
  <w:footnote w:type="continuationSeparator" w:id="0">
    <w:p w14:paraId="3DAC686D" w14:textId="77777777" w:rsidR="00A156EE" w:rsidRPr="004C4D53" w:rsidRDefault="00A156EE">
      <w:r w:rsidRPr="004C4D53">
        <w:continuationSeparator/>
      </w:r>
    </w:p>
  </w:footnote>
  <w:footnote w:id="1">
    <w:p w14:paraId="63A6A30B" w14:textId="77777777" w:rsidR="00784D3D" w:rsidRPr="004C4D53" w:rsidRDefault="00784D3D" w:rsidP="004C4D53">
      <w:pPr>
        <w:pStyle w:val="FootnoteText"/>
        <w:ind w:left="567" w:hanging="567"/>
        <w:rPr>
          <w:sz w:val="24"/>
          <w:lang w:val="es-ES_tradnl"/>
        </w:rPr>
      </w:pPr>
      <w:r w:rsidRPr="004C4D53">
        <w:rPr>
          <w:rStyle w:val="FootnoteReference"/>
          <w:sz w:val="24"/>
          <w:lang w:val="es-ES_tradnl"/>
        </w:rPr>
        <w:footnoteRef/>
      </w:r>
      <w:r w:rsidR="004C4D53" w:rsidRPr="004C4D53">
        <w:rPr>
          <w:sz w:val="24"/>
          <w:lang w:val="es-ES_tradnl"/>
        </w:rPr>
        <w:t xml:space="preserve"> </w:t>
      </w:r>
      <w:r w:rsidR="004C4D53" w:rsidRPr="004C4D53">
        <w:rPr>
          <w:sz w:val="24"/>
          <w:lang w:val="es-ES_tradnl"/>
        </w:rPr>
        <w:tab/>
      </w:r>
      <w:r w:rsidRPr="004C4D53">
        <w:rPr>
          <w:rStyle w:val="FootnoteReference"/>
          <w:sz w:val="24"/>
          <w:lang w:val="es-ES_tradnl"/>
        </w:rPr>
        <w:t> </w:t>
      </w:r>
      <w:r w:rsidRPr="004C4D53">
        <w:rPr>
          <w:sz w:val="24"/>
          <w:lang w:val="es-ES_tradnl"/>
        </w:rPr>
        <w:t>Sentencia del Tribunal de Justicia de 21 de octubre de 2008, Marra/De Gregorio y Clemente, C</w:t>
      </w:r>
      <w:r w:rsidRPr="004C4D53">
        <w:rPr>
          <w:sz w:val="24"/>
          <w:lang w:val="es-ES_tradnl"/>
        </w:rPr>
        <w:noBreakHyphen/>
        <w:t>200/07 y C</w:t>
      </w:r>
      <w:r w:rsidRPr="004C4D53">
        <w:rPr>
          <w:sz w:val="24"/>
          <w:lang w:val="es-ES_tradnl"/>
        </w:rPr>
        <w:noBreakHyphen/>
        <w:t xml:space="preserve">201/07, ECLI:EU:C:2008:579; sentencia del Tribunal General de 19 de marzo de 2010, </w:t>
      </w:r>
      <w:proofErr w:type="spellStart"/>
      <w:r w:rsidRPr="004C4D53">
        <w:rPr>
          <w:sz w:val="24"/>
          <w:lang w:val="es-ES_tradnl"/>
        </w:rPr>
        <w:t>Gollnisch</w:t>
      </w:r>
      <w:proofErr w:type="spellEnd"/>
      <w:r w:rsidRPr="004C4D53">
        <w:rPr>
          <w:sz w:val="24"/>
          <w:lang w:val="es-ES_tradnl"/>
        </w:rPr>
        <w:t>/Parlamento, T</w:t>
      </w:r>
      <w:r w:rsidRPr="004C4D53">
        <w:rPr>
          <w:sz w:val="24"/>
          <w:lang w:val="es-ES_tradnl"/>
        </w:rPr>
        <w:noBreakHyphen/>
        <w:t xml:space="preserve">42/06, ECLI:EU:T:2010:102; sentencia del Tribunal de Justicia de 6 de septiembre de 2011, </w:t>
      </w:r>
      <w:proofErr w:type="spellStart"/>
      <w:r w:rsidRPr="004C4D53">
        <w:rPr>
          <w:sz w:val="24"/>
          <w:lang w:val="es-ES_tradnl"/>
        </w:rPr>
        <w:t>Patriciello</w:t>
      </w:r>
      <w:proofErr w:type="spellEnd"/>
      <w:r w:rsidRPr="004C4D53">
        <w:rPr>
          <w:sz w:val="24"/>
          <w:lang w:val="es-ES_tradnl"/>
        </w:rPr>
        <w:t>, C</w:t>
      </w:r>
      <w:r w:rsidRPr="004C4D53">
        <w:rPr>
          <w:sz w:val="24"/>
          <w:lang w:val="es-ES_tradnl"/>
        </w:rPr>
        <w:noBreakHyphen/>
        <w:t xml:space="preserve">163/10, ECLI: EU:C:2011:543; sentencia del Tribunal General de 17 de enero de 2013, </w:t>
      </w:r>
      <w:proofErr w:type="spellStart"/>
      <w:r w:rsidRPr="004C4D53">
        <w:rPr>
          <w:sz w:val="24"/>
          <w:lang w:val="es-ES_tradnl"/>
        </w:rPr>
        <w:t>Gollnisch</w:t>
      </w:r>
      <w:proofErr w:type="spellEnd"/>
      <w:r w:rsidRPr="004C4D53">
        <w:rPr>
          <w:sz w:val="24"/>
          <w:lang w:val="es-ES_tradnl"/>
        </w:rPr>
        <w:t>/Parlamento, T</w:t>
      </w:r>
      <w:r w:rsidRPr="004C4D53">
        <w:rPr>
          <w:sz w:val="24"/>
          <w:lang w:val="es-ES_tradnl"/>
        </w:rPr>
        <w:noBreakHyphen/>
        <w:t>346/11 y T</w:t>
      </w:r>
      <w:r w:rsidRPr="004C4D53">
        <w:rPr>
          <w:sz w:val="24"/>
          <w:lang w:val="es-ES_tradnl"/>
        </w:rPr>
        <w:noBreakHyphen/>
        <w:t xml:space="preserve">347/11, ECLI:EU:T:2013:23; sentencia del Tribunal de Justicia de 19 de diciembre de 2019, Junqueras </w:t>
      </w:r>
      <w:proofErr w:type="spellStart"/>
      <w:r w:rsidRPr="004C4D53">
        <w:rPr>
          <w:sz w:val="24"/>
          <w:lang w:val="es-ES_tradnl"/>
        </w:rPr>
        <w:t>Vies</w:t>
      </w:r>
      <w:proofErr w:type="spellEnd"/>
      <w:r w:rsidRPr="004C4D53">
        <w:rPr>
          <w:sz w:val="24"/>
          <w:lang w:val="es-ES_tradnl"/>
        </w:rPr>
        <w:t>, C</w:t>
      </w:r>
      <w:r w:rsidRPr="004C4D53">
        <w:rPr>
          <w:sz w:val="24"/>
          <w:lang w:val="es-ES_tradnl"/>
        </w:rPr>
        <w:noBreakHyphen/>
        <w:t xml:space="preserve">502/19, ECLI:EU:C:2019:1115; sentencia del Tribunal General de 5 de julio de 2023, </w:t>
      </w:r>
      <w:proofErr w:type="spellStart"/>
      <w:r w:rsidRPr="004C4D53">
        <w:rPr>
          <w:sz w:val="24"/>
          <w:lang w:val="es-ES_tradnl"/>
        </w:rPr>
        <w:t>Puigdemont</w:t>
      </w:r>
      <w:proofErr w:type="spellEnd"/>
      <w:r w:rsidRPr="004C4D53">
        <w:rPr>
          <w:sz w:val="24"/>
          <w:lang w:val="es-ES_tradnl"/>
        </w:rPr>
        <w:t xml:space="preserve"> i </w:t>
      </w:r>
      <w:proofErr w:type="spellStart"/>
      <w:r w:rsidRPr="004C4D53">
        <w:rPr>
          <w:sz w:val="24"/>
          <w:lang w:val="es-ES_tradnl"/>
        </w:rPr>
        <w:t>Casamajó</w:t>
      </w:r>
      <w:proofErr w:type="spellEnd"/>
      <w:r w:rsidRPr="004C4D53">
        <w:rPr>
          <w:sz w:val="24"/>
          <w:lang w:val="es-ES_tradnl"/>
        </w:rPr>
        <w:t xml:space="preserve"> y otros/Parlamento, T</w:t>
      </w:r>
      <w:r w:rsidRPr="004C4D53">
        <w:rPr>
          <w:sz w:val="24"/>
          <w:lang w:val="es-ES_tradnl"/>
        </w:rPr>
        <w:noBreakHyphen/>
        <w:t>272/21, ECLI:EU:T:2023:373.</w:t>
      </w:r>
    </w:p>
  </w:footnote>
  <w:footnote w:id="2">
    <w:p w14:paraId="0AC9C1EE" w14:textId="11D6A968" w:rsidR="00784D3D" w:rsidRPr="004C4D53" w:rsidRDefault="00784D3D" w:rsidP="004C4D53">
      <w:pPr>
        <w:pStyle w:val="FootnoteText"/>
        <w:ind w:left="567" w:hanging="567"/>
        <w:rPr>
          <w:sz w:val="24"/>
          <w:lang w:val="es-ES_tradnl"/>
        </w:rPr>
      </w:pPr>
      <w:r w:rsidRPr="004C4D53">
        <w:rPr>
          <w:rStyle w:val="FootnoteReference"/>
          <w:sz w:val="24"/>
          <w:lang w:val="es-ES_tradnl"/>
        </w:rPr>
        <w:footnoteRef/>
      </w:r>
      <w:r w:rsidR="004C4D53" w:rsidRPr="004C4D53">
        <w:rPr>
          <w:sz w:val="24"/>
          <w:lang w:val="es-ES_tradnl"/>
        </w:rPr>
        <w:t xml:space="preserve"> </w:t>
      </w:r>
      <w:r w:rsidR="004C4D53" w:rsidRPr="004C4D53">
        <w:rPr>
          <w:sz w:val="24"/>
          <w:lang w:val="es-ES_tradnl"/>
        </w:rPr>
        <w:tab/>
      </w:r>
      <w:r w:rsidRPr="004C4D53">
        <w:rPr>
          <w:sz w:val="24"/>
          <w:lang w:val="es-ES_tradnl"/>
        </w:rPr>
        <w:t>Traducción al inglés del original.</w:t>
      </w:r>
    </w:p>
  </w:footnote>
  <w:footnote w:id="3">
    <w:p w14:paraId="79216E45" w14:textId="732DA6C3" w:rsidR="00784D3D" w:rsidRPr="004C4D53" w:rsidRDefault="00784D3D" w:rsidP="004C4D53">
      <w:pPr>
        <w:pStyle w:val="FootnoteText"/>
        <w:ind w:left="567" w:hanging="567"/>
        <w:rPr>
          <w:sz w:val="24"/>
          <w:lang w:val="es-ES_tradnl"/>
        </w:rPr>
      </w:pPr>
      <w:r w:rsidRPr="004C4D53">
        <w:rPr>
          <w:rStyle w:val="FootnoteReference"/>
          <w:sz w:val="24"/>
          <w:lang w:val="es-ES_tradnl"/>
        </w:rPr>
        <w:footnoteRef/>
      </w:r>
      <w:r w:rsidR="004C4D53" w:rsidRPr="004C4D53">
        <w:rPr>
          <w:sz w:val="24"/>
          <w:lang w:val="es-ES_tradnl"/>
        </w:rPr>
        <w:t xml:space="preserve"> </w:t>
      </w:r>
      <w:r w:rsidR="004C4D53" w:rsidRPr="004C4D53">
        <w:rPr>
          <w:sz w:val="24"/>
          <w:lang w:val="es-ES_tradnl"/>
        </w:rPr>
        <w:tab/>
      </w:r>
      <w:r w:rsidRPr="004C4D53">
        <w:rPr>
          <w:sz w:val="24"/>
          <w:lang w:val="es-ES_tradnl"/>
        </w:rPr>
        <w:t xml:space="preserve">Sentencia del Tribunal General de 30 de abril de 2019, </w:t>
      </w:r>
      <w:proofErr w:type="spellStart"/>
      <w:r w:rsidRPr="004C4D53">
        <w:rPr>
          <w:sz w:val="24"/>
          <w:lang w:val="es-ES_tradnl"/>
        </w:rPr>
        <w:t>Briois</w:t>
      </w:r>
      <w:proofErr w:type="spellEnd"/>
      <w:r w:rsidRPr="004C4D53">
        <w:rPr>
          <w:sz w:val="24"/>
          <w:lang w:val="es-ES_tradnl"/>
        </w:rPr>
        <w:t>/Parlamento, T</w:t>
      </w:r>
      <w:r w:rsidRPr="004C4D53">
        <w:rPr>
          <w:sz w:val="24"/>
          <w:lang w:val="es-ES_tradnl"/>
        </w:rPr>
        <w:noBreakHyphen/>
        <w:t>214/18, ECLI:</w:t>
      </w:r>
      <w:proofErr w:type="gramStart"/>
      <w:r w:rsidRPr="004C4D53">
        <w:rPr>
          <w:sz w:val="24"/>
          <w:lang w:val="es-ES_tradnl"/>
        </w:rPr>
        <w:t>EU:T</w:t>
      </w:r>
      <w:proofErr w:type="gramEnd"/>
      <w:r w:rsidRPr="004C4D53">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F8EE" w14:textId="77777777" w:rsidR="00064002" w:rsidRPr="004C4D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B1A35" w14:textId="77777777" w:rsidR="00064002" w:rsidRPr="004C4D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05109" w14:textId="77777777" w:rsidR="00064002" w:rsidRPr="004C4D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ES"/>
    <w:docVar w:name="dvnumam" w:val="0"/>
    <w:docVar w:name="dvpe" w:val="766.948"/>
    <w:docVar w:name="dvrapporteur" w:val="Ponente: "/>
    <w:docVar w:name="dvtitre" w:val="Resolución del Parlamento Europeo, de x de abril de 2025, sobre el suplicatorio de suspensión de la inmunidad de Petr Bystron(2024/2048(IMM))"/>
  </w:docVars>
  <w:rsids>
    <w:rsidRoot w:val="00A156E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3E20"/>
    <w:rsid w:val="00471C19"/>
    <w:rsid w:val="004867E3"/>
    <w:rsid w:val="00494A28"/>
    <w:rsid w:val="004C0004"/>
    <w:rsid w:val="004C4D53"/>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4D3D"/>
    <w:rsid w:val="00786EC0"/>
    <w:rsid w:val="007D1690"/>
    <w:rsid w:val="007E22AD"/>
    <w:rsid w:val="00817416"/>
    <w:rsid w:val="00842779"/>
    <w:rsid w:val="00865F67"/>
    <w:rsid w:val="008742DA"/>
    <w:rsid w:val="00881A7B"/>
    <w:rsid w:val="008840E5"/>
    <w:rsid w:val="00887B3E"/>
    <w:rsid w:val="008C2AC6"/>
    <w:rsid w:val="00912724"/>
    <w:rsid w:val="00930C23"/>
    <w:rsid w:val="0093193B"/>
    <w:rsid w:val="009509D8"/>
    <w:rsid w:val="00950B64"/>
    <w:rsid w:val="00981893"/>
    <w:rsid w:val="009E49F1"/>
    <w:rsid w:val="00A156EE"/>
    <w:rsid w:val="00A1687D"/>
    <w:rsid w:val="00A43E52"/>
    <w:rsid w:val="00A4678D"/>
    <w:rsid w:val="00A778C7"/>
    <w:rsid w:val="00A84BE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22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4B7F1"/>
  <w15:chartTrackingRefBased/>
  <w15:docId w15:val="{AD7D2834-4D6A-4F31-A5A2-D1C3A09C3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4D3D"/>
    <w:pPr>
      <w:spacing w:after="240"/>
      <w:ind w:left="567" w:hanging="567"/>
    </w:pPr>
  </w:style>
  <w:style w:type="paragraph" w:customStyle="1" w:styleId="EPComma">
    <w:name w:val="EPComma"/>
    <w:basedOn w:val="Normal"/>
    <w:rsid w:val="00784D3D"/>
    <w:pPr>
      <w:spacing w:before="480" w:after="240"/>
    </w:pPr>
  </w:style>
  <w:style w:type="paragraph" w:styleId="BalloonText">
    <w:name w:val="Balloon Text"/>
    <w:basedOn w:val="Normal"/>
    <w:link w:val="BalloonTextChar"/>
    <w:rsid w:val="00453E20"/>
    <w:rPr>
      <w:rFonts w:ascii="Segoe UI" w:hAnsi="Segoe UI" w:cs="Segoe UI"/>
      <w:sz w:val="18"/>
      <w:szCs w:val="18"/>
    </w:rPr>
  </w:style>
  <w:style w:type="character" w:customStyle="1" w:styleId="BalloonTextChar">
    <w:name w:val="Balloon Text Char"/>
    <w:basedOn w:val="DefaultParagraphFont"/>
    <w:link w:val="BalloonText"/>
    <w:rsid w:val="00453E20"/>
    <w:rPr>
      <w:rFonts w:ascii="Segoe UI" w:hAnsi="Segoe UI" w:cs="Segoe UI"/>
      <w:sz w:val="18"/>
      <w:szCs w:val="18"/>
      <w:lang w:val="es-ES_tradnl"/>
    </w:rPr>
  </w:style>
  <w:style w:type="character" w:styleId="CommentReference">
    <w:name w:val="annotation reference"/>
    <w:basedOn w:val="DefaultParagraphFont"/>
    <w:rsid w:val="00453E20"/>
    <w:rPr>
      <w:sz w:val="16"/>
      <w:szCs w:val="16"/>
    </w:rPr>
  </w:style>
  <w:style w:type="paragraph" w:styleId="CommentText">
    <w:name w:val="annotation text"/>
    <w:basedOn w:val="Normal"/>
    <w:link w:val="CommentTextChar"/>
    <w:rsid w:val="00453E20"/>
    <w:rPr>
      <w:sz w:val="20"/>
    </w:rPr>
  </w:style>
  <w:style w:type="character" w:customStyle="1" w:styleId="CommentTextChar">
    <w:name w:val="Comment Text Char"/>
    <w:basedOn w:val="DefaultParagraphFont"/>
    <w:link w:val="CommentText"/>
    <w:rsid w:val="00453E20"/>
    <w:rPr>
      <w:lang w:val="es-ES_tradnl"/>
    </w:rPr>
  </w:style>
  <w:style w:type="paragraph" w:styleId="CommentSubject">
    <w:name w:val="annotation subject"/>
    <w:basedOn w:val="CommentText"/>
    <w:next w:val="CommentText"/>
    <w:link w:val="CommentSubjectChar"/>
    <w:rsid w:val="00453E20"/>
    <w:rPr>
      <w:b/>
      <w:bCs/>
    </w:rPr>
  </w:style>
  <w:style w:type="character" w:customStyle="1" w:styleId="CommentSubjectChar">
    <w:name w:val="Comment Subject Char"/>
    <w:basedOn w:val="CommentTextChar"/>
    <w:link w:val="CommentSubject"/>
    <w:rsid w:val="00453E2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48AFE-4EE2-43FA-9CE6-09709FC16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1085</Words>
  <Characters>5595</Characters>
  <Application>Microsoft Office Word</Application>
  <DocSecurity>0</DocSecurity>
  <Lines>207</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2025-04-01T10:42:00Z</dcterms:created>
  <dcterms:modified xsi:type="dcterms:W3CDTF">2025-04-01T10:42:00Z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A10-0030/2025</vt:lpwstr>
  </property>
  <property fmtid="{D5CDD505-2E9C-101B-9397-08002B2CF9AE}" pid="4" name="&lt;Type&gt;">
    <vt:lpwstr>RR</vt:lpwstr>
  </property>
</Properties>
</file>