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2023" w:rsidTr="0010095E">
        <w:trPr>
          <w:trHeight w:hRule="exact" w:val="1418"/>
        </w:trPr>
        <w:tc>
          <w:tcPr>
            <w:tcW w:w="6804" w:type="dxa"/>
            <w:shd w:val="clear" w:color="auto" w:fill="auto"/>
            <w:vAlign w:val="center"/>
          </w:tcPr>
          <w:p w:rsidR="00751A4A" w:rsidRPr="00E02023" w:rsidRDefault="00BB17D4" w:rsidP="0010095E">
            <w:pPr>
              <w:pStyle w:val="EPName"/>
            </w:pPr>
            <w:r w:rsidRPr="00E02023">
              <w:t>Parlement européen</w:t>
            </w:r>
          </w:p>
          <w:p w:rsidR="00751A4A" w:rsidRPr="00E02023" w:rsidRDefault="005F1B17" w:rsidP="005F1B17">
            <w:pPr>
              <w:pStyle w:val="EPTerm"/>
              <w:rPr>
                <w:rStyle w:val="HideTWBExt"/>
                <w:noProof w:val="0"/>
                <w:vanish w:val="0"/>
                <w:color w:val="auto"/>
              </w:rPr>
            </w:pPr>
            <w:r w:rsidRPr="00E02023">
              <w:t>2024</w:t>
            </w:r>
            <w:r w:rsidR="00817416" w:rsidRPr="00E02023">
              <w:t>-202</w:t>
            </w:r>
            <w:r w:rsidRPr="00E02023">
              <w:t>9</w:t>
            </w:r>
          </w:p>
        </w:tc>
        <w:tc>
          <w:tcPr>
            <w:tcW w:w="2268" w:type="dxa"/>
            <w:shd w:val="clear" w:color="auto" w:fill="auto"/>
          </w:tcPr>
          <w:p w:rsidR="00751A4A" w:rsidRPr="00E02023" w:rsidRDefault="00187494" w:rsidP="0010095E">
            <w:pPr>
              <w:pStyle w:val="EPLogo"/>
            </w:pPr>
            <w:r w:rsidRPr="00E020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2023" w:rsidRDefault="00D058B8" w:rsidP="004C5D52">
      <w:pPr>
        <w:pStyle w:val="LineTop"/>
      </w:pPr>
    </w:p>
    <w:p w:rsidR="00680577" w:rsidRPr="00E02023" w:rsidRDefault="00BB17D4" w:rsidP="00680577">
      <w:pPr>
        <w:pStyle w:val="EPBodyTA1"/>
      </w:pPr>
      <w:r w:rsidRPr="00E02023">
        <w:t>TEXTES ADOPTÉS</w:t>
      </w:r>
    </w:p>
    <w:p w:rsidR="00D058B8" w:rsidRPr="00E02023" w:rsidRDefault="00D058B8" w:rsidP="00D058B8">
      <w:pPr>
        <w:pStyle w:val="LineBottom"/>
      </w:pPr>
    </w:p>
    <w:p w:rsidR="00BB17D4" w:rsidRPr="00E02023" w:rsidRDefault="00BB17D4" w:rsidP="00BB17D4">
      <w:pPr>
        <w:pStyle w:val="ATHeading1"/>
      </w:pPr>
      <w:bookmarkStart w:id="0" w:name="TANumber"/>
      <w:r w:rsidRPr="00E02023">
        <w:t>P10_TA(2025)00</w:t>
      </w:r>
      <w:r w:rsidR="00145C32">
        <w:t>41</w:t>
      </w:r>
      <w:bookmarkStart w:id="1" w:name="_GoBack"/>
      <w:bookmarkEnd w:id="0"/>
      <w:bookmarkEnd w:id="1"/>
    </w:p>
    <w:p w:rsidR="00BB17D4" w:rsidRPr="00E02023" w:rsidRDefault="00BB17D4" w:rsidP="00BB17D4">
      <w:pPr>
        <w:pStyle w:val="ATHeading2"/>
      </w:pPr>
      <w:bookmarkStart w:id="2" w:name="title"/>
      <w:r w:rsidRPr="00E02023">
        <w:t xml:space="preserve">Demande de levée de l’immunité de Petr </w:t>
      </w:r>
      <w:proofErr w:type="spellStart"/>
      <w:r w:rsidRPr="00E02023">
        <w:t>Bystron</w:t>
      </w:r>
      <w:bookmarkEnd w:id="2"/>
      <w:proofErr w:type="spellEnd"/>
    </w:p>
    <w:p w:rsidR="00BB17D4" w:rsidRPr="00E02023" w:rsidRDefault="00BB17D4" w:rsidP="00BB17D4">
      <w:pPr>
        <w:rPr>
          <w:i/>
          <w:vanish/>
        </w:rPr>
      </w:pPr>
      <w:r w:rsidRPr="00E02023">
        <w:rPr>
          <w:i/>
        </w:rPr>
        <w:fldChar w:fldCharType="begin"/>
      </w:r>
      <w:r w:rsidRPr="00E02023">
        <w:rPr>
          <w:i/>
        </w:rPr>
        <w:instrText xml:space="preserve"> TC"(</w:instrText>
      </w:r>
      <w:bookmarkStart w:id="3" w:name="DocNumber"/>
      <w:r w:rsidRPr="00E02023">
        <w:rPr>
          <w:i/>
        </w:rPr>
        <w:instrText>A10-0030/2025</w:instrText>
      </w:r>
      <w:bookmarkEnd w:id="3"/>
      <w:r w:rsidRPr="00E02023">
        <w:rPr>
          <w:i/>
        </w:rPr>
        <w:instrText xml:space="preserve"> - Rapporteur: Dominik Tarczyński)"\l3 \n&gt; \* MERGEFORMAT </w:instrText>
      </w:r>
      <w:r w:rsidRPr="00E02023">
        <w:rPr>
          <w:i/>
        </w:rPr>
        <w:fldChar w:fldCharType="end"/>
      </w:r>
    </w:p>
    <w:p w:rsidR="00BB17D4" w:rsidRPr="00E02023" w:rsidRDefault="00BB17D4" w:rsidP="00BB17D4">
      <w:pPr>
        <w:rPr>
          <w:vanish/>
        </w:rPr>
      </w:pPr>
      <w:bookmarkStart w:id="4" w:name="Commission"/>
      <w:r w:rsidRPr="00E02023">
        <w:rPr>
          <w:vanish/>
        </w:rPr>
        <w:t>Commission des affaires juridiques</w:t>
      </w:r>
      <w:bookmarkEnd w:id="4"/>
    </w:p>
    <w:p w:rsidR="00BB17D4" w:rsidRPr="00E02023" w:rsidRDefault="00BB17D4" w:rsidP="00BB17D4">
      <w:pPr>
        <w:rPr>
          <w:vanish/>
        </w:rPr>
      </w:pPr>
      <w:bookmarkStart w:id="5" w:name="PE"/>
      <w:r w:rsidRPr="00E02023">
        <w:rPr>
          <w:vanish/>
        </w:rPr>
        <w:t>PE766.948</w:t>
      </w:r>
      <w:bookmarkEnd w:id="5"/>
    </w:p>
    <w:p w:rsidR="00BB17D4" w:rsidRPr="00E02023" w:rsidRDefault="00BB17D4" w:rsidP="00BB17D4">
      <w:pPr>
        <w:pStyle w:val="ATHeading3"/>
      </w:pPr>
      <w:bookmarkStart w:id="6" w:name="Sujet"/>
      <w:r w:rsidRPr="00E02023">
        <w:t xml:space="preserve">Décision du Parlement européen du </w:t>
      </w:r>
      <w:r w:rsidR="00313D89">
        <w:t>1</w:t>
      </w:r>
      <w:r w:rsidR="00313D89" w:rsidRPr="00313D89">
        <w:rPr>
          <w:vertAlign w:val="superscript"/>
        </w:rPr>
        <w:t>er</w:t>
      </w:r>
      <w:r w:rsidR="00313D89">
        <w:t xml:space="preserve"> avril</w:t>
      </w:r>
      <w:r w:rsidRPr="00E02023">
        <w:t xml:space="preserve"> 2025 sur la demande de levée de l’immunité de Petr </w:t>
      </w:r>
      <w:proofErr w:type="spellStart"/>
      <w:r w:rsidRPr="00E02023">
        <w:t>Bystron</w:t>
      </w:r>
      <w:bookmarkEnd w:id="6"/>
      <w:proofErr w:type="spellEnd"/>
      <w:r w:rsidRPr="00E02023">
        <w:t xml:space="preserve"> </w:t>
      </w:r>
      <w:bookmarkStart w:id="7" w:name="References"/>
      <w:r w:rsidRPr="00E02023">
        <w:t>(2024/2048(IMM))</w:t>
      </w:r>
      <w:bookmarkEnd w:id="7"/>
    </w:p>
    <w:p w:rsidR="00435978" w:rsidRPr="00E02023" w:rsidRDefault="00435978" w:rsidP="00435978">
      <w:pPr>
        <w:pStyle w:val="EPComma"/>
      </w:pPr>
      <w:bookmarkStart w:id="8" w:name="TextBodyBegin"/>
      <w:bookmarkEnd w:id="8"/>
      <w:r w:rsidRPr="00E02023">
        <w:rPr>
          <w:i/>
        </w:rPr>
        <w:t>Le Parlement européen</w:t>
      </w:r>
      <w:r w:rsidRPr="00E02023">
        <w:t xml:space="preserve">, </w:t>
      </w:r>
    </w:p>
    <w:p w:rsidR="00435978" w:rsidRPr="00E02023" w:rsidRDefault="00435978" w:rsidP="00435978">
      <w:pPr>
        <w:pStyle w:val="NormalHanging12a"/>
      </w:pPr>
      <w:r w:rsidRPr="00E02023">
        <w:t>–</w:t>
      </w:r>
      <w:r w:rsidRPr="00E02023">
        <w:tab/>
        <w:t xml:space="preserve">vu la demande de levée de l’immunité de Petr </w:t>
      </w:r>
      <w:proofErr w:type="spellStart"/>
      <w:r w:rsidRPr="00E02023">
        <w:t>Bystron</w:t>
      </w:r>
      <w:proofErr w:type="spellEnd"/>
      <w:r w:rsidRPr="00E02023">
        <w:t xml:space="preserve">, reçue par lettre du 27 août 2024 du ministère fédéral allemand de la justice, transmettant une demande du procureur </w:t>
      </w:r>
      <w:r w:rsidR="00687EDE">
        <w:t xml:space="preserve">général </w:t>
      </w:r>
      <w:r w:rsidRPr="00E02023">
        <w:t>en chef de Munich I, en liaison avec la procédure pénale en instance devant le tribunal de district de Munich, et communiquée en séance plénière le 16 septembre 2024,</w:t>
      </w:r>
    </w:p>
    <w:p w:rsidR="00435978" w:rsidRPr="00E02023" w:rsidRDefault="00435978" w:rsidP="00435978">
      <w:pPr>
        <w:pStyle w:val="NormalHanging12a"/>
      </w:pPr>
      <w:r w:rsidRPr="00E02023">
        <w:t>–</w:t>
      </w:r>
      <w:r w:rsidRPr="00E02023">
        <w:tab/>
        <w:t xml:space="preserve">ayant entendu Petr </w:t>
      </w:r>
      <w:proofErr w:type="spellStart"/>
      <w:r w:rsidRPr="00E02023">
        <w:t>Bystron</w:t>
      </w:r>
      <w:proofErr w:type="spellEnd"/>
      <w:r w:rsidRPr="00E02023">
        <w:t xml:space="preserve"> le 29 janvier 2025, conformément à l’article 9, paragraphe 6, de son règlement intérieur, et vu les documents qu’il a produits lors de l’audition,</w:t>
      </w:r>
    </w:p>
    <w:p w:rsidR="00435978" w:rsidRPr="00E02023" w:rsidRDefault="00435978" w:rsidP="00435978">
      <w:pPr>
        <w:pStyle w:val="NormalHanging12a"/>
      </w:pPr>
      <w:r w:rsidRPr="00E02023">
        <w:t>–</w:t>
      </w:r>
      <w:r w:rsidRPr="00E02023">
        <w:tab/>
        <w:t>vu les articles 8 et 9 du protocole nº 7 sur les privilèges et immunités de l’Union européenne ainsi que l’article 6, paragraphe 2, de l’acte portant élection des membres du Parlement européen au suffrage universel direct, du 20 septembre 1976,</w:t>
      </w:r>
    </w:p>
    <w:p w:rsidR="00435978" w:rsidRPr="00E02023" w:rsidRDefault="00435978" w:rsidP="00435978">
      <w:pPr>
        <w:pStyle w:val="NormalHanging12a"/>
      </w:pPr>
      <w:r w:rsidRPr="00E02023">
        <w:t>–</w:t>
      </w:r>
      <w:r w:rsidRPr="00E02023">
        <w:tab/>
        <w:t>vu les arrêts rendus par la Cour de justice de l’Union européenne les 21 octobre 2008, 19 mars 2010, 6 septembre 2011, 17 janvier 2013, 19 décembre 2019 et 5 juillet 2023</w:t>
      </w:r>
      <w:r w:rsidRPr="00E02023">
        <w:rPr>
          <w:rStyle w:val="FootnoteReference"/>
          <w:color w:val="000000"/>
        </w:rPr>
        <w:footnoteReference w:id="1"/>
      </w:r>
      <w:r w:rsidRPr="00E02023">
        <w:t>,</w:t>
      </w:r>
    </w:p>
    <w:p w:rsidR="00435978" w:rsidRPr="00E02023" w:rsidRDefault="00435978" w:rsidP="00435978">
      <w:pPr>
        <w:pStyle w:val="NormalHanging12a"/>
      </w:pPr>
      <w:r w:rsidRPr="00E02023">
        <w:t>–</w:t>
      </w:r>
      <w:r w:rsidRPr="00E02023">
        <w:tab/>
        <w:t>vu l’article 46 de la loi fondamentale de la République fédérale d’Allemagne,</w:t>
      </w:r>
    </w:p>
    <w:p w:rsidR="00435978" w:rsidRPr="00E02023" w:rsidRDefault="00435978" w:rsidP="00435978">
      <w:pPr>
        <w:pStyle w:val="NormalHanging12a"/>
      </w:pPr>
      <w:r w:rsidRPr="00E02023">
        <w:t>–</w:t>
      </w:r>
      <w:r w:rsidRPr="00E02023">
        <w:tab/>
        <w:t xml:space="preserve">vu l’article 5, paragraphe 2, l’article 6, paragraphe 1, et l’article 9 de son règlement </w:t>
      </w:r>
      <w:r w:rsidRPr="00E02023">
        <w:lastRenderedPageBreak/>
        <w:t>intérieur,</w:t>
      </w:r>
    </w:p>
    <w:p w:rsidR="00435978" w:rsidRPr="00E02023" w:rsidRDefault="00435978" w:rsidP="00435978">
      <w:pPr>
        <w:pStyle w:val="NormalHanging12a"/>
      </w:pPr>
      <w:r w:rsidRPr="00E02023">
        <w:t>–</w:t>
      </w:r>
      <w:r w:rsidRPr="00E02023">
        <w:tab/>
        <w:t>vu le rapport de la commission des affaires juridiques (A10-0030/2025),</w:t>
      </w:r>
    </w:p>
    <w:p w:rsidR="00435978" w:rsidRPr="00E02023" w:rsidRDefault="00435978" w:rsidP="00435978">
      <w:pPr>
        <w:pStyle w:val="NormalHanging12a"/>
      </w:pPr>
      <w:r w:rsidRPr="00E02023">
        <w:t>A.</w:t>
      </w:r>
      <w:r w:rsidRPr="00E02023">
        <w:tab/>
        <w:t xml:space="preserve">considérant que le procureur général </w:t>
      </w:r>
      <w:r w:rsidR="00687EDE">
        <w:t xml:space="preserve">en chef </w:t>
      </w:r>
      <w:r w:rsidRPr="00E02023">
        <w:t xml:space="preserve">de Munich I a demandé la levée de l’immunité parlementaire de Petr </w:t>
      </w:r>
      <w:proofErr w:type="spellStart"/>
      <w:r w:rsidRPr="00E02023">
        <w:t>Bystron</w:t>
      </w:r>
      <w:proofErr w:type="spellEnd"/>
      <w:r w:rsidRPr="00E02023">
        <w:t>, député au Parlement européen, dans le cadre des accusations portées contre lui au titre de l’article 86 bis du code pénal allemand et en lien avec l’article 86 du</w:t>
      </w:r>
      <w:r w:rsidR="00980AC2">
        <w:t>dit</w:t>
      </w:r>
      <w:r w:rsidRPr="00E02023">
        <w:t xml:space="preserve"> code, concernant l’utilisation présumée de symboles d’organisations anticonstitutionnelles et terroristes;</w:t>
      </w:r>
    </w:p>
    <w:p w:rsidR="00435978" w:rsidRPr="00E02023" w:rsidRDefault="00435978" w:rsidP="00435978">
      <w:pPr>
        <w:pStyle w:val="NormalHanging12a"/>
      </w:pPr>
      <w:r w:rsidRPr="00E02023">
        <w:rPr>
          <w:shd w:val="clear" w:color="auto" w:fill="FFFFFF"/>
        </w:rPr>
        <w:t>B.</w:t>
      </w:r>
      <w:r w:rsidRPr="00E02023">
        <w:rPr>
          <w:shd w:val="clear" w:color="auto" w:fill="FFFFFF"/>
        </w:rPr>
        <w:tab/>
      </w:r>
      <w:r w:rsidRPr="00E02023">
        <w:t xml:space="preserve">considérant que la demande indique qu’à la suite de la révocation de l’ambassadeur d’Ukraine en Allemagne le 12 juillet 2022, Petr </w:t>
      </w:r>
      <w:proofErr w:type="spellStart"/>
      <w:r w:rsidRPr="00E02023">
        <w:t>Bystron</w:t>
      </w:r>
      <w:proofErr w:type="spellEnd"/>
      <w:r w:rsidRPr="00E02023">
        <w:t xml:space="preserve"> aurait publié un photomontage sur son compte Twitter, composé de photographies de personnes ayant précédemment occupé de hautes fonctions publiques, chacune tenant son bras droit ou gauche levé, avec la main tendue et les doigts pointés vers le haut; que le montage publié est accompagné de la légende</w:t>
      </w:r>
      <w:proofErr w:type="gramStart"/>
      <w:r w:rsidRPr="00E02023">
        <w:t xml:space="preserve"> «Bye</w:t>
      </w:r>
      <w:proofErr w:type="gramEnd"/>
      <w:r w:rsidRPr="00E02023">
        <w:t>, bye [...]! Les responsables politiques allemands disent au revoir!»</w:t>
      </w:r>
      <w:r w:rsidRPr="00E02023">
        <w:rPr>
          <w:rStyle w:val="FootnoteReference"/>
          <w:color w:val="000000"/>
        </w:rPr>
        <w:footnoteReference w:id="2"/>
      </w:r>
      <w:r w:rsidRPr="00E02023">
        <w:t xml:space="preserve">; que Petr </w:t>
      </w:r>
      <w:proofErr w:type="spellStart"/>
      <w:r w:rsidRPr="00E02023">
        <w:t>Bystron</w:t>
      </w:r>
      <w:proofErr w:type="spellEnd"/>
      <w:r w:rsidRPr="00E02023">
        <w:t xml:space="preserve"> a été accusé d’accepter au moins tacitement que ce photomontage donne à un utilisateur objectif de Twitter l’impression que la position du bras représentée consistait en un «salut hitlérien», une forme de salutation utilisée par le régime nazi; que Petr </w:t>
      </w:r>
      <w:proofErr w:type="spellStart"/>
      <w:r w:rsidRPr="00E02023">
        <w:t>Bystron</w:t>
      </w:r>
      <w:proofErr w:type="spellEnd"/>
      <w:r w:rsidRPr="00E02023">
        <w:t xml:space="preserve"> a été poursuivi pour avoir diffusé ou utilisé en public en Allemagne des symboles d’organisations anticonstitutionnelles et terroristes;</w:t>
      </w:r>
    </w:p>
    <w:p w:rsidR="00435978" w:rsidRPr="00E02023" w:rsidRDefault="00435978" w:rsidP="00435978">
      <w:pPr>
        <w:pStyle w:val="NormalHanging12a"/>
      </w:pPr>
      <w:r w:rsidRPr="00E02023">
        <w:t>C.</w:t>
      </w:r>
      <w:r w:rsidRPr="00E02023">
        <w:tab/>
        <w:t xml:space="preserve">considérant qu’à l’issue de l’enquête, les autorités compétentes ont présenté une demande de levée de l’immunité de Petr </w:t>
      </w:r>
      <w:proofErr w:type="spellStart"/>
      <w:r w:rsidRPr="00E02023">
        <w:t>Bystron</w:t>
      </w:r>
      <w:proofErr w:type="spellEnd"/>
      <w:r w:rsidRPr="00E02023">
        <w:t>, adressée au Bundestag allemand, dont il était membre à l’époque; que le Bundestag allemand a levé son immunité le 7 septembre 2023;</w:t>
      </w:r>
    </w:p>
    <w:p w:rsidR="00435978" w:rsidRPr="00E02023" w:rsidRDefault="00435978" w:rsidP="00435978">
      <w:pPr>
        <w:pStyle w:val="NormalHanging12a"/>
      </w:pPr>
      <w:r w:rsidRPr="00E02023">
        <w:t>D.</w:t>
      </w:r>
      <w:r w:rsidRPr="00E02023">
        <w:tab/>
      </w:r>
      <w:r w:rsidRPr="00E02023">
        <w:rPr>
          <w:shd w:val="clear" w:color="auto" w:fill="FFFFFF"/>
        </w:rPr>
        <w:t xml:space="preserve">considérant que Petr </w:t>
      </w:r>
      <w:proofErr w:type="spellStart"/>
      <w:r w:rsidRPr="00E02023">
        <w:rPr>
          <w:shd w:val="clear" w:color="auto" w:fill="FFFFFF"/>
        </w:rPr>
        <w:t>Bystron</w:t>
      </w:r>
      <w:proofErr w:type="spellEnd"/>
      <w:r w:rsidRPr="00E02023">
        <w:rPr>
          <w:shd w:val="clear" w:color="auto" w:fill="FFFFFF"/>
        </w:rPr>
        <w:t xml:space="preserve"> a été élu au Parlement européen lors des élections européennes de 2024; </w:t>
      </w:r>
      <w:r w:rsidRPr="00E02023">
        <w:t>qu’après l’annonce du résultat définitif des élections, les autorités compétentes, par décision du 9 juillet 2024, ont provisoirement suspendu la procédure pénale engagée contre lui afin de procéder à la demande de levée de son immunité;</w:t>
      </w:r>
    </w:p>
    <w:p w:rsidR="00435978" w:rsidRPr="00E02023" w:rsidRDefault="00435978" w:rsidP="00435978">
      <w:pPr>
        <w:pStyle w:val="NormalHanging12a"/>
      </w:pPr>
      <w:r w:rsidRPr="00E02023">
        <w:t>E.</w:t>
      </w:r>
      <w:r w:rsidRPr="00E02023">
        <w:tab/>
        <w:t xml:space="preserve">considérant que Petr </w:t>
      </w:r>
      <w:proofErr w:type="spellStart"/>
      <w:r w:rsidRPr="00E02023">
        <w:t>Bystron</w:t>
      </w:r>
      <w:proofErr w:type="spellEnd"/>
      <w:r w:rsidRPr="00E02023">
        <w:t xml:space="preserve"> n’était pas député au Parlement européen au moment de l’infraction présumée;</w:t>
      </w:r>
    </w:p>
    <w:p w:rsidR="00435978" w:rsidRPr="00E02023" w:rsidRDefault="00435978" w:rsidP="00435978">
      <w:pPr>
        <w:pStyle w:val="NormalHanging12a"/>
      </w:pPr>
      <w:r w:rsidRPr="00E02023">
        <w:t>F.</w:t>
      </w:r>
      <w:r w:rsidRPr="00E02023">
        <w:tab/>
        <w:t xml:space="preserve">considérant que l’infraction présumée et la demande de levée de son immunité qui en découle ne sont pas liées à une opinion ou à un vote émis par Petr </w:t>
      </w:r>
      <w:proofErr w:type="spellStart"/>
      <w:r w:rsidRPr="00E02023">
        <w:t>Bystron</w:t>
      </w:r>
      <w:proofErr w:type="spellEnd"/>
      <w:r w:rsidRPr="00E02023">
        <w:t xml:space="preserve"> dans l’exercice de ses fonctions au sens de l’article 8 du protocole nº 7 sur les privilèges et immunités de l’Union européenne;</w:t>
      </w:r>
    </w:p>
    <w:p w:rsidR="00435978" w:rsidRPr="00E02023" w:rsidRDefault="00435978" w:rsidP="00435978">
      <w:pPr>
        <w:pStyle w:val="NormalHanging12a"/>
      </w:pPr>
      <w:r w:rsidRPr="00E02023">
        <w:t>G.</w:t>
      </w:r>
      <w:r w:rsidRPr="00E02023">
        <w:tab/>
        <w:t xml:space="preserve">considérant que l’article 9, premier alinéa, </w:t>
      </w:r>
      <w:proofErr w:type="gramStart"/>
      <w:r w:rsidRPr="00E02023">
        <w:t>point a</w:t>
      </w:r>
      <w:proofErr w:type="gramEnd"/>
      <w:r w:rsidRPr="00E02023">
        <w:t>), du protocole nº 7 sur les privilèges et immunités de l’Union européenne dispose que les membres du Parlement européen bénéficient, sur leur territoire national, des immunités reconnues aux membres du parlement de leur pays;</w:t>
      </w:r>
    </w:p>
    <w:p w:rsidR="00435978" w:rsidRPr="00E02023" w:rsidRDefault="00435978" w:rsidP="00435978">
      <w:pPr>
        <w:pStyle w:val="NormalHanging12a"/>
      </w:pPr>
      <w:r w:rsidRPr="00E02023">
        <w:t>H.</w:t>
      </w:r>
      <w:r w:rsidRPr="00E02023">
        <w:tab/>
        <w:t>considérant que l’article 46, paragraphes 2, 3 et 4, de la loi fondamentale de la République fédérale d’Allemagne dispose ce qui suit:</w:t>
      </w:r>
    </w:p>
    <w:p w:rsidR="00435978" w:rsidRPr="00E02023" w:rsidRDefault="00435978" w:rsidP="00145C32">
      <w:pPr>
        <w:pStyle w:val="NormalHanging12a"/>
        <w:ind w:left="1134"/>
      </w:pPr>
      <w:proofErr w:type="gramStart"/>
      <w:r w:rsidRPr="00E02023">
        <w:t>«(</w:t>
      </w:r>
      <w:proofErr w:type="gramEnd"/>
      <w:r w:rsidRPr="00E02023">
        <w:t>2)</w:t>
      </w:r>
      <w:r w:rsidRPr="00E02023">
        <w:tab/>
        <w:t xml:space="preserve">Pour un acte passible d’une sanction, un député ne peut voir sa responsabilité mise en cause ou ne peut être arrêté qu’avec l’autorisation du Bundestag, à moins qu’il </w:t>
      </w:r>
      <w:r w:rsidRPr="00E02023">
        <w:lastRenderedPageBreak/>
        <w:t>n’ait été appréhendé en flagrant délit ou le lendemain du jour où il a commis cet acte.</w:t>
      </w:r>
    </w:p>
    <w:p w:rsidR="00435978" w:rsidRPr="00E02023" w:rsidRDefault="00435978" w:rsidP="00145C32">
      <w:pPr>
        <w:pStyle w:val="NormalHanging12a"/>
        <w:ind w:left="1134"/>
      </w:pPr>
      <w:r w:rsidRPr="00E02023">
        <w:t>(3)</w:t>
      </w:r>
      <w:r w:rsidRPr="00E02023">
        <w:tab/>
      </w:r>
      <w:r w:rsidR="00687EDE" w:rsidRPr="00E02023">
        <w:t>L’</w:t>
      </w:r>
      <w:r w:rsidR="00687EDE">
        <w:t xml:space="preserve">autorisation </w:t>
      </w:r>
      <w:r w:rsidRPr="00E02023">
        <w:t>du Bundestag est en outre nécessaire pour toute autre restriction apportée à la liberté personnelle d’un député ou pour l’introduction contre un député d’une procédure selon l’article 18.</w:t>
      </w:r>
    </w:p>
    <w:p w:rsidR="00435978" w:rsidRPr="00E02023" w:rsidRDefault="00435978" w:rsidP="00145C32">
      <w:pPr>
        <w:pStyle w:val="NormalHanging12a"/>
        <w:ind w:left="1134"/>
      </w:pPr>
      <w:r w:rsidRPr="00E02023">
        <w:t>(4)</w:t>
      </w:r>
      <w:r w:rsidRPr="00E02023">
        <w:tab/>
        <w:t>Toute procédure pénale et toute procédure selon l’article 18, intentées contre un député, toute détention et toute autre limitation de sa liberté personnelle doivent être suspendues lorsque le Bundestag le demande</w:t>
      </w:r>
      <w:proofErr w:type="gramStart"/>
      <w:r w:rsidRPr="00E02023">
        <w:t>.»</w:t>
      </w:r>
      <w:proofErr w:type="gramEnd"/>
      <w:r w:rsidRPr="00E02023">
        <w:t>;</w:t>
      </w:r>
    </w:p>
    <w:p w:rsidR="00435978" w:rsidRPr="00E02023" w:rsidRDefault="00435978" w:rsidP="00435978">
      <w:pPr>
        <w:pStyle w:val="NormalHanging12a"/>
      </w:pPr>
      <w:r w:rsidRPr="00E02023">
        <w:t>I.</w:t>
      </w:r>
      <w:r w:rsidRPr="00E02023">
        <w:tab/>
        <w:t>considérant que l’immunité parlementaire a pour objet de protéger le Parlement et ses députés contre des procédures judiciaires visant des activités menées dans l’exercice des fonctions parlementaires et indissociables de celles-ci;</w:t>
      </w:r>
    </w:p>
    <w:p w:rsidR="00435978" w:rsidRPr="00E02023" w:rsidRDefault="00435978" w:rsidP="00435978">
      <w:pPr>
        <w:pStyle w:val="NormalHanging12a"/>
      </w:pPr>
      <w:r w:rsidRPr="00E02023">
        <w:t>J.</w:t>
      </w:r>
      <w:r w:rsidRPr="00E02023">
        <w:tab/>
        <w:t xml:space="preserve">considérant que, conformément à l’article 5, paragraphe 2, </w:t>
      </w:r>
      <w:r w:rsidR="00D04791">
        <w:t>du</w:t>
      </w:r>
      <w:r w:rsidRPr="00E02023">
        <w:t xml:space="preserve"> règlement intérieur</w:t>
      </w:r>
      <w:r w:rsidR="00D04791">
        <w:t xml:space="preserve"> du Parlement</w:t>
      </w:r>
      <w:r w:rsidRPr="00E02023">
        <w:t>, l’immunité parlementaire n’est pas un privilège personnel du député, mais une garantie d’indépendance du Parlement dans son ensemble et de ses députés;</w:t>
      </w:r>
    </w:p>
    <w:p w:rsidR="00435978" w:rsidRPr="00E02023" w:rsidRDefault="00435978" w:rsidP="00435978">
      <w:pPr>
        <w:pStyle w:val="NormalHanging12a"/>
      </w:pPr>
      <w:r w:rsidRPr="00E02023">
        <w:t>K.</w:t>
      </w:r>
      <w:r w:rsidRPr="00E02023">
        <w:tab/>
        <w:t xml:space="preserve">considérant que, en l’espèce, le Parlement n’a trouvé aucun élément de preuve établissant l’existence d’un </w:t>
      </w:r>
      <w:proofErr w:type="spellStart"/>
      <w:r w:rsidRPr="00145C32">
        <w:rPr>
          <w:i/>
        </w:rPr>
        <w:t>fumus</w:t>
      </w:r>
      <w:proofErr w:type="spellEnd"/>
      <w:r w:rsidRPr="00145C32">
        <w:rPr>
          <w:i/>
        </w:rPr>
        <w:t> </w:t>
      </w:r>
      <w:proofErr w:type="spellStart"/>
      <w:r w:rsidRPr="00145C32">
        <w:rPr>
          <w:i/>
        </w:rPr>
        <w:t>persecutionis</w:t>
      </w:r>
      <w:proofErr w:type="spellEnd"/>
      <w:r w:rsidRPr="00E02023">
        <w:t xml:space="preserve">, c’est-à-dire des éléments de fait qui permettent de présumer que les poursuites </w:t>
      </w:r>
      <w:r w:rsidR="00490D23">
        <w:t xml:space="preserve">judiciaires </w:t>
      </w:r>
      <w:r w:rsidRPr="00E02023">
        <w:t>en question ont été engagées dans l’intention de nuire à l’activité politique du député en sa qualité de député au Parlement européen;</w:t>
      </w:r>
    </w:p>
    <w:p w:rsidR="00435978" w:rsidRPr="00E02023" w:rsidRDefault="00435978" w:rsidP="00435978">
      <w:pPr>
        <w:pStyle w:val="NormalHanging12a"/>
      </w:pPr>
      <w:r w:rsidRPr="00E02023">
        <w:t>L.</w:t>
      </w:r>
      <w:r w:rsidRPr="00E02023">
        <w:tab/>
        <w:t>considérant, d’une part, que le Parlement ne saurait être assimilé à un tribunal et, d’autre part, que le député ne saurait, dans le contexte d’une procédure de levée d’immunité, être considéré comme un «accusé»</w:t>
      </w:r>
      <w:r w:rsidRPr="00E02023">
        <w:rPr>
          <w:vertAlign w:val="superscript"/>
        </w:rPr>
        <w:footnoteReference w:id="3"/>
      </w:r>
      <w:r w:rsidRPr="00E02023">
        <w:t>;</w:t>
      </w:r>
    </w:p>
    <w:p w:rsidR="00435978" w:rsidRPr="00E02023" w:rsidRDefault="00435978" w:rsidP="00435978">
      <w:pPr>
        <w:pStyle w:val="NormalHanging12a"/>
      </w:pPr>
      <w:r w:rsidRPr="00E02023">
        <w:t>1.</w:t>
      </w:r>
      <w:r w:rsidRPr="00E02023">
        <w:tab/>
        <w:t xml:space="preserve">décide de lever l’immunité de Petr </w:t>
      </w:r>
      <w:proofErr w:type="spellStart"/>
      <w:r w:rsidRPr="00E02023">
        <w:t>Bystron</w:t>
      </w:r>
      <w:proofErr w:type="spellEnd"/>
      <w:r w:rsidRPr="00E02023">
        <w:t>;</w:t>
      </w:r>
    </w:p>
    <w:p w:rsidR="00E365E1" w:rsidRPr="00E02023" w:rsidRDefault="00435978" w:rsidP="00313D89">
      <w:pPr>
        <w:ind w:left="567" w:hanging="567"/>
      </w:pPr>
      <w:r w:rsidRPr="00E02023">
        <w:t>2.</w:t>
      </w:r>
      <w:r w:rsidRPr="00E02023">
        <w:tab/>
        <w:t xml:space="preserve">charge sa Présidente de transmettre immédiatement la présente décision et le rapport de sa commission compétente à l’autorité compétente de la République fédérale d’Allemagne et à Petr </w:t>
      </w:r>
      <w:proofErr w:type="spellStart"/>
      <w:r w:rsidRPr="00E02023">
        <w:t>Bystron</w:t>
      </w:r>
      <w:proofErr w:type="spellEnd"/>
      <w:r w:rsidRPr="00E02023">
        <w:t>.</w:t>
      </w:r>
    </w:p>
    <w:sectPr w:rsidR="00E365E1" w:rsidRPr="00E02023" w:rsidSect="00E0202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7D4" w:rsidRPr="00E02023" w:rsidRDefault="00BB17D4">
      <w:r w:rsidRPr="00E02023">
        <w:separator/>
      </w:r>
    </w:p>
  </w:endnote>
  <w:endnote w:type="continuationSeparator" w:id="0">
    <w:p w:rsidR="00BB17D4" w:rsidRPr="00E02023" w:rsidRDefault="00BB17D4">
      <w:r w:rsidRPr="00E02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7D4" w:rsidRPr="00E02023" w:rsidRDefault="00BB17D4">
      <w:r w:rsidRPr="00E02023">
        <w:separator/>
      </w:r>
    </w:p>
  </w:footnote>
  <w:footnote w:type="continuationSeparator" w:id="0">
    <w:p w:rsidR="00BB17D4" w:rsidRPr="00E02023" w:rsidRDefault="00BB17D4">
      <w:r w:rsidRPr="00E02023">
        <w:continuationSeparator/>
      </w:r>
    </w:p>
  </w:footnote>
  <w:footnote w:id="1">
    <w:p w:rsidR="00435978" w:rsidRPr="00E02023" w:rsidRDefault="00435978" w:rsidP="00E02023">
      <w:pPr>
        <w:pStyle w:val="FootnoteText"/>
        <w:ind w:left="567" w:hanging="567"/>
        <w:rPr>
          <w:sz w:val="24"/>
        </w:rPr>
      </w:pPr>
      <w:r w:rsidRPr="00E02023">
        <w:rPr>
          <w:rStyle w:val="FootnoteReference"/>
          <w:sz w:val="24"/>
        </w:rPr>
        <w:footnoteRef/>
      </w:r>
      <w:r w:rsidR="00E02023" w:rsidRPr="00E02023">
        <w:rPr>
          <w:sz w:val="24"/>
        </w:rPr>
        <w:t xml:space="preserve"> </w:t>
      </w:r>
      <w:r w:rsidR="00E02023" w:rsidRPr="00E02023">
        <w:rPr>
          <w:sz w:val="24"/>
        </w:rPr>
        <w:tab/>
      </w:r>
      <w:r w:rsidRPr="00E02023">
        <w:rPr>
          <w:sz w:val="24"/>
        </w:rPr>
        <w:t xml:space="preserve">Arrêt de la Cour de justice du 21 octobre 2008, Marra/De Gregorio et </w:t>
      </w:r>
      <w:proofErr w:type="spellStart"/>
      <w:r w:rsidRPr="00E02023">
        <w:rPr>
          <w:sz w:val="24"/>
        </w:rPr>
        <w:t>Clemente</w:t>
      </w:r>
      <w:proofErr w:type="spellEnd"/>
      <w:r w:rsidRPr="00E02023">
        <w:rPr>
          <w:sz w:val="24"/>
        </w:rPr>
        <w:t xml:space="preserve">, C-200/07 et C-201/07, ECLI:EU:C:2008:579; arrêt du Tribunal du 19 mars 2010, </w:t>
      </w:r>
      <w:proofErr w:type="spellStart"/>
      <w:r w:rsidRPr="00E02023">
        <w:rPr>
          <w:sz w:val="24"/>
        </w:rPr>
        <w:t>Gollnisch</w:t>
      </w:r>
      <w:proofErr w:type="spellEnd"/>
      <w:r w:rsidRPr="00E02023">
        <w:rPr>
          <w:sz w:val="24"/>
        </w:rPr>
        <w:t xml:space="preserve">/Parlement, T-42/06, ECLI:EU:T:2010:102; arrêt de la Cour de justice du 6 septembre 2011, </w:t>
      </w:r>
      <w:proofErr w:type="spellStart"/>
      <w:r w:rsidRPr="00E02023">
        <w:rPr>
          <w:sz w:val="24"/>
        </w:rPr>
        <w:t>Patriciello</w:t>
      </w:r>
      <w:proofErr w:type="spellEnd"/>
      <w:r w:rsidRPr="00E02023">
        <w:rPr>
          <w:sz w:val="24"/>
        </w:rPr>
        <w:t xml:space="preserve">, C-163/10, ECLI: EU:C:2011:543; arrêt du Tribunal du 17 janvier 2013, </w:t>
      </w:r>
      <w:proofErr w:type="spellStart"/>
      <w:r w:rsidRPr="00E02023">
        <w:rPr>
          <w:sz w:val="24"/>
        </w:rPr>
        <w:t>Gollnisch</w:t>
      </w:r>
      <w:proofErr w:type="spellEnd"/>
      <w:r w:rsidRPr="00E02023">
        <w:rPr>
          <w:sz w:val="24"/>
        </w:rPr>
        <w:t xml:space="preserve">/Parlement, T-346/11 et T-347/11, ECLI:EU:T:2013:23; arrêt de la Cour de justice du 19 décembre 2019, </w:t>
      </w:r>
      <w:proofErr w:type="spellStart"/>
      <w:r w:rsidRPr="00E02023">
        <w:rPr>
          <w:sz w:val="24"/>
        </w:rPr>
        <w:t>Junqueras</w:t>
      </w:r>
      <w:proofErr w:type="spellEnd"/>
      <w:r w:rsidRPr="00E02023">
        <w:rPr>
          <w:sz w:val="24"/>
        </w:rPr>
        <w:t xml:space="preserve"> Vies, C-502/19, ECLI:EU:C:2019:1115; arrêt du Tribunal du 5 juillet 2023, </w:t>
      </w:r>
      <w:proofErr w:type="spellStart"/>
      <w:r w:rsidRPr="00E02023">
        <w:rPr>
          <w:sz w:val="24"/>
        </w:rPr>
        <w:t>Puigdemont</w:t>
      </w:r>
      <w:proofErr w:type="spellEnd"/>
      <w:r w:rsidRPr="00E02023">
        <w:rPr>
          <w:sz w:val="24"/>
        </w:rPr>
        <w:t xml:space="preserve"> i </w:t>
      </w:r>
      <w:proofErr w:type="spellStart"/>
      <w:r w:rsidRPr="00E02023">
        <w:rPr>
          <w:sz w:val="24"/>
        </w:rPr>
        <w:t>Casamajó</w:t>
      </w:r>
      <w:proofErr w:type="spellEnd"/>
      <w:r w:rsidRPr="00E02023">
        <w:rPr>
          <w:sz w:val="24"/>
        </w:rPr>
        <w:t xml:space="preserve"> </w:t>
      </w:r>
      <w:proofErr w:type="spellStart"/>
      <w:r w:rsidRPr="00E02023">
        <w:rPr>
          <w:sz w:val="24"/>
        </w:rPr>
        <w:t>e.a</w:t>
      </w:r>
      <w:proofErr w:type="spellEnd"/>
      <w:r w:rsidRPr="00E02023">
        <w:rPr>
          <w:sz w:val="24"/>
        </w:rPr>
        <w:t>./Parlement, T-272/21, ECLI:EU:T:2023:373.</w:t>
      </w:r>
    </w:p>
  </w:footnote>
  <w:footnote w:id="2">
    <w:p w:rsidR="00435978" w:rsidRPr="00E02023" w:rsidRDefault="00435978" w:rsidP="00E02023">
      <w:pPr>
        <w:pStyle w:val="FootnoteText"/>
        <w:ind w:left="567" w:hanging="567"/>
        <w:rPr>
          <w:sz w:val="24"/>
        </w:rPr>
      </w:pPr>
      <w:r w:rsidRPr="00E02023">
        <w:rPr>
          <w:rStyle w:val="FootnoteReference"/>
          <w:sz w:val="24"/>
        </w:rPr>
        <w:footnoteRef/>
      </w:r>
      <w:r w:rsidR="00E02023" w:rsidRPr="00E02023">
        <w:rPr>
          <w:sz w:val="24"/>
        </w:rPr>
        <w:t xml:space="preserve"> </w:t>
      </w:r>
      <w:r w:rsidR="00E02023" w:rsidRPr="00E02023">
        <w:rPr>
          <w:sz w:val="24"/>
        </w:rPr>
        <w:tab/>
      </w:r>
      <w:r w:rsidRPr="00E02023">
        <w:rPr>
          <w:sz w:val="24"/>
        </w:rPr>
        <w:t>Traduction française de l’original.</w:t>
      </w:r>
    </w:p>
  </w:footnote>
  <w:footnote w:id="3">
    <w:p w:rsidR="00435978" w:rsidRPr="00E02023" w:rsidRDefault="00435978" w:rsidP="00E02023">
      <w:pPr>
        <w:pStyle w:val="FootnoteText"/>
        <w:ind w:left="567" w:hanging="567"/>
        <w:rPr>
          <w:sz w:val="24"/>
        </w:rPr>
      </w:pPr>
      <w:r w:rsidRPr="00E02023">
        <w:rPr>
          <w:rStyle w:val="FootnoteReference"/>
          <w:sz w:val="24"/>
        </w:rPr>
        <w:footnoteRef/>
      </w:r>
      <w:r w:rsidR="00E02023" w:rsidRPr="00E02023">
        <w:rPr>
          <w:sz w:val="24"/>
        </w:rPr>
        <w:t xml:space="preserve"> </w:t>
      </w:r>
      <w:r w:rsidR="00E02023" w:rsidRPr="00E02023">
        <w:rPr>
          <w:sz w:val="24"/>
        </w:rPr>
        <w:tab/>
      </w:r>
      <w:r w:rsidRPr="00E02023">
        <w:rPr>
          <w:sz w:val="24"/>
        </w:rPr>
        <w:t xml:space="preserve">Arrêt du Tribunal du 30 avril 2019, </w:t>
      </w:r>
      <w:proofErr w:type="spellStart"/>
      <w:r w:rsidRPr="00E02023">
        <w:rPr>
          <w:sz w:val="24"/>
        </w:rPr>
        <w:t>Briois</w:t>
      </w:r>
      <w:proofErr w:type="spellEnd"/>
      <w:r w:rsidRPr="00E02023">
        <w:rPr>
          <w:sz w:val="24"/>
        </w:rPr>
        <w:t>/Parlement, T-214/18, ECLI:</w:t>
      </w:r>
      <w:proofErr w:type="gramStart"/>
      <w:r w:rsidRPr="00E02023">
        <w:rPr>
          <w:sz w:val="24"/>
        </w:rPr>
        <w:t>EU:T</w:t>
      </w:r>
      <w:proofErr w:type="gramEnd"/>
      <w:r w:rsidRPr="00E02023">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20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FR"/>
    <w:docVar w:name="dvnumam" w:val="0"/>
    <w:docVar w:name="dvpe" w:val="766.948"/>
    <w:docVar w:name="dvrapporteur" w:val="Rapporteur: "/>
    <w:docVar w:name="dvtitre" w:val="Décision du Parlement européen du ... 2025 sur la demande de levée de l’immunité de Petr Bystron(2024/2048(IMM))"/>
  </w:docVars>
  <w:rsids>
    <w:rsidRoot w:val="00BB17D4"/>
    <w:rsid w:val="00002272"/>
    <w:rsid w:val="00064002"/>
    <w:rsid w:val="000677B9"/>
    <w:rsid w:val="000831BA"/>
    <w:rsid w:val="000A42CC"/>
    <w:rsid w:val="000E7DD9"/>
    <w:rsid w:val="0010095E"/>
    <w:rsid w:val="00125B37"/>
    <w:rsid w:val="00145C32"/>
    <w:rsid w:val="00187494"/>
    <w:rsid w:val="001F32AE"/>
    <w:rsid w:val="002767FF"/>
    <w:rsid w:val="002B18FE"/>
    <w:rsid w:val="002B5493"/>
    <w:rsid w:val="00313D89"/>
    <w:rsid w:val="00343214"/>
    <w:rsid w:val="00361C00"/>
    <w:rsid w:val="00395FA1"/>
    <w:rsid w:val="003E15D4"/>
    <w:rsid w:val="00411CCE"/>
    <w:rsid w:val="0041666E"/>
    <w:rsid w:val="00421060"/>
    <w:rsid w:val="00435978"/>
    <w:rsid w:val="00471C19"/>
    <w:rsid w:val="004867E3"/>
    <w:rsid w:val="00490D23"/>
    <w:rsid w:val="00494A28"/>
    <w:rsid w:val="004C0004"/>
    <w:rsid w:val="004C5D52"/>
    <w:rsid w:val="0050519A"/>
    <w:rsid w:val="005072A1"/>
    <w:rsid w:val="00514517"/>
    <w:rsid w:val="00545827"/>
    <w:rsid w:val="00560270"/>
    <w:rsid w:val="005C2568"/>
    <w:rsid w:val="005F1B17"/>
    <w:rsid w:val="006037C0"/>
    <w:rsid w:val="006631B6"/>
    <w:rsid w:val="00664346"/>
    <w:rsid w:val="00680577"/>
    <w:rsid w:val="00687ED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004"/>
    <w:rsid w:val="008C2AC6"/>
    <w:rsid w:val="00930C23"/>
    <w:rsid w:val="0093193B"/>
    <w:rsid w:val="009509D8"/>
    <w:rsid w:val="00950B64"/>
    <w:rsid w:val="00980AC2"/>
    <w:rsid w:val="00981893"/>
    <w:rsid w:val="00A1687D"/>
    <w:rsid w:val="00A43E52"/>
    <w:rsid w:val="00A4678D"/>
    <w:rsid w:val="00A778C7"/>
    <w:rsid w:val="00AB441E"/>
    <w:rsid w:val="00AB5829"/>
    <w:rsid w:val="00AB6293"/>
    <w:rsid w:val="00AE0928"/>
    <w:rsid w:val="00AF3B82"/>
    <w:rsid w:val="00B12E95"/>
    <w:rsid w:val="00B22876"/>
    <w:rsid w:val="00B558F0"/>
    <w:rsid w:val="00BB17D4"/>
    <w:rsid w:val="00BD48FE"/>
    <w:rsid w:val="00BD7BD8"/>
    <w:rsid w:val="00BE6ADC"/>
    <w:rsid w:val="00C05BFE"/>
    <w:rsid w:val="00C23CD4"/>
    <w:rsid w:val="00C61C0C"/>
    <w:rsid w:val="00C941CB"/>
    <w:rsid w:val="00C979A7"/>
    <w:rsid w:val="00CC2357"/>
    <w:rsid w:val="00CF071A"/>
    <w:rsid w:val="00D04791"/>
    <w:rsid w:val="00D058B8"/>
    <w:rsid w:val="00D56C11"/>
    <w:rsid w:val="00D834A0"/>
    <w:rsid w:val="00D872DF"/>
    <w:rsid w:val="00D91E21"/>
    <w:rsid w:val="00DA7FCD"/>
    <w:rsid w:val="00E02023"/>
    <w:rsid w:val="00E365E1"/>
    <w:rsid w:val="00E820A4"/>
    <w:rsid w:val="00EB006A"/>
    <w:rsid w:val="00EB4772"/>
    <w:rsid w:val="00ED169E"/>
    <w:rsid w:val="00ED4235"/>
    <w:rsid w:val="00EE119E"/>
    <w:rsid w:val="00F04346"/>
    <w:rsid w:val="00F075DC"/>
    <w:rsid w:val="00F149E9"/>
    <w:rsid w:val="00F5134D"/>
    <w:rsid w:val="00F609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40DAE"/>
  <w15:chartTrackingRefBased/>
  <w15:docId w15:val="{9C6FCF0E-19D5-479B-A2A3-E7E9C8A8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35978"/>
    <w:pPr>
      <w:spacing w:after="240"/>
      <w:ind w:left="567" w:hanging="567"/>
    </w:pPr>
  </w:style>
  <w:style w:type="paragraph" w:customStyle="1" w:styleId="EPComma">
    <w:name w:val="EPComma"/>
    <w:basedOn w:val="Normal"/>
    <w:rsid w:val="00435978"/>
    <w:pPr>
      <w:spacing w:before="480" w:after="240"/>
    </w:pPr>
  </w:style>
  <w:style w:type="paragraph" w:styleId="BalloonText">
    <w:name w:val="Balloon Text"/>
    <w:basedOn w:val="Normal"/>
    <w:link w:val="BalloonTextChar"/>
    <w:rsid w:val="00C979A7"/>
    <w:rPr>
      <w:rFonts w:ascii="Segoe UI" w:hAnsi="Segoe UI" w:cs="Segoe UI"/>
      <w:sz w:val="18"/>
      <w:szCs w:val="18"/>
    </w:rPr>
  </w:style>
  <w:style w:type="character" w:customStyle="1" w:styleId="BalloonTextChar">
    <w:name w:val="Balloon Text Char"/>
    <w:basedOn w:val="DefaultParagraphFont"/>
    <w:link w:val="BalloonText"/>
    <w:rsid w:val="00C979A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E2630-F19F-4882-AFCF-FB2B7F15C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2025-04-01T10:15:00Z</dcterms:created>
  <dcterms:modified xsi:type="dcterms:W3CDTF">2025-04-01T10:15:00Z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A10-0030/2025</vt:lpwstr>
  </property>
  <property fmtid="{D5CDD505-2E9C-101B-9397-08002B2CF9AE}" pid="4" name="&lt;Type&gt;">
    <vt:lpwstr>RR</vt:lpwstr>
  </property>
</Properties>
</file>