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3CF0" w:rsidTr="0010095E">
        <w:trPr>
          <w:trHeight w:hRule="exact" w:val="1418"/>
        </w:trPr>
        <w:tc>
          <w:tcPr>
            <w:tcW w:w="6804" w:type="dxa"/>
            <w:shd w:val="clear" w:color="auto" w:fill="auto"/>
            <w:vAlign w:val="center"/>
          </w:tcPr>
          <w:p w:rsidR="00751A4A" w:rsidRPr="003E3CF0" w:rsidRDefault="00371DC3" w:rsidP="0010095E">
            <w:pPr>
              <w:pStyle w:val="EPName"/>
            </w:pPr>
            <w:bookmarkStart w:id="0" w:name="_GoBack"/>
            <w:bookmarkEnd w:id="0"/>
            <w:r w:rsidRPr="003E3CF0">
              <w:t>Eiropas Parlaments</w:t>
            </w:r>
          </w:p>
          <w:p w:rsidR="00751A4A" w:rsidRPr="003E3CF0" w:rsidRDefault="005F1B17" w:rsidP="005F1B17">
            <w:pPr>
              <w:pStyle w:val="EPTerm"/>
              <w:rPr>
                <w:rStyle w:val="HideTWBExt"/>
                <w:noProof w:val="0"/>
                <w:vanish w:val="0"/>
                <w:color w:val="auto"/>
              </w:rPr>
            </w:pPr>
            <w:r w:rsidRPr="003E3CF0">
              <w:t>2024</w:t>
            </w:r>
            <w:r w:rsidR="00817416" w:rsidRPr="003E3CF0">
              <w:t>-202</w:t>
            </w:r>
            <w:r w:rsidRPr="003E3CF0">
              <w:t>9</w:t>
            </w:r>
          </w:p>
        </w:tc>
        <w:tc>
          <w:tcPr>
            <w:tcW w:w="2268" w:type="dxa"/>
            <w:shd w:val="clear" w:color="auto" w:fill="auto"/>
          </w:tcPr>
          <w:p w:rsidR="00751A4A" w:rsidRPr="003E3CF0" w:rsidRDefault="00187494" w:rsidP="0010095E">
            <w:pPr>
              <w:pStyle w:val="EPLogo"/>
            </w:pPr>
            <w:r w:rsidRPr="003E3CF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E3CF0" w:rsidRDefault="00D058B8" w:rsidP="004C5D52">
      <w:pPr>
        <w:pStyle w:val="LineTop"/>
      </w:pPr>
    </w:p>
    <w:p w:rsidR="00680577" w:rsidRPr="003E3CF0" w:rsidRDefault="00371DC3" w:rsidP="00680577">
      <w:pPr>
        <w:pStyle w:val="EPBodyTA1"/>
      </w:pPr>
      <w:r w:rsidRPr="003E3CF0">
        <w:t>PIEŅEMTIE TEKSTI</w:t>
      </w:r>
    </w:p>
    <w:p w:rsidR="00D058B8" w:rsidRPr="003E3CF0" w:rsidRDefault="00D058B8" w:rsidP="00D058B8">
      <w:pPr>
        <w:pStyle w:val="LineBottom"/>
      </w:pPr>
    </w:p>
    <w:p w:rsidR="00371DC3" w:rsidRPr="003E3CF0" w:rsidRDefault="00371DC3" w:rsidP="00371DC3">
      <w:pPr>
        <w:pStyle w:val="ATHeading1"/>
      </w:pPr>
      <w:bookmarkStart w:id="1" w:name="TANumber"/>
      <w:r w:rsidRPr="003E3CF0">
        <w:t>P10_TA(2025)00</w:t>
      </w:r>
      <w:r w:rsidR="003E3CF0" w:rsidRPr="003E3CF0">
        <w:t>41</w:t>
      </w:r>
      <w:bookmarkEnd w:id="1"/>
    </w:p>
    <w:p w:rsidR="00371DC3" w:rsidRPr="003E3CF0" w:rsidRDefault="0067784F" w:rsidP="00371DC3">
      <w:pPr>
        <w:pStyle w:val="ATHeading2"/>
      </w:pPr>
      <w:bookmarkStart w:id="2" w:name="title"/>
      <w:r w:rsidRPr="003E3CF0">
        <w:t xml:space="preserve">Pieprasījums atcelt </w:t>
      </w:r>
      <w:r w:rsidRPr="003E3CF0">
        <w:rPr>
          <w:i/>
        </w:rPr>
        <w:t xml:space="preserve">Petr </w:t>
      </w:r>
      <w:proofErr w:type="spellStart"/>
      <w:r w:rsidRPr="003E3CF0">
        <w:rPr>
          <w:i/>
        </w:rPr>
        <w:t>Bystron</w:t>
      </w:r>
      <w:proofErr w:type="spellEnd"/>
      <w:r w:rsidRPr="003E3CF0">
        <w:t xml:space="preserve"> imunitāti</w:t>
      </w:r>
      <w:bookmarkEnd w:id="2"/>
    </w:p>
    <w:p w:rsidR="00371DC3" w:rsidRPr="003E3CF0" w:rsidRDefault="00371DC3" w:rsidP="00371DC3">
      <w:pPr>
        <w:rPr>
          <w:i/>
          <w:vanish/>
        </w:rPr>
      </w:pPr>
      <w:r w:rsidRPr="003E3CF0">
        <w:rPr>
          <w:i/>
        </w:rPr>
        <w:fldChar w:fldCharType="begin"/>
      </w:r>
      <w:r w:rsidRPr="003E3CF0">
        <w:rPr>
          <w:i/>
        </w:rPr>
        <w:instrText xml:space="preserve"> TC"(</w:instrText>
      </w:r>
      <w:bookmarkStart w:id="3" w:name="DocNumber"/>
      <w:r w:rsidRPr="003E3CF0">
        <w:rPr>
          <w:i/>
        </w:rPr>
        <w:instrText>A10-0030/2025</w:instrText>
      </w:r>
      <w:bookmarkEnd w:id="3"/>
      <w:r w:rsidRPr="003E3CF0">
        <w:rPr>
          <w:i/>
        </w:rPr>
        <w:instrText xml:space="preserve"> - Referents: Dominik Tarczyński)"\l3 \n&gt; \* MERGEFORMAT </w:instrText>
      </w:r>
      <w:r w:rsidRPr="003E3CF0">
        <w:rPr>
          <w:i/>
        </w:rPr>
        <w:fldChar w:fldCharType="end"/>
      </w:r>
    </w:p>
    <w:p w:rsidR="00371DC3" w:rsidRPr="003E3CF0" w:rsidRDefault="00371DC3" w:rsidP="00371DC3">
      <w:pPr>
        <w:rPr>
          <w:vanish/>
        </w:rPr>
      </w:pPr>
      <w:bookmarkStart w:id="4" w:name="Commission"/>
      <w:r w:rsidRPr="003E3CF0">
        <w:rPr>
          <w:vanish/>
        </w:rPr>
        <w:t>Juridiskā komiteja</w:t>
      </w:r>
      <w:bookmarkEnd w:id="4"/>
    </w:p>
    <w:p w:rsidR="00371DC3" w:rsidRPr="003E3CF0" w:rsidRDefault="00371DC3" w:rsidP="00371DC3">
      <w:pPr>
        <w:rPr>
          <w:vanish/>
        </w:rPr>
      </w:pPr>
      <w:bookmarkStart w:id="5" w:name="PE"/>
      <w:r w:rsidRPr="003E3CF0">
        <w:rPr>
          <w:vanish/>
        </w:rPr>
        <w:t>PE766.948</w:t>
      </w:r>
      <w:bookmarkEnd w:id="5"/>
    </w:p>
    <w:p w:rsidR="00371DC3" w:rsidRPr="003E3CF0" w:rsidRDefault="00371DC3" w:rsidP="00371DC3">
      <w:pPr>
        <w:pStyle w:val="ATHeading3"/>
      </w:pPr>
      <w:bookmarkStart w:id="6" w:name="Sujet"/>
      <w:r w:rsidRPr="003E3CF0">
        <w:t xml:space="preserve">Eiropas Parlamenta 2025. gada </w:t>
      </w:r>
      <w:r w:rsidR="0067784F" w:rsidRPr="003E3CF0">
        <w:t>1. aprīļa</w:t>
      </w:r>
      <w:r w:rsidRPr="003E3CF0">
        <w:t xml:space="preserve"> lēmums par pieprasījumu atcelt </w:t>
      </w:r>
      <w:r w:rsidRPr="003E3CF0">
        <w:rPr>
          <w:i/>
        </w:rPr>
        <w:t xml:space="preserve">Petr </w:t>
      </w:r>
      <w:proofErr w:type="spellStart"/>
      <w:r w:rsidRPr="003E3CF0">
        <w:rPr>
          <w:i/>
        </w:rPr>
        <w:t>Bystron</w:t>
      </w:r>
      <w:proofErr w:type="spellEnd"/>
      <w:r w:rsidRPr="003E3CF0">
        <w:t xml:space="preserve"> imunitāti</w:t>
      </w:r>
      <w:bookmarkEnd w:id="6"/>
      <w:r w:rsidRPr="003E3CF0">
        <w:t xml:space="preserve"> </w:t>
      </w:r>
      <w:bookmarkStart w:id="7" w:name="References"/>
      <w:r w:rsidRPr="003E3CF0">
        <w:t>(2024/2048(IMM))</w:t>
      </w:r>
      <w:bookmarkEnd w:id="7"/>
    </w:p>
    <w:p w:rsidR="00371DC3" w:rsidRPr="003E3CF0" w:rsidRDefault="00371DC3" w:rsidP="00371DC3"/>
    <w:p w:rsidR="00494809" w:rsidRPr="003E3CF0" w:rsidRDefault="00494809" w:rsidP="00494809">
      <w:pPr>
        <w:pStyle w:val="EPComma"/>
      </w:pPr>
      <w:bookmarkStart w:id="8" w:name="TextBodyBegin"/>
      <w:bookmarkEnd w:id="8"/>
      <w:r w:rsidRPr="003E3CF0">
        <w:rPr>
          <w:i/>
          <w:iCs/>
        </w:rPr>
        <w:t>Eiropas Parlaments</w:t>
      </w:r>
      <w:r w:rsidRPr="003E3CF0">
        <w:t>,</w:t>
      </w:r>
    </w:p>
    <w:p w:rsidR="00494809" w:rsidRPr="003E3CF0" w:rsidRDefault="00494809" w:rsidP="00494809">
      <w:pPr>
        <w:pStyle w:val="NormalHanging12a"/>
      </w:pPr>
      <w:r w:rsidRPr="003E3CF0">
        <w:t>–</w:t>
      </w:r>
      <w:r w:rsidRPr="003E3CF0">
        <w:tab/>
        <w:t xml:space="preserve">ņemot vērā Vācijas Federālās tieslietu ministrijas 2024. gada 27. augusta vēstulē saņemto pieprasījumu atcelt </w:t>
      </w:r>
      <w:r w:rsidRPr="003E3CF0">
        <w:rPr>
          <w:i/>
          <w:iCs/>
        </w:rPr>
        <w:t xml:space="preserve">Petr </w:t>
      </w:r>
      <w:proofErr w:type="spellStart"/>
      <w:r w:rsidRPr="003E3CF0">
        <w:rPr>
          <w:i/>
          <w:iCs/>
        </w:rPr>
        <w:t>Bystron</w:t>
      </w:r>
      <w:proofErr w:type="spellEnd"/>
      <w:r w:rsidRPr="003E3CF0">
        <w:t xml:space="preserve"> imunitāti, pārsūtot Minhenes I apgabala Prokurora pieprasījumu saistībā ar Minhenes pilsētas tiesas lietvedībā esošo krimināllietu, un par kuru paziņots 2024. gada 16. septembra plenārsēdē,</w:t>
      </w:r>
    </w:p>
    <w:p w:rsidR="00494809" w:rsidRPr="003E3CF0" w:rsidRDefault="00494809" w:rsidP="00494809">
      <w:pPr>
        <w:pStyle w:val="NormalHanging12a"/>
      </w:pPr>
      <w:r w:rsidRPr="003E3CF0">
        <w:t>–</w:t>
      </w:r>
      <w:r w:rsidRPr="003E3CF0">
        <w:tab/>
        <w:t xml:space="preserve">pēc </w:t>
      </w:r>
      <w:r w:rsidRPr="003E3CF0">
        <w:rPr>
          <w:i/>
          <w:iCs/>
        </w:rPr>
        <w:t xml:space="preserve">Petr </w:t>
      </w:r>
      <w:proofErr w:type="spellStart"/>
      <w:r w:rsidRPr="003E3CF0">
        <w:rPr>
          <w:i/>
          <w:iCs/>
        </w:rPr>
        <w:t>Bystron</w:t>
      </w:r>
      <w:proofErr w:type="spellEnd"/>
      <w:r w:rsidRPr="003E3CF0">
        <w:t xml:space="preserve"> uzklausīšanas 2025. gada 29. janvārī saskaņā ar Reglamenta 9. panta 6. punktu un ņemot vērā viņa iesniegto dokumentu uzklausīšanas gaitā,</w:t>
      </w:r>
    </w:p>
    <w:p w:rsidR="00494809" w:rsidRPr="003E3CF0" w:rsidRDefault="00494809" w:rsidP="00494809">
      <w:pPr>
        <w:pStyle w:val="NormalHanging12a"/>
      </w:pPr>
      <w:r w:rsidRPr="003E3CF0">
        <w:t>–</w:t>
      </w:r>
      <w:r w:rsidRPr="003E3CF0">
        <w:tab/>
        <w:t>ņemot vērā Protokola Nr. 7 par privilēģijām un imunitāti Eiropas Savienībā 8. un 9. pantu, kā arī 1976. gada 20. septembra Akta par Eiropas Parlamenta deputātu ievēlēšanu tiešās vispārējās vēlēšanās 6. panta 2. punktu,</w:t>
      </w:r>
    </w:p>
    <w:p w:rsidR="00494809" w:rsidRPr="003E3CF0" w:rsidRDefault="00494809" w:rsidP="00494809">
      <w:pPr>
        <w:pStyle w:val="NormalHanging12a"/>
      </w:pPr>
      <w:r w:rsidRPr="003E3CF0">
        <w:t>–</w:t>
      </w:r>
      <w:r w:rsidRPr="003E3CF0">
        <w:tab/>
        <w:t>ņemot vērā Eiropas Savienības Tiesas 2008. gada 21. oktobra, 2010. gada 19. marta, 2011. gada 6. septembra, 2013. gada 17. janvāra</w:t>
      </w:r>
      <w:r w:rsidR="00B37BA1" w:rsidRPr="003E3CF0">
        <w:t>,</w:t>
      </w:r>
      <w:r w:rsidRPr="003E3CF0">
        <w:t xml:space="preserve"> 2019. gada 19. decembra </w:t>
      </w:r>
      <w:r w:rsidR="00B37BA1" w:rsidRPr="003E3CF0">
        <w:t xml:space="preserve">un 2023. gada 5. jūlija </w:t>
      </w:r>
      <w:r w:rsidRPr="003E3CF0">
        <w:t>spriedumu</w:t>
      </w:r>
      <w:r w:rsidRPr="003E3CF0">
        <w:rPr>
          <w:rStyle w:val="FootnoteReference"/>
          <w:color w:val="000000"/>
        </w:rPr>
        <w:footnoteReference w:id="1"/>
      </w:r>
      <w:r w:rsidRPr="003E3CF0">
        <w:t>,</w:t>
      </w:r>
    </w:p>
    <w:p w:rsidR="00494809" w:rsidRPr="003E3CF0" w:rsidRDefault="00494809" w:rsidP="00494809">
      <w:pPr>
        <w:pStyle w:val="NormalHanging12a"/>
      </w:pPr>
      <w:r w:rsidRPr="003E3CF0">
        <w:t>–</w:t>
      </w:r>
      <w:r w:rsidRPr="003E3CF0">
        <w:tab/>
        <w:t>ņemot vērā Vācijas Federālās Republikas Pamatlikuma 46. pantu,</w:t>
      </w:r>
    </w:p>
    <w:p w:rsidR="00494809" w:rsidRPr="003E3CF0" w:rsidRDefault="00494809" w:rsidP="00494809">
      <w:pPr>
        <w:pStyle w:val="NormalHanging12a"/>
      </w:pPr>
      <w:r w:rsidRPr="003E3CF0">
        <w:lastRenderedPageBreak/>
        <w:t>–</w:t>
      </w:r>
      <w:r w:rsidRPr="003E3CF0">
        <w:tab/>
        <w:t>ņemot vērā Reglamenta 5. panta 2. punktu, 6. panta 1. punktu un 9. pantu,</w:t>
      </w:r>
    </w:p>
    <w:p w:rsidR="00494809" w:rsidRPr="003E3CF0" w:rsidRDefault="00494809" w:rsidP="00494809">
      <w:pPr>
        <w:pStyle w:val="NormalHanging12a"/>
      </w:pPr>
      <w:r w:rsidRPr="003E3CF0">
        <w:t>–</w:t>
      </w:r>
      <w:r w:rsidRPr="003E3CF0">
        <w:tab/>
        <w:t>ņemot vērā Juridiskās komitejas ziņojumu (A10</w:t>
      </w:r>
      <w:r w:rsidRPr="003E3CF0">
        <w:noBreakHyphen/>
        <w:t>0030/2025),</w:t>
      </w:r>
    </w:p>
    <w:p w:rsidR="00494809" w:rsidRPr="003E3CF0" w:rsidRDefault="00494809" w:rsidP="00494809">
      <w:pPr>
        <w:pStyle w:val="NormalHanging12a"/>
      </w:pPr>
      <w:r w:rsidRPr="003E3CF0">
        <w:t>A.</w:t>
      </w:r>
      <w:r w:rsidRPr="003E3CF0">
        <w:tab/>
        <w:t xml:space="preserve">tā kā Minhenes I apgabala Prokurors ir pieprasījis atcelt Eiropas Parlamenta deputāta </w:t>
      </w:r>
      <w:r w:rsidRPr="003E3CF0">
        <w:rPr>
          <w:i/>
          <w:iCs/>
        </w:rPr>
        <w:t xml:space="preserve">Petr </w:t>
      </w:r>
      <w:proofErr w:type="spellStart"/>
      <w:r w:rsidRPr="003E3CF0">
        <w:rPr>
          <w:i/>
          <w:iCs/>
        </w:rPr>
        <w:t>Bystron</w:t>
      </w:r>
      <w:proofErr w:type="spellEnd"/>
      <w:r w:rsidRPr="003E3CF0">
        <w:t xml:space="preserve"> parlamentāro imunitāti saistībā ar apsūdzībām, kas pret viņu izvirzītas saskaņā ar Vācijas Kriminālkodeksa 86.a pantu, un saistībā ar </w:t>
      </w:r>
      <w:r w:rsidR="00B37BA1" w:rsidRPr="003E3CF0">
        <w:t>minētā</w:t>
      </w:r>
      <w:r w:rsidRPr="003E3CF0">
        <w:t xml:space="preserve"> kodeksa 86. pantu attiecībā uz iespējamu antikonstitucionālu un teroristisku organizāciju simbolu izmantošanu;</w:t>
      </w:r>
    </w:p>
    <w:p w:rsidR="00494809" w:rsidRPr="003E3CF0" w:rsidRDefault="00494809" w:rsidP="00494809">
      <w:pPr>
        <w:pStyle w:val="NormalHanging12a"/>
      </w:pPr>
      <w:r w:rsidRPr="003E3CF0">
        <w:rPr>
          <w:shd w:val="clear" w:color="auto" w:fill="FFFFFF"/>
        </w:rPr>
        <w:t>B.</w:t>
      </w:r>
      <w:r w:rsidRPr="003E3CF0">
        <w:rPr>
          <w:shd w:val="clear" w:color="auto" w:fill="FFFFFF"/>
        </w:rPr>
        <w:tab/>
      </w:r>
      <w:r w:rsidRPr="003E3CF0">
        <w:t>tā kā pieprasījumā norādīts par aizdomām, ka pēc Ukrainas vēstnieka Vācijā atbrīvošanas no amata 2022. gada 12. jūlijā</w:t>
      </w:r>
      <w:r w:rsidRPr="003E3CF0">
        <w:rPr>
          <w:shd w:val="clear" w:color="auto" w:fill="FFFFFF"/>
        </w:rPr>
        <w:t xml:space="preserve"> </w:t>
      </w:r>
      <w:r w:rsidRPr="003E3CF0">
        <w:rPr>
          <w:i/>
          <w:iCs/>
          <w:shd w:val="clear" w:color="auto" w:fill="FFFFFF"/>
        </w:rPr>
        <w:t xml:space="preserve">Petr </w:t>
      </w:r>
      <w:proofErr w:type="spellStart"/>
      <w:r w:rsidRPr="003E3CF0">
        <w:rPr>
          <w:i/>
          <w:iCs/>
          <w:shd w:val="clear" w:color="auto" w:fill="FFFFFF"/>
        </w:rPr>
        <w:t>Bystron</w:t>
      </w:r>
      <w:proofErr w:type="spellEnd"/>
      <w:r w:rsidRPr="003E3CF0">
        <w:rPr>
          <w:shd w:val="clear" w:color="auto" w:fill="FFFFFF"/>
        </w:rPr>
        <w:t xml:space="preserve"> </w:t>
      </w:r>
      <w:r w:rsidRPr="003E3CF0">
        <w:t xml:space="preserve">savā </w:t>
      </w:r>
      <w:proofErr w:type="spellStart"/>
      <w:r w:rsidRPr="003E3CF0">
        <w:rPr>
          <w:i/>
          <w:iCs/>
        </w:rPr>
        <w:t>Twitter</w:t>
      </w:r>
      <w:proofErr w:type="spellEnd"/>
      <w:r w:rsidRPr="003E3CF0">
        <w:t xml:space="preserve"> kontā publicēja fotomontāžu, kurā redzamas to personu fotogrāfijas, kuras iepriekš ieņēma augstus valsts amatus, katra turot savu labo vai kreiso roku izstieptu un uz augšu vērstiem pirkstiem; tā kā publicētajai kolāžai ir pievienots virsraksts “</w:t>
      </w:r>
      <w:proofErr w:type="spellStart"/>
      <w:r w:rsidRPr="003E3CF0">
        <w:t>Bye</w:t>
      </w:r>
      <w:proofErr w:type="spellEnd"/>
      <w:r w:rsidRPr="003E3CF0">
        <w:t xml:space="preserve">, </w:t>
      </w:r>
      <w:proofErr w:type="spellStart"/>
      <w:r w:rsidRPr="003E3CF0">
        <w:t>bye</w:t>
      </w:r>
      <w:proofErr w:type="spellEnd"/>
      <w:r w:rsidRPr="003E3CF0">
        <w:t xml:space="preserve"> [...]! Vācijas politiķi māj atvadu sveicienu!”</w:t>
      </w:r>
      <w:r w:rsidRPr="003E3CF0">
        <w:rPr>
          <w:rStyle w:val="FootnoteReference"/>
        </w:rPr>
        <w:footnoteReference w:id="2"/>
      </w:r>
      <w:r w:rsidRPr="003E3CF0">
        <w:t>; tā kā</w:t>
      </w:r>
      <w:r w:rsidRPr="003E3CF0">
        <w:rPr>
          <w:shd w:val="clear" w:color="auto" w:fill="FFFFFF"/>
        </w:rPr>
        <w:t xml:space="preserve"> </w:t>
      </w:r>
      <w:r w:rsidRPr="003E3CF0">
        <w:rPr>
          <w:i/>
          <w:iCs/>
          <w:shd w:val="clear" w:color="auto" w:fill="FFFFFF"/>
        </w:rPr>
        <w:t xml:space="preserve">Petr </w:t>
      </w:r>
      <w:proofErr w:type="spellStart"/>
      <w:r w:rsidRPr="003E3CF0">
        <w:rPr>
          <w:i/>
          <w:iCs/>
          <w:shd w:val="clear" w:color="auto" w:fill="FFFFFF"/>
        </w:rPr>
        <w:t>Bystron</w:t>
      </w:r>
      <w:proofErr w:type="spellEnd"/>
      <w:r w:rsidRPr="003E3CF0">
        <w:rPr>
          <w:shd w:val="clear" w:color="auto" w:fill="FFFFFF"/>
        </w:rPr>
        <w:t xml:space="preserve"> </w:t>
      </w:r>
      <w:r w:rsidRPr="003E3CF0">
        <w:t xml:space="preserve">tiek apsūdzēts par vismaz klusējot izteiktu piekrišanu tam, ka šī fotomontāža objektīvam </w:t>
      </w:r>
      <w:proofErr w:type="spellStart"/>
      <w:r w:rsidRPr="003E3CF0">
        <w:rPr>
          <w:i/>
          <w:iCs/>
        </w:rPr>
        <w:t>Twitter</w:t>
      </w:r>
      <w:proofErr w:type="spellEnd"/>
      <w:r w:rsidRPr="003E3CF0">
        <w:t xml:space="preserve"> lietotājam rada iespaidu, ka attēlotais rokas stāvoklis ir “Hitlera sveiciens”, jo tas bija nacistu režīmā izmantotās sasveicināšanās veids; tā kā </w:t>
      </w:r>
      <w:r w:rsidRPr="003E3CF0">
        <w:rPr>
          <w:i/>
          <w:iCs/>
          <w:shd w:val="clear" w:color="auto" w:fill="FFFFFF"/>
        </w:rPr>
        <w:t xml:space="preserve">Petr </w:t>
      </w:r>
      <w:proofErr w:type="spellStart"/>
      <w:r w:rsidRPr="003E3CF0">
        <w:rPr>
          <w:i/>
          <w:iCs/>
          <w:shd w:val="clear" w:color="auto" w:fill="FFFFFF"/>
        </w:rPr>
        <w:t>Bystron</w:t>
      </w:r>
      <w:proofErr w:type="spellEnd"/>
      <w:r w:rsidRPr="003E3CF0">
        <w:rPr>
          <w:shd w:val="clear" w:color="auto" w:fill="FFFFFF"/>
        </w:rPr>
        <w:t xml:space="preserve"> </w:t>
      </w:r>
      <w:r w:rsidRPr="003E3CF0">
        <w:t>tiek apsūdzēts par to, ka viņš ir izplatījis vai publiski izmantojis nekonstitucionālu un teroristisku organizāciju simbolus Vācijā;</w:t>
      </w:r>
    </w:p>
    <w:p w:rsidR="00494809" w:rsidRPr="003E3CF0" w:rsidRDefault="00494809" w:rsidP="00494809">
      <w:pPr>
        <w:pStyle w:val="NormalHanging12a"/>
      </w:pPr>
      <w:r w:rsidRPr="003E3CF0">
        <w:t>C.</w:t>
      </w:r>
      <w:r w:rsidRPr="003E3CF0">
        <w:tab/>
        <w:t xml:space="preserve">tā kā pēc izmeklēšanas darbību veikšanas kompetentās iestādes iesniedza Vācijas Bundestāgam adresētu pieprasījumu atcelt </w:t>
      </w:r>
      <w:r w:rsidRPr="003E3CF0">
        <w:rPr>
          <w:i/>
          <w:iCs/>
        </w:rPr>
        <w:t xml:space="preserve">Peter </w:t>
      </w:r>
      <w:proofErr w:type="spellStart"/>
      <w:r w:rsidRPr="003E3CF0">
        <w:rPr>
          <w:i/>
          <w:iCs/>
        </w:rPr>
        <w:t>Bystron</w:t>
      </w:r>
      <w:proofErr w:type="spellEnd"/>
      <w:r w:rsidRPr="003E3CF0">
        <w:t xml:space="preserve"> imunitāti, jo tajā laikā viņš bija Bundestāga deputāts; tā kā Vācijas Bundestāgs 2023. gada 7. septembrī atcēla viņa imunitāti;</w:t>
      </w:r>
    </w:p>
    <w:p w:rsidR="00494809" w:rsidRPr="003E3CF0" w:rsidRDefault="00494809" w:rsidP="00494809">
      <w:pPr>
        <w:pStyle w:val="NormalHanging12a"/>
      </w:pPr>
      <w:r w:rsidRPr="003E3CF0">
        <w:t>D.</w:t>
      </w:r>
      <w:r w:rsidRPr="003E3CF0">
        <w:tab/>
      </w:r>
      <w:r w:rsidRPr="003E3CF0">
        <w:rPr>
          <w:shd w:val="clear" w:color="auto" w:fill="FFFFFF"/>
        </w:rPr>
        <w:t xml:space="preserve">tā kā </w:t>
      </w:r>
      <w:r w:rsidRPr="003E3CF0">
        <w:rPr>
          <w:i/>
          <w:iCs/>
          <w:shd w:val="clear" w:color="auto" w:fill="FFFFFF"/>
        </w:rPr>
        <w:t xml:space="preserve">Petr </w:t>
      </w:r>
      <w:proofErr w:type="spellStart"/>
      <w:r w:rsidRPr="003E3CF0">
        <w:rPr>
          <w:i/>
          <w:iCs/>
          <w:shd w:val="clear" w:color="auto" w:fill="FFFFFF"/>
        </w:rPr>
        <w:t>Bystron</w:t>
      </w:r>
      <w:proofErr w:type="spellEnd"/>
      <w:r w:rsidRPr="003E3CF0">
        <w:rPr>
          <w:shd w:val="clear" w:color="auto" w:fill="FFFFFF"/>
        </w:rPr>
        <w:t xml:space="preserve"> 2024. gada jūnija Eiropas vēlēšanās tika ievēlēts par Eiropas Parlamenta deputātu; tā kā </w:t>
      </w:r>
      <w:r w:rsidRPr="003E3CF0">
        <w:t>pēc galīgo vēlēšanu rezultātu paziņošanas kompetentās iestādes ar 2024. gada 9. jūlija lēmumu uz laiku apturēja pret viņu ierosināto krimināllietu, lai izskatītu pieprasījumu atcelt viņa imunitāti;</w:t>
      </w:r>
    </w:p>
    <w:p w:rsidR="00494809" w:rsidRPr="003E3CF0" w:rsidRDefault="00494809" w:rsidP="00494809">
      <w:pPr>
        <w:pStyle w:val="NormalHanging12a"/>
      </w:pPr>
      <w:r w:rsidRPr="003E3CF0">
        <w:t>E.</w:t>
      </w:r>
      <w:r w:rsidRPr="003E3CF0">
        <w:tab/>
        <w:t xml:space="preserve">tā kā </w:t>
      </w:r>
      <w:r w:rsidRPr="003E3CF0">
        <w:rPr>
          <w:i/>
          <w:iCs/>
        </w:rPr>
        <w:t xml:space="preserve">Petr </w:t>
      </w:r>
      <w:proofErr w:type="spellStart"/>
      <w:r w:rsidRPr="003E3CF0">
        <w:rPr>
          <w:i/>
          <w:iCs/>
        </w:rPr>
        <w:t>Bystron</w:t>
      </w:r>
      <w:proofErr w:type="spellEnd"/>
      <w:r w:rsidRPr="003E3CF0">
        <w:rPr>
          <w:shd w:val="clear" w:color="auto" w:fill="FFFFFF"/>
        </w:rPr>
        <w:t xml:space="preserve"> inkriminētā nodarījuma izdarīšanas laikā nebija Eiropas Parlamenta deputāts;</w:t>
      </w:r>
    </w:p>
    <w:p w:rsidR="00494809" w:rsidRPr="003E3CF0" w:rsidRDefault="00494809" w:rsidP="00494809">
      <w:pPr>
        <w:pStyle w:val="NormalHanging12a"/>
      </w:pPr>
      <w:r w:rsidRPr="003E3CF0">
        <w:t>F.</w:t>
      </w:r>
      <w:r w:rsidRPr="003E3CF0">
        <w:tab/>
        <w:t xml:space="preserve">tā kā inkriminētais nodarījums un tam sekojošais pieprasījums atcelt </w:t>
      </w:r>
      <w:r w:rsidRPr="003E3CF0">
        <w:rPr>
          <w:i/>
          <w:iCs/>
        </w:rPr>
        <w:t xml:space="preserve">Petr </w:t>
      </w:r>
      <w:proofErr w:type="spellStart"/>
      <w:r w:rsidRPr="003E3CF0">
        <w:rPr>
          <w:i/>
          <w:iCs/>
        </w:rPr>
        <w:t>Bystron</w:t>
      </w:r>
      <w:proofErr w:type="spellEnd"/>
      <w:r w:rsidRPr="003E3CF0">
        <w:t xml:space="preserve"> imunitāti nav saistīti nedz ar viedokli, ko viņš kā Eiropas Parlamenta deputāts ir paudis, nedz balsojumu, ko viņš veicis, pildot savus pienākumus saskaņā ar Protokola Nr. 7 par privilēģijām un imunitāti Eiropas Savienībā 8. pantu;</w:t>
      </w:r>
    </w:p>
    <w:p w:rsidR="00494809" w:rsidRPr="003E3CF0" w:rsidRDefault="00494809" w:rsidP="00494809">
      <w:pPr>
        <w:pStyle w:val="NormalHanging12a"/>
      </w:pPr>
      <w:r w:rsidRPr="003E3CF0">
        <w:t>G.</w:t>
      </w:r>
      <w:r w:rsidRPr="003E3CF0">
        <w:tab/>
        <w:t>tā kā saskaņā ar Protokola Nr. 7 par privilēģijām un imunitāti Eiropas Savienībā 9. pantu Eiropas Parlamenta locekļiem savā valstī ir imunitāte, ko piešķir attiecīgās valsts parlamenta locekļiem;</w:t>
      </w:r>
    </w:p>
    <w:p w:rsidR="00494809" w:rsidRPr="003E3CF0" w:rsidRDefault="00494809" w:rsidP="00494809">
      <w:pPr>
        <w:pStyle w:val="NormalHanging12a"/>
      </w:pPr>
      <w:r w:rsidRPr="003E3CF0">
        <w:t>H.</w:t>
      </w:r>
      <w:r w:rsidRPr="003E3CF0">
        <w:tab/>
        <w:t>tā kā Vācijas Federālās Republikas Pamatlikuma 46. panta 2., 3. un 4. punkta normas ir šādas:</w:t>
      </w:r>
    </w:p>
    <w:p w:rsidR="00494809" w:rsidRPr="003E3CF0" w:rsidRDefault="00494809" w:rsidP="003E3CF0">
      <w:pPr>
        <w:pStyle w:val="NormalHanging12a"/>
        <w:spacing w:before="120" w:after="120"/>
        <w:ind w:firstLine="0"/>
      </w:pPr>
      <w:r w:rsidRPr="003E3CF0">
        <w:t xml:space="preserve">“2. </w:t>
      </w:r>
      <w:r w:rsidRPr="003E3CF0">
        <w:tab/>
        <w:t>Deputātu saukt pie atbildības vai aizturēt par sodāmu nodarījumu drīkst tikai, saņemot Bundestāga atļauju, ja vien deputāts nav aizturēts pārkāpuma izdarīšanas brīdī vai nākamās dienas laikā.</w:t>
      </w:r>
    </w:p>
    <w:p w:rsidR="00494809" w:rsidRPr="003E3CF0" w:rsidRDefault="00494809" w:rsidP="003E3CF0">
      <w:pPr>
        <w:pStyle w:val="NormalHanging12a"/>
        <w:spacing w:before="120" w:after="120"/>
        <w:ind w:firstLine="0"/>
      </w:pPr>
      <w:r w:rsidRPr="003E3CF0">
        <w:lastRenderedPageBreak/>
        <w:t xml:space="preserve">3. </w:t>
      </w:r>
      <w:r w:rsidRPr="003E3CF0">
        <w:tab/>
        <w:t>Bundestāga piekrišana papildus tam ir nepieciešama arī par jebkuru citu deputāta personīgās brīvības ierobežojumu vai, ja pret viņu ir ierosināts 18. pantā paredzētais process.</w:t>
      </w:r>
    </w:p>
    <w:p w:rsidR="00494809" w:rsidRPr="003E3CF0" w:rsidRDefault="00494809" w:rsidP="003E3CF0">
      <w:pPr>
        <w:pStyle w:val="NormalHanging12a"/>
        <w:spacing w:before="120" w:after="120"/>
        <w:ind w:firstLine="0"/>
      </w:pPr>
      <w:r w:rsidRPr="003E3CF0">
        <w:t xml:space="preserve">4. </w:t>
      </w:r>
      <w:r w:rsidRPr="003E3CF0">
        <w:tab/>
        <w:t>Jebkurš pret deputātu ierosinātais kriminālprocess vai jebkurš 18. pantā paredzētais process, jebkura aizturēšana vai jebkura cita personīgās brīvības ierobežošana ir jāaptur, ja to prasa Bundestāgs.”;</w:t>
      </w:r>
    </w:p>
    <w:p w:rsidR="00494809" w:rsidRPr="003E3CF0" w:rsidRDefault="00494809" w:rsidP="00494809">
      <w:pPr>
        <w:pStyle w:val="NormalHanging12a"/>
      </w:pPr>
      <w:r w:rsidRPr="003E3CF0">
        <w:t>I.</w:t>
      </w:r>
      <w:r w:rsidRPr="003E3CF0">
        <w:tab/>
        <w:t>tā kā parlamentārās imunitātes mērķis ir aizsargāt Parlamentu un tā deputātus pret tiesvedībām, kas tiek ierosināta saistībā ar darbībām, kuras ir veiktas, pildot parlamentāros pienākumus, un kuras atrauti no šiem pienākumiem skatīt nevar;</w:t>
      </w:r>
    </w:p>
    <w:p w:rsidR="00494809" w:rsidRPr="003E3CF0" w:rsidRDefault="00494809" w:rsidP="00494809">
      <w:pPr>
        <w:pStyle w:val="NormalHanging12a"/>
      </w:pPr>
      <w:r w:rsidRPr="003E3CF0">
        <w:t>J.</w:t>
      </w:r>
      <w:r w:rsidRPr="003E3CF0">
        <w:tab/>
        <w:t>tā kā saskaņā ar Parlamenta Reglamenta 5. panta 2. punktu deputāta imunitāte nav deputāta personiska privilēģija, bet gan visa Parlamenta un tā deputātu neatkarības garantija;</w:t>
      </w:r>
    </w:p>
    <w:p w:rsidR="00494809" w:rsidRPr="003E3CF0" w:rsidRDefault="00494809" w:rsidP="00494809">
      <w:pPr>
        <w:pStyle w:val="NormalHanging12a"/>
      </w:pPr>
      <w:r w:rsidRPr="003E3CF0">
        <w:t>K.</w:t>
      </w:r>
      <w:r w:rsidRPr="003E3CF0">
        <w:tab/>
        <w:t xml:space="preserve">tā kā šajā lietā Parlamentam nav pierādījumu par </w:t>
      </w:r>
      <w:proofErr w:type="spellStart"/>
      <w:r w:rsidRPr="003E3CF0">
        <w:rPr>
          <w:i/>
          <w:iCs/>
        </w:rPr>
        <w:t>fumus</w:t>
      </w:r>
      <w:proofErr w:type="spellEnd"/>
      <w:r w:rsidRPr="003E3CF0">
        <w:rPr>
          <w:i/>
          <w:iCs/>
        </w:rPr>
        <w:t xml:space="preserve"> </w:t>
      </w:r>
      <w:proofErr w:type="spellStart"/>
      <w:r w:rsidRPr="003E3CF0">
        <w:rPr>
          <w:i/>
          <w:iCs/>
        </w:rPr>
        <w:t>persecutionis</w:t>
      </w:r>
      <w:proofErr w:type="spellEnd"/>
      <w:r w:rsidRPr="003E3CF0">
        <w:t>, proti, par faktiskiem apstākļiem, kas norādītu uz to, ka attiecīgā krimināllieta ir ierosināta, lai kaitētu attiecīgā Eiropas Parlamenta deputāta politiskajai darbībai;</w:t>
      </w:r>
    </w:p>
    <w:p w:rsidR="00494809" w:rsidRPr="003E3CF0" w:rsidRDefault="00494809" w:rsidP="00494809">
      <w:pPr>
        <w:pStyle w:val="NormalHanging12a"/>
      </w:pPr>
      <w:r w:rsidRPr="003E3CF0">
        <w:t>L.</w:t>
      </w:r>
      <w:r w:rsidRPr="003E3CF0">
        <w:tab/>
        <w:t>tā kā, no vienas puses, Parlaments nevar tikt pielīdzināts tiesai un, no otras puses, deputāts imunitātes atcelšanas procedūras kontekstā nevar tikt uzskatīts par apsūdzēto</w:t>
      </w:r>
      <w:r w:rsidRPr="003E3CF0">
        <w:rPr>
          <w:vertAlign w:val="superscript"/>
        </w:rPr>
        <w:footnoteReference w:id="3"/>
      </w:r>
      <w:r w:rsidRPr="003E3CF0">
        <w:t>,</w:t>
      </w:r>
    </w:p>
    <w:p w:rsidR="00494809" w:rsidRPr="003E3CF0" w:rsidRDefault="00494809" w:rsidP="00494809">
      <w:pPr>
        <w:pStyle w:val="NormalHanging12a"/>
      </w:pPr>
      <w:r w:rsidRPr="003E3CF0">
        <w:t>1.</w:t>
      </w:r>
      <w:r w:rsidRPr="003E3CF0">
        <w:tab/>
        <w:t xml:space="preserve">nolemj atcelt </w:t>
      </w:r>
      <w:r w:rsidRPr="003E3CF0">
        <w:rPr>
          <w:i/>
          <w:iCs/>
        </w:rPr>
        <w:t xml:space="preserve">Petr </w:t>
      </w:r>
      <w:proofErr w:type="spellStart"/>
      <w:r w:rsidRPr="003E3CF0">
        <w:rPr>
          <w:i/>
          <w:iCs/>
        </w:rPr>
        <w:t>Bystron</w:t>
      </w:r>
      <w:proofErr w:type="spellEnd"/>
      <w:r w:rsidRPr="003E3CF0">
        <w:t xml:space="preserve"> imunitāti;</w:t>
      </w:r>
    </w:p>
    <w:p w:rsidR="00E365E1" w:rsidRPr="003E3CF0" w:rsidRDefault="00494809" w:rsidP="003E3CF0">
      <w:pPr>
        <w:pStyle w:val="NormalHanging12a"/>
      </w:pPr>
      <w:r w:rsidRPr="003E3CF0">
        <w:t>2.</w:t>
      </w:r>
      <w:r w:rsidRPr="003E3CF0">
        <w:tab/>
        <w:t xml:space="preserve">uzdod priekšsēdētājai šo lēmumu un atbildīgās komitejas ziņojumu nekavējoties nosūtīt Vācijas Federatīvās Republikas kompetentajai iestādei un </w:t>
      </w:r>
      <w:r w:rsidRPr="003E3CF0">
        <w:rPr>
          <w:i/>
          <w:iCs/>
        </w:rPr>
        <w:t xml:space="preserve">Petr </w:t>
      </w:r>
      <w:proofErr w:type="spellStart"/>
      <w:r w:rsidRPr="003E3CF0">
        <w:rPr>
          <w:i/>
          <w:iCs/>
        </w:rPr>
        <w:t>Bystron</w:t>
      </w:r>
      <w:proofErr w:type="spellEnd"/>
      <w:r w:rsidRPr="003E3CF0">
        <w:t>.</w:t>
      </w:r>
    </w:p>
    <w:sectPr w:rsidR="00E365E1" w:rsidRPr="003E3CF0" w:rsidSect="00092065">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DC3" w:rsidRPr="00092065" w:rsidRDefault="00371DC3">
      <w:r w:rsidRPr="00092065">
        <w:separator/>
      </w:r>
    </w:p>
  </w:endnote>
  <w:endnote w:type="continuationSeparator" w:id="0">
    <w:p w:rsidR="00371DC3" w:rsidRPr="00092065" w:rsidRDefault="00371DC3">
      <w:r w:rsidRPr="000920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206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206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20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DC3" w:rsidRPr="00092065" w:rsidRDefault="00371DC3">
      <w:r w:rsidRPr="00092065">
        <w:separator/>
      </w:r>
    </w:p>
  </w:footnote>
  <w:footnote w:type="continuationSeparator" w:id="0">
    <w:p w:rsidR="00371DC3" w:rsidRPr="00092065" w:rsidRDefault="00371DC3">
      <w:r w:rsidRPr="00092065">
        <w:continuationSeparator/>
      </w:r>
    </w:p>
  </w:footnote>
  <w:footnote w:id="1">
    <w:p w:rsidR="00494809" w:rsidRPr="00092065" w:rsidRDefault="00494809" w:rsidP="00092065">
      <w:pPr>
        <w:pStyle w:val="FootnoteText"/>
        <w:ind w:left="567" w:hanging="567"/>
        <w:rPr>
          <w:sz w:val="24"/>
          <w:lang w:val="lv-LV"/>
        </w:rPr>
      </w:pPr>
      <w:r w:rsidRPr="00092065">
        <w:rPr>
          <w:rStyle w:val="FootnoteReference"/>
          <w:sz w:val="24"/>
          <w:lang w:val="lv-LV"/>
        </w:rPr>
        <w:footnoteRef/>
      </w:r>
      <w:r w:rsidR="00092065" w:rsidRPr="00092065">
        <w:rPr>
          <w:sz w:val="24"/>
          <w:lang w:val="lv-LV"/>
        </w:rPr>
        <w:t xml:space="preserve"> </w:t>
      </w:r>
      <w:r w:rsidR="00092065" w:rsidRPr="00092065">
        <w:rPr>
          <w:sz w:val="24"/>
          <w:lang w:val="lv-LV"/>
        </w:rPr>
        <w:tab/>
      </w:r>
      <w:r w:rsidRPr="00092065">
        <w:rPr>
          <w:sz w:val="24"/>
          <w:lang w:val="lv-LV"/>
        </w:rPr>
        <w:t xml:space="preserve">Tiesas 2008. gada 21. oktobra spriedums, </w:t>
      </w:r>
      <w:proofErr w:type="spellStart"/>
      <w:r w:rsidRPr="00092065">
        <w:rPr>
          <w:i/>
          <w:iCs/>
          <w:sz w:val="24"/>
          <w:lang w:val="lv-LV"/>
        </w:rPr>
        <w:t>Marra</w:t>
      </w:r>
      <w:proofErr w:type="spellEnd"/>
      <w:r w:rsidRPr="00092065">
        <w:rPr>
          <w:sz w:val="24"/>
          <w:lang w:val="lv-LV"/>
        </w:rPr>
        <w:t>/</w:t>
      </w:r>
      <w:proofErr w:type="spellStart"/>
      <w:r w:rsidRPr="00092065">
        <w:rPr>
          <w:i/>
          <w:iCs/>
          <w:sz w:val="24"/>
          <w:lang w:val="lv-LV"/>
        </w:rPr>
        <w:t>De</w:t>
      </w:r>
      <w:proofErr w:type="spellEnd"/>
      <w:r w:rsidRPr="00092065">
        <w:rPr>
          <w:i/>
          <w:iCs/>
          <w:sz w:val="24"/>
          <w:lang w:val="lv-LV"/>
        </w:rPr>
        <w:t xml:space="preserve"> Gregorio</w:t>
      </w:r>
      <w:r w:rsidRPr="00092065">
        <w:rPr>
          <w:sz w:val="24"/>
          <w:lang w:val="lv-LV"/>
        </w:rPr>
        <w:t xml:space="preserve"> un </w:t>
      </w:r>
      <w:proofErr w:type="spellStart"/>
      <w:r w:rsidRPr="00092065">
        <w:rPr>
          <w:i/>
          <w:iCs/>
          <w:sz w:val="24"/>
          <w:lang w:val="lv-LV"/>
        </w:rPr>
        <w:t>Clemente</w:t>
      </w:r>
      <w:proofErr w:type="spellEnd"/>
      <w:r w:rsidRPr="00092065">
        <w:rPr>
          <w:sz w:val="24"/>
          <w:lang w:val="lv-LV"/>
        </w:rPr>
        <w:t xml:space="preserve">, C-200/07 un C-201/07, ECLI:EU:C:2008:579; Tiesas 2010. gada 19. marta spriedums, </w:t>
      </w:r>
      <w:proofErr w:type="spellStart"/>
      <w:r w:rsidRPr="00092065">
        <w:rPr>
          <w:i/>
          <w:iCs/>
          <w:sz w:val="24"/>
          <w:lang w:val="lv-LV"/>
        </w:rPr>
        <w:t>Gollnisch</w:t>
      </w:r>
      <w:proofErr w:type="spellEnd"/>
      <w:r w:rsidRPr="00092065">
        <w:rPr>
          <w:sz w:val="24"/>
          <w:lang w:val="lv-LV"/>
        </w:rPr>
        <w:t xml:space="preserve">/Parlaments, T-42/06, ECLI:EU:T:2010:102; Tiesas 2011. gada 6. septembra spriedums, </w:t>
      </w:r>
      <w:proofErr w:type="spellStart"/>
      <w:r w:rsidRPr="00092065">
        <w:rPr>
          <w:i/>
          <w:iCs/>
          <w:sz w:val="24"/>
          <w:lang w:val="lv-LV"/>
        </w:rPr>
        <w:t>Patriciello</w:t>
      </w:r>
      <w:proofErr w:type="spellEnd"/>
      <w:r w:rsidRPr="00092065">
        <w:rPr>
          <w:sz w:val="24"/>
          <w:lang w:val="lv-LV"/>
        </w:rPr>
        <w:t xml:space="preserve">, C-163/10, ECLI: EU:C:2011:543; Vispārējās tiesas 2013. gada 17. janvāra spriedums, </w:t>
      </w:r>
      <w:proofErr w:type="spellStart"/>
      <w:r w:rsidRPr="00092065">
        <w:rPr>
          <w:i/>
          <w:iCs/>
          <w:sz w:val="24"/>
          <w:lang w:val="lv-LV"/>
        </w:rPr>
        <w:t>Gollnisch</w:t>
      </w:r>
      <w:proofErr w:type="spellEnd"/>
      <w:r w:rsidRPr="00092065">
        <w:rPr>
          <w:sz w:val="24"/>
          <w:lang w:val="lv-LV"/>
        </w:rPr>
        <w:t xml:space="preserve">/Parlaments, T-346/11 un T-347/11, ECLI:EU:T:2013:23. Tiesas 2019. gada 19. decembra spriedums, </w:t>
      </w:r>
      <w:proofErr w:type="spellStart"/>
      <w:r w:rsidRPr="00092065">
        <w:rPr>
          <w:i/>
          <w:iCs/>
          <w:sz w:val="24"/>
          <w:lang w:val="lv-LV"/>
        </w:rPr>
        <w:t>Junqueras</w:t>
      </w:r>
      <w:proofErr w:type="spellEnd"/>
      <w:r w:rsidRPr="00092065">
        <w:rPr>
          <w:i/>
          <w:iCs/>
          <w:sz w:val="24"/>
          <w:lang w:val="lv-LV"/>
        </w:rPr>
        <w:t xml:space="preserve"> Vies</w:t>
      </w:r>
      <w:r w:rsidRPr="00092065">
        <w:rPr>
          <w:sz w:val="24"/>
          <w:lang w:val="lv-LV"/>
        </w:rPr>
        <w:t xml:space="preserve">, C-502/19, ECLI:EU:C:2019:1115; Vispārējās tiesas 2023. gada 5. </w:t>
      </w:r>
      <w:r w:rsidR="00B37BA1">
        <w:rPr>
          <w:sz w:val="24"/>
          <w:lang w:val="lv-LV"/>
        </w:rPr>
        <w:t>jūlija</w:t>
      </w:r>
      <w:r w:rsidRPr="00092065">
        <w:rPr>
          <w:sz w:val="24"/>
          <w:lang w:val="lv-LV"/>
        </w:rPr>
        <w:t xml:space="preserve"> spriedums, </w:t>
      </w:r>
      <w:proofErr w:type="spellStart"/>
      <w:r w:rsidRPr="00092065">
        <w:rPr>
          <w:i/>
          <w:iCs/>
          <w:sz w:val="24"/>
          <w:lang w:val="lv-LV"/>
        </w:rPr>
        <w:t>Puigdemont</w:t>
      </w:r>
      <w:proofErr w:type="spellEnd"/>
      <w:r w:rsidRPr="00092065">
        <w:rPr>
          <w:i/>
          <w:iCs/>
          <w:sz w:val="24"/>
          <w:lang w:val="lv-LV"/>
        </w:rPr>
        <w:t xml:space="preserve"> i </w:t>
      </w:r>
      <w:proofErr w:type="spellStart"/>
      <w:r w:rsidRPr="00092065">
        <w:rPr>
          <w:i/>
          <w:iCs/>
          <w:sz w:val="24"/>
          <w:lang w:val="lv-LV"/>
        </w:rPr>
        <w:t>Casamajó</w:t>
      </w:r>
      <w:proofErr w:type="spellEnd"/>
      <w:r w:rsidRPr="00092065">
        <w:rPr>
          <w:sz w:val="24"/>
          <w:lang w:val="lv-LV"/>
        </w:rPr>
        <w:t xml:space="preserve"> u.c./Parlaments, T-272/21/P, ECLI:EU:T:2018:373.</w:t>
      </w:r>
    </w:p>
  </w:footnote>
  <w:footnote w:id="2">
    <w:p w:rsidR="00494809" w:rsidRPr="00092065" w:rsidRDefault="00494809" w:rsidP="00092065">
      <w:pPr>
        <w:pStyle w:val="FootnoteText"/>
        <w:ind w:left="567" w:hanging="567"/>
        <w:rPr>
          <w:sz w:val="24"/>
          <w:lang w:val="lv-LV"/>
        </w:rPr>
      </w:pPr>
      <w:r w:rsidRPr="00092065">
        <w:rPr>
          <w:rStyle w:val="FootnoteReference"/>
          <w:sz w:val="24"/>
          <w:lang w:val="lv-LV"/>
        </w:rPr>
        <w:footnoteRef/>
      </w:r>
      <w:r w:rsidR="00092065" w:rsidRPr="00092065">
        <w:rPr>
          <w:sz w:val="24"/>
          <w:lang w:val="lv-LV"/>
        </w:rPr>
        <w:t xml:space="preserve"> </w:t>
      </w:r>
      <w:r w:rsidR="00092065" w:rsidRPr="00092065">
        <w:rPr>
          <w:sz w:val="24"/>
          <w:lang w:val="lv-LV"/>
        </w:rPr>
        <w:tab/>
      </w:r>
      <w:r w:rsidRPr="00092065">
        <w:rPr>
          <w:sz w:val="24"/>
          <w:lang w:val="lv-LV"/>
        </w:rPr>
        <w:t xml:space="preserve">Oriģināla tulkojums </w:t>
      </w:r>
      <w:r w:rsidR="00B37BA1">
        <w:rPr>
          <w:sz w:val="24"/>
          <w:lang w:val="lv-LV"/>
        </w:rPr>
        <w:t>latviešu</w:t>
      </w:r>
      <w:r w:rsidRPr="00092065">
        <w:rPr>
          <w:sz w:val="24"/>
          <w:lang w:val="lv-LV"/>
        </w:rPr>
        <w:t xml:space="preserve"> valodā.</w:t>
      </w:r>
    </w:p>
  </w:footnote>
  <w:footnote w:id="3">
    <w:p w:rsidR="00494809" w:rsidRPr="00092065" w:rsidRDefault="00494809" w:rsidP="00092065">
      <w:pPr>
        <w:pStyle w:val="FootnoteText"/>
        <w:ind w:left="567" w:hanging="567"/>
        <w:rPr>
          <w:sz w:val="24"/>
          <w:lang w:val="lv-LV"/>
        </w:rPr>
      </w:pPr>
      <w:r w:rsidRPr="00092065">
        <w:rPr>
          <w:rStyle w:val="FootnoteReference"/>
          <w:sz w:val="24"/>
          <w:lang w:val="lv-LV"/>
        </w:rPr>
        <w:footnoteRef/>
      </w:r>
      <w:r w:rsidR="00092065" w:rsidRPr="00092065">
        <w:rPr>
          <w:sz w:val="24"/>
          <w:lang w:val="lv-LV"/>
        </w:rPr>
        <w:t xml:space="preserve"> </w:t>
      </w:r>
      <w:r w:rsidR="00092065" w:rsidRPr="00092065">
        <w:rPr>
          <w:sz w:val="24"/>
          <w:lang w:val="lv-LV"/>
        </w:rPr>
        <w:tab/>
      </w:r>
      <w:r w:rsidRPr="00092065">
        <w:rPr>
          <w:sz w:val="24"/>
          <w:lang w:val="lv-LV"/>
        </w:rPr>
        <w:t xml:space="preserve">Vispārējās tiesas 2019. gada 30. aprīļa spriedums, </w:t>
      </w:r>
      <w:proofErr w:type="spellStart"/>
      <w:r w:rsidRPr="00092065">
        <w:rPr>
          <w:i/>
          <w:iCs/>
          <w:sz w:val="24"/>
          <w:lang w:val="lv-LV"/>
        </w:rPr>
        <w:t>Briois</w:t>
      </w:r>
      <w:proofErr w:type="spellEnd"/>
      <w:r w:rsidRPr="00092065">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206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206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20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5"/>
    <w:docVar w:name="dvlangue" w:val="LV"/>
    <w:docVar w:name="dvnumam" w:val="0"/>
    <w:docVar w:name="dvpe" w:val="766.948"/>
    <w:docVar w:name="dvrapporteur" w:val="Referents: "/>
    <w:docVar w:name="dvtitre" w:val="Eiropas Parlamenta 2025. gada XX. XXX lēmums par pieprasījumu atcelt Petr Bystron imunitāti(2024/2048(IMM))"/>
  </w:docVars>
  <w:rsids>
    <w:rsidRoot w:val="00371DC3"/>
    <w:rsid w:val="00002272"/>
    <w:rsid w:val="00064002"/>
    <w:rsid w:val="000677B9"/>
    <w:rsid w:val="000831BA"/>
    <w:rsid w:val="00092065"/>
    <w:rsid w:val="000A42CC"/>
    <w:rsid w:val="000E7DD9"/>
    <w:rsid w:val="0010095E"/>
    <w:rsid w:val="00125B37"/>
    <w:rsid w:val="00187494"/>
    <w:rsid w:val="001F32AE"/>
    <w:rsid w:val="002767FF"/>
    <w:rsid w:val="002B18FE"/>
    <w:rsid w:val="002B5493"/>
    <w:rsid w:val="00343214"/>
    <w:rsid w:val="00361C00"/>
    <w:rsid w:val="00371DC3"/>
    <w:rsid w:val="00395FA1"/>
    <w:rsid w:val="003E15D4"/>
    <w:rsid w:val="003E3CF0"/>
    <w:rsid w:val="00411CCE"/>
    <w:rsid w:val="0041666E"/>
    <w:rsid w:val="00421060"/>
    <w:rsid w:val="00471C19"/>
    <w:rsid w:val="004867E3"/>
    <w:rsid w:val="00494809"/>
    <w:rsid w:val="00494A28"/>
    <w:rsid w:val="004C0004"/>
    <w:rsid w:val="004C5D52"/>
    <w:rsid w:val="0050519A"/>
    <w:rsid w:val="005072A1"/>
    <w:rsid w:val="00514517"/>
    <w:rsid w:val="00545827"/>
    <w:rsid w:val="00560270"/>
    <w:rsid w:val="005C2568"/>
    <w:rsid w:val="005F1B17"/>
    <w:rsid w:val="006037C0"/>
    <w:rsid w:val="006631B6"/>
    <w:rsid w:val="0067784F"/>
    <w:rsid w:val="00680577"/>
    <w:rsid w:val="006F74FA"/>
    <w:rsid w:val="00731ADD"/>
    <w:rsid w:val="00734777"/>
    <w:rsid w:val="00747932"/>
    <w:rsid w:val="00751A4A"/>
    <w:rsid w:val="0075426C"/>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7BA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918CE6"/>
  <w15:chartTrackingRefBased/>
  <w15:docId w15:val="{D190AA1B-3A89-4789-8FA1-26D1EABD7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94809"/>
    <w:rPr>
      <w:b/>
    </w:rPr>
  </w:style>
  <w:style w:type="paragraph" w:customStyle="1" w:styleId="NormalHanging12a">
    <w:name w:val="NormalHanging12a"/>
    <w:basedOn w:val="Normal"/>
    <w:rsid w:val="00494809"/>
    <w:pPr>
      <w:spacing w:after="240"/>
      <w:ind w:left="567" w:hanging="567"/>
    </w:pPr>
  </w:style>
  <w:style w:type="paragraph" w:customStyle="1" w:styleId="EPComma">
    <w:name w:val="EPComma"/>
    <w:basedOn w:val="Normal"/>
    <w:rsid w:val="00494809"/>
    <w:pPr>
      <w:spacing w:before="480" w:after="240"/>
    </w:pPr>
  </w:style>
  <w:style w:type="paragraph" w:styleId="BalloonText">
    <w:name w:val="Balloon Text"/>
    <w:basedOn w:val="Normal"/>
    <w:link w:val="BalloonTextChar"/>
    <w:rsid w:val="0067784F"/>
    <w:rPr>
      <w:rFonts w:ascii="Segoe UI" w:hAnsi="Segoe UI" w:cs="Segoe UI"/>
      <w:sz w:val="18"/>
      <w:szCs w:val="18"/>
    </w:rPr>
  </w:style>
  <w:style w:type="character" w:customStyle="1" w:styleId="BalloonTextChar">
    <w:name w:val="Balloon Text Char"/>
    <w:basedOn w:val="DefaultParagraphFont"/>
    <w:link w:val="BalloonText"/>
    <w:rsid w:val="0067784F"/>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884D2-DC02-4BB9-96D9-4D2629929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759</Words>
  <Characters>4808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2025-04-01T09:46:00Z</dcterms:created>
  <dcterms:modified xsi:type="dcterms:W3CDTF">2025-04-01T09:46:00Z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A10-0030/2025</vt:lpwstr>
  </property>
  <property fmtid="{D5CDD505-2E9C-101B-9397-08002B2CF9AE}" pid="4" name="&lt;Type&gt;">
    <vt:lpwstr>RR</vt:lpwstr>
  </property>
</Properties>
</file>