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11A4D" w14:paraId="6553889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A71484B" w14:textId="77777777" w:rsidR="00751A4A" w:rsidRPr="00011A4D" w:rsidRDefault="00257171" w:rsidP="0010095E">
            <w:pPr>
              <w:pStyle w:val="EPName"/>
            </w:pPr>
            <w:r w:rsidRPr="00011A4D">
              <w:t>Parlament Ewropew</w:t>
            </w:r>
          </w:p>
          <w:p w14:paraId="46EF4E85" w14:textId="77777777" w:rsidR="00751A4A" w:rsidRPr="00011A4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11A4D">
              <w:t>2024</w:t>
            </w:r>
            <w:r w:rsidR="00817416" w:rsidRPr="00011A4D">
              <w:t>-202</w:t>
            </w:r>
            <w:r w:rsidRPr="00011A4D">
              <w:t>9</w:t>
            </w:r>
          </w:p>
        </w:tc>
        <w:tc>
          <w:tcPr>
            <w:tcW w:w="2268" w:type="dxa"/>
            <w:shd w:val="clear" w:color="auto" w:fill="auto"/>
          </w:tcPr>
          <w:p w14:paraId="65A42605" w14:textId="77777777" w:rsidR="00751A4A" w:rsidRPr="00011A4D" w:rsidRDefault="00187494" w:rsidP="0010095E">
            <w:pPr>
              <w:pStyle w:val="EPLogo"/>
            </w:pPr>
            <w:r w:rsidRPr="00011A4D">
              <w:rPr>
                <w:noProof/>
                <w:lang w:val="en-GB"/>
              </w:rPr>
              <w:drawing>
                <wp:inline distT="0" distB="0" distL="0" distR="0" wp14:anchorId="478A6EC6" wp14:editId="24C86A2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AD30CD" w14:textId="77777777" w:rsidR="00D058B8" w:rsidRPr="00011A4D" w:rsidRDefault="00D058B8" w:rsidP="004C5D52">
      <w:pPr>
        <w:pStyle w:val="LineTop"/>
      </w:pPr>
    </w:p>
    <w:p w14:paraId="1F35F7AD" w14:textId="77777777" w:rsidR="00680577" w:rsidRPr="00011A4D" w:rsidRDefault="00257171" w:rsidP="00680577">
      <w:pPr>
        <w:pStyle w:val="EPBodyTA1"/>
      </w:pPr>
      <w:r w:rsidRPr="00011A4D">
        <w:t>TESTI ADOTTATI</w:t>
      </w:r>
    </w:p>
    <w:p w14:paraId="746B5B19" w14:textId="77777777" w:rsidR="00D058B8" w:rsidRPr="00011A4D" w:rsidRDefault="00D058B8" w:rsidP="00D058B8">
      <w:pPr>
        <w:pStyle w:val="LineBottom"/>
      </w:pPr>
    </w:p>
    <w:p w14:paraId="5592B136" w14:textId="77777777" w:rsidR="00257171" w:rsidRPr="00011A4D" w:rsidRDefault="00257171" w:rsidP="00257171">
      <w:pPr>
        <w:pStyle w:val="ATHeading1"/>
      </w:pPr>
      <w:bookmarkStart w:id="0" w:name="TANumber"/>
      <w:r w:rsidRPr="00011A4D">
        <w:t>P10_TA(2025)00</w:t>
      </w:r>
      <w:r w:rsidR="00987A0C">
        <w:t>41</w:t>
      </w:r>
      <w:bookmarkEnd w:id="0"/>
    </w:p>
    <w:p w14:paraId="77A54A71" w14:textId="77777777" w:rsidR="00257171" w:rsidRPr="00011A4D" w:rsidRDefault="00857E58" w:rsidP="00257171">
      <w:pPr>
        <w:pStyle w:val="ATHeading2"/>
      </w:pPr>
      <w:r w:rsidRPr="00857E58">
        <w:t>Talba għat-tneħħija tal-immunità ta’ Petr Bystron</w:t>
      </w:r>
    </w:p>
    <w:p w14:paraId="1B25CB7C" w14:textId="77777777" w:rsidR="00257171" w:rsidRPr="00011A4D" w:rsidRDefault="00257171" w:rsidP="00257171">
      <w:pPr>
        <w:rPr>
          <w:i/>
          <w:vanish/>
        </w:rPr>
      </w:pPr>
      <w:r w:rsidRPr="00011A4D">
        <w:rPr>
          <w:i/>
        </w:rPr>
        <w:fldChar w:fldCharType="begin"/>
      </w:r>
      <w:r w:rsidRPr="00011A4D">
        <w:rPr>
          <w:i/>
        </w:rPr>
        <w:instrText xml:space="preserve"> TC"(</w:instrText>
      </w:r>
      <w:bookmarkStart w:id="1" w:name="DocNumber"/>
      <w:r w:rsidRPr="00011A4D">
        <w:rPr>
          <w:i/>
        </w:rPr>
        <w:instrText>A10-0030/2025</w:instrText>
      </w:r>
      <w:bookmarkEnd w:id="1"/>
      <w:r w:rsidRPr="00011A4D">
        <w:rPr>
          <w:i/>
        </w:rPr>
        <w:instrText xml:space="preserve"> - Rapporteur: Dominik Tarczyński)"\l3 \n&gt; \* MERGEFORMAT </w:instrText>
      </w:r>
      <w:r w:rsidRPr="00011A4D">
        <w:rPr>
          <w:i/>
        </w:rPr>
        <w:fldChar w:fldCharType="end"/>
      </w:r>
    </w:p>
    <w:p w14:paraId="13FC2665" w14:textId="77777777" w:rsidR="00257171" w:rsidRPr="00011A4D" w:rsidRDefault="00257171" w:rsidP="00257171">
      <w:pPr>
        <w:rPr>
          <w:vanish/>
        </w:rPr>
      </w:pPr>
      <w:bookmarkStart w:id="2" w:name="Commission"/>
      <w:r w:rsidRPr="00011A4D">
        <w:rPr>
          <w:vanish/>
        </w:rPr>
        <w:t>Kumitat għall-Affarijiet Legali</w:t>
      </w:r>
      <w:bookmarkEnd w:id="2"/>
    </w:p>
    <w:p w14:paraId="4B59BC12" w14:textId="77777777" w:rsidR="00257171" w:rsidRPr="00011A4D" w:rsidRDefault="00257171" w:rsidP="00257171">
      <w:pPr>
        <w:rPr>
          <w:vanish/>
        </w:rPr>
      </w:pPr>
      <w:bookmarkStart w:id="3" w:name="PE"/>
      <w:r w:rsidRPr="00011A4D">
        <w:rPr>
          <w:vanish/>
        </w:rPr>
        <w:t>PE766.948</w:t>
      </w:r>
      <w:bookmarkEnd w:id="3"/>
    </w:p>
    <w:p w14:paraId="4C90CE0A" w14:textId="7C19C935" w:rsidR="00257171" w:rsidRPr="00011A4D" w:rsidRDefault="00257171" w:rsidP="00257171">
      <w:pPr>
        <w:pStyle w:val="ATHeading3"/>
      </w:pPr>
      <w:bookmarkStart w:id="4" w:name="Sujet"/>
      <w:r w:rsidRPr="00011A4D">
        <w:t>Deċiżj</w:t>
      </w:r>
      <w:r w:rsidR="00857E58">
        <w:t>oni tal-Parlament Ewropew tal-1</w:t>
      </w:r>
      <w:r w:rsidRPr="00011A4D">
        <w:t xml:space="preserve"> ta' April 2025 dwar it-talba għat-tneħħija tal-immunità ta’ Petr Bystron</w:t>
      </w:r>
      <w:bookmarkEnd w:id="4"/>
      <w:r w:rsidRPr="00011A4D">
        <w:t xml:space="preserve"> </w:t>
      </w:r>
      <w:bookmarkStart w:id="5" w:name="References"/>
      <w:r w:rsidRPr="00011A4D">
        <w:t>(2024/2048(IMM))</w:t>
      </w:r>
      <w:bookmarkEnd w:id="5"/>
    </w:p>
    <w:p w14:paraId="6A3D24C1" w14:textId="77777777" w:rsidR="00AD6748" w:rsidRPr="00011A4D" w:rsidRDefault="00AD6748" w:rsidP="00AD6748">
      <w:pPr>
        <w:pStyle w:val="EPComma"/>
      </w:pPr>
      <w:bookmarkStart w:id="6" w:name="TextBodyBegin"/>
      <w:bookmarkEnd w:id="6"/>
      <w:r w:rsidRPr="00011A4D">
        <w:rPr>
          <w:i/>
        </w:rPr>
        <w:t>Il-Parlament Ewropew</w:t>
      </w:r>
      <w:r w:rsidRPr="00011A4D">
        <w:t>,</w:t>
      </w:r>
    </w:p>
    <w:p w14:paraId="46B7F91F" w14:textId="77777777" w:rsidR="00AD6748" w:rsidRPr="00011A4D" w:rsidRDefault="00AD6748" w:rsidP="00AD6748">
      <w:pPr>
        <w:pStyle w:val="NormalHanging12a"/>
      </w:pPr>
      <w:r w:rsidRPr="00011A4D">
        <w:t>–</w:t>
      </w:r>
      <w:r w:rsidRPr="00011A4D">
        <w:tab/>
        <w:t xml:space="preserve">wara li kkunsidra t-talba għat-tneħħija tal-immunità ta’ Petr Bystron, imressqa b’ittra tas-27 ta’ Awwissu 2024 mill-Ministeru </w:t>
      </w:r>
      <w:r w:rsidR="005D7A90">
        <w:t xml:space="preserve">Federali Ġermaniż </w:t>
      </w:r>
      <w:r w:rsidRPr="00011A4D">
        <w:t>għall-Ġustizzja</w:t>
      </w:r>
      <w:r w:rsidR="005D7A90">
        <w:t>,</w:t>
      </w:r>
      <w:r w:rsidRPr="00011A4D">
        <w:t xml:space="preserve"> li għaddiet talba mill-Kap Prosekutur Pubbliku ta’ Munich I b’rabta mal-proċedimenti kriminali pendenti quddiem il-Qorti Distrettwali ta’ Munich, u mħabbra fis-seduta plenarja fis-16 ta’ Settembru 2024,</w:t>
      </w:r>
    </w:p>
    <w:p w14:paraId="1ADD0184" w14:textId="77777777" w:rsidR="00AD6748" w:rsidRPr="00011A4D" w:rsidRDefault="00AD6748" w:rsidP="00AD6748">
      <w:pPr>
        <w:pStyle w:val="NormalHanging12a"/>
      </w:pPr>
      <w:r w:rsidRPr="00011A4D">
        <w:t>–</w:t>
      </w:r>
      <w:r w:rsidRPr="00011A4D">
        <w:tab/>
        <w:t>wara li sema’ lil Petr Bystron fid-29 ta’ Jannar 2025, skont l-Artikolu 9(6) tar-Regoli ta’ Proċedura tiegħu u wara li kkunsidra d-dokumenti mressqa minnu waqt is-seduta ta’ smigħ,</w:t>
      </w:r>
    </w:p>
    <w:p w14:paraId="2B8FE3F8" w14:textId="77777777" w:rsidR="00AD6748" w:rsidRPr="00011A4D" w:rsidRDefault="00AD6748" w:rsidP="00AD6748">
      <w:pPr>
        <w:pStyle w:val="NormalHanging12a"/>
      </w:pPr>
      <w:r w:rsidRPr="00011A4D">
        <w:t>–</w:t>
      </w:r>
      <w:r w:rsidRPr="00011A4D">
        <w:tab/>
        <w:t>wara li kkunsidra l-Artikoli 8 u 9 tal-Protokoll Nru 7 dwar il-Privileġġi u l-Immunitajiet tal-Unjoni Ewropea kif ukoll l-Artikolu 6(2) tal-Att tal-20 ta’ Settembru 1976 dwar l-elezzjoni tal-Membri tal-Parlament Ewropew b’vot dirett universali,</w:t>
      </w:r>
    </w:p>
    <w:p w14:paraId="4A2971B7" w14:textId="16E90E56" w:rsidR="00AD6748" w:rsidRPr="00011A4D" w:rsidRDefault="00AD6748" w:rsidP="00AD6748">
      <w:pPr>
        <w:pStyle w:val="NormalHanging12a"/>
      </w:pPr>
      <w:r w:rsidRPr="00011A4D">
        <w:t>–</w:t>
      </w:r>
      <w:r w:rsidRPr="00011A4D">
        <w:tab/>
        <w:t>wara li kkunsidra s-sentenzi mogħtija mill-Qorti tal-Ġustizzja tal-Unjoni Ewropea fil-21 ta’ Ottubru 2008, fid-19 ta’ Marzu 2010, fis-6 ta’ Settemb</w:t>
      </w:r>
      <w:r w:rsidR="00407EB0">
        <w:t xml:space="preserve">ru 2011, </w:t>
      </w:r>
      <w:bookmarkStart w:id="7" w:name="_GoBack"/>
      <w:bookmarkEnd w:id="7"/>
      <w:r w:rsidR="00407EB0">
        <w:t xml:space="preserve">fis-17 ta’ Jannar 2013, </w:t>
      </w:r>
      <w:r w:rsidRPr="00011A4D">
        <w:t>fid-19 ta’ Diċembru 2019</w:t>
      </w:r>
      <w:r w:rsidR="00407EB0">
        <w:t xml:space="preserve"> u fil-5 ta’ Lulju 2023</w:t>
      </w:r>
      <w:r w:rsidRPr="00011A4D">
        <w:rPr>
          <w:rStyle w:val="FootnoteReference"/>
          <w:color w:val="000000"/>
        </w:rPr>
        <w:footnoteReference w:id="1"/>
      </w:r>
      <w:r w:rsidRPr="00011A4D">
        <w:t>,</w:t>
      </w:r>
    </w:p>
    <w:p w14:paraId="32FC6467" w14:textId="77777777" w:rsidR="00AD6748" w:rsidRPr="00011A4D" w:rsidRDefault="00AD6748" w:rsidP="00AD6748">
      <w:pPr>
        <w:pStyle w:val="NormalHanging12a"/>
      </w:pPr>
      <w:r w:rsidRPr="00011A4D">
        <w:t>–</w:t>
      </w:r>
      <w:r w:rsidRPr="00011A4D">
        <w:tab/>
        <w:t>wara li kkunsidra l-Artikolu 46 tal-Liġi Bażika tar-Repubblika Federali tal-Ġermanja,</w:t>
      </w:r>
    </w:p>
    <w:p w14:paraId="17A4A4FA" w14:textId="77777777" w:rsidR="00AD6748" w:rsidRPr="00011A4D" w:rsidRDefault="00AD6748" w:rsidP="00AD6748">
      <w:pPr>
        <w:pStyle w:val="NormalHanging12a"/>
      </w:pPr>
      <w:r w:rsidRPr="00011A4D">
        <w:t>–</w:t>
      </w:r>
      <w:r w:rsidRPr="00011A4D">
        <w:tab/>
        <w:t xml:space="preserve">wara li kkunsidra l-Artikolu 5(2), l-Artikolu 6(1) u l-Artikolu 9 tar-Regoli ta’ Proċedura </w:t>
      </w:r>
      <w:r w:rsidRPr="00011A4D">
        <w:lastRenderedPageBreak/>
        <w:t>tiegħu,</w:t>
      </w:r>
    </w:p>
    <w:p w14:paraId="2259D154" w14:textId="77777777" w:rsidR="00AD6748" w:rsidRPr="00011A4D" w:rsidRDefault="00AD6748" w:rsidP="00AD6748">
      <w:pPr>
        <w:pStyle w:val="NormalHanging12a"/>
      </w:pPr>
      <w:r w:rsidRPr="00011A4D">
        <w:t>–</w:t>
      </w:r>
      <w:r w:rsidRPr="00011A4D">
        <w:tab/>
        <w:t>wara li kkunsidra r-rapport tal-Kumitat għall-Affarijiet Legali (A10-0030/2025),</w:t>
      </w:r>
    </w:p>
    <w:p w14:paraId="6AC05A6E" w14:textId="77777777" w:rsidR="00AD6748" w:rsidRPr="00011A4D" w:rsidRDefault="00AD6748" w:rsidP="00AD6748">
      <w:pPr>
        <w:pStyle w:val="NormalHanging12a"/>
      </w:pPr>
      <w:r w:rsidRPr="00011A4D">
        <w:t>A.</w:t>
      </w:r>
      <w:r w:rsidRPr="00011A4D">
        <w:tab/>
        <w:t>billi l-Kap Prosekutur Pubbliku ta’ Munich I talab it-tneħħija tal-immunità ta’ Petr Bystron, Membru tal-Parlament Ewropew, fil-kuntest ta’ akkużi mressqa kontrih skont it-Taqsima 86a tal-Kodiċi Kriminali Ġermaniż u b’rabta mat-Taqsima 86 ta</w:t>
      </w:r>
      <w:r w:rsidR="00857E58">
        <w:t>’ dak i</w:t>
      </w:r>
      <w:r w:rsidRPr="00011A4D">
        <w:t>l-Kodiċi, fir-rigward ta</w:t>
      </w:r>
      <w:r w:rsidR="00AA465F">
        <w:t>l-użu</w:t>
      </w:r>
      <w:r w:rsidRPr="00011A4D">
        <w:t xml:space="preserve"> allegat ta’ simboli ta’ organizzazzjonijiet terroristiċi u li jmorru kontra l-kostituzzjoni;</w:t>
      </w:r>
    </w:p>
    <w:p w14:paraId="705A22C6" w14:textId="77777777" w:rsidR="00AD6748" w:rsidRPr="00011A4D" w:rsidRDefault="00AD6748" w:rsidP="00AD6748">
      <w:pPr>
        <w:pStyle w:val="NormalHanging12a"/>
      </w:pPr>
      <w:r w:rsidRPr="00011A4D">
        <w:rPr>
          <w:shd w:val="clear" w:color="auto" w:fill="FFFFFF"/>
        </w:rPr>
        <w:t>B.</w:t>
      </w:r>
      <w:r w:rsidRPr="00011A4D">
        <w:rPr>
          <w:shd w:val="clear" w:color="auto" w:fill="FFFFFF"/>
        </w:rPr>
        <w:tab/>
      </w:r>
      <w:r w:rsidRPr="00011A4D">
        <w:t xml:space="preserve">billi t-talba tindika li, wara t-tkeċċija mill-kariga tal-Ambaxxatur Ukren għall-Ġermanja fit-12 ta’ Lulju 2022, </w:t>
      </w:r>
      <w:r w:rsidRPr="00011A4D">
        <w:rPr>
          <w:shd w:val="clear" w:color="auto" w:fill="FFFFFF"/>
        </w:rPr>
        <w:t xml:space="preserve">Petr Bystron </w:t>
      </w:r>
      <w:r w:rsidRPr="00011A4D">
        <w:t>allegatament ippubblika fotomuntaġġ fuq il-kont ta’ Twitter tiegħu, liema fotomuntaġġ juri biċċiet minn ritratti ta’ persuni li qabel kienu jokkupaw karigi pubbliċi għoljin u kull persuna qed iżżomm driegħa l-lemini jew ix-xellugi ‘l fuq b’idha maħruġa ‘l barra u bis-swaba jippuntaw ‘il fuq; billi l-muntaġġ ippubblikat huwa akkumpanjat mis-sottotitolu “Bye, bye […]! politiċi Ġermaniżi jxejru b’tislima!”</w:t>
      </w:r>
      <w:r w:rsidRPr="00011A4D">
        <w:rPr>
          <w:rStyle w:val="FootnoteReference"/>
          <w:color w:val="000000"/>
        </w:rPr>
        <w:footnoteReference w:id="2"/>
      </w:r>
      <w:r w:rsidRPr="00011A4D">
        <w:t xml:space="preserve">; billi </w:t>
      </w:r>
      <w:r w:rsidRPr="00011A4D">
        <w:rPr>
          <w:shd w:val="clear" w:color="auto" w:fill="FFFFFF"/>
        </w:rPr>
        <w:t xml:space="preserve">Petr Bystron </w:t>
      </w:r>
      <w:r w:rsidRPr="00011A4D">
        <w:t xml:space="preserve">ġie akkużat li mill-inqas taċitament aċċetta li dan il-fotomuntaġġ iħalli utent ta’ Twitter oġġettiv bl-impressjoni li l-pożizzjoni tad-driegħ murija kienet is-“salut ta’ Hitler” peress li din kienet il-forma ta’ tislima użata mir-reġim Nazista; billi </w:t>
      </w:r>
      <w:r w:rsidRPr="00011A4D">
        <w:rPr>
          <w:shd w:val="clear" w:color="auto" w:fill="FFFFFF"/>
        </w:rPr>
        <w:t xml:space="preserve">Petr Bystron </w:t>
      </w:r>
      <w:r w:rsidRPr="00011A4D">
        <w:t>ġie akkużat li xerred jew uża pubblikament fil-Ġermanja simboli ta’ organizzazzjonijiet terroristiċi u li jmorru kontra l-kostituzzjoni;</w:t>
      </w:r>
    </w:p>
    <w:p w14:paraId="4CF4E696" w14:textId="77777777" w:rsidR="00AD6748" w:rsidRPr="00011A4D" w:rsidRDefault="00AD6748" w:rsidP="00AD6748">
      <w:pPr>
        <w:pStyle w:val="NormalHanging12a"/>
      </w:pPr>
      <w:r w:rsidRPr="00011A4D">
        <w:t>C.</w:t>
      </w:r>
      <w:r w:rsidRPr="00011A4D">
        <w:tab/>
        <w:t>billi wara li wettqu l-investigazzjonijiet tagħhom l-awtoritajiet kompetenti ressqu talba għat-tneħħija tal-immunità ta’ Petr Bystron, indirizzata lill-Bundestag Ġermaniż, li tiegħu kien membru dak iż-żmien; billi l-Bundestag Ġermaniż neħħielu l-immunità fis-7 ta’ Settembru 2023;</w:t>
      </w:r>
    </w:p>
    <w:p w14:paraId="6A3EEE9E" w14:textId="77777777" w:rsidR="00AD6748" w:rsidRPr="00011A4D" w:rsidRDefault="00AD6748" w:rsidP="00AD6748">
      <w:pPr>
        <w:pStyle w:val="NormalHanging12a"/>
      </w:pPr>
      <w:r w:rsidRPr="00011A4D">
        <w:t>D.</w:t>
      </w:r>
      <w:r w:rsidRPr="00011A4D">
        <w:tab/>
      </w:r>
      <w:r w:rsidRPr="00011A4D">
        <w:rPr>
          <w:shd w:val="clear" w:color="auto" w:fill="FFFFFF"/>
        </w:rPr>
        <w:t xml:space="preserve">billi Petr Bystron ġie elett għall-Parlament Ewropew fl-elezzjonijiet Ewropej fl-2024; billi </w:t>
      </w:r>
      <w:r w:rsidRPr="00011A4D">
        <w:t>wara t-tħabbir tar-riżultat finali tal-elezzjoni, l-awtoritajiet kompetenti, b’deċiżjoni tad-9 ta’ Lulju 2024, b’mod proviżorju ssospendew il-proċedimenti kriminali kontrih sabiex jipproċedu bit-talba għat-tneħħija tal-immunità tiegħu;</w:t>
      </w:r>
    </w:p>
    <w:p w14:paraId="0B551358" w14:textId="77777777" w:rsidR="00AD6748" w:rsidRPr="00011A4D" w:rsidRDefault="00AD6748" w:rsidP="00AD6748">
      <w:pPr>
        <w:pStyle w:val="NormalHanging12a"/>
      </w:pPr>
      <w:r w:rsidRPr="00011A4D">
        <w:t>E.</w:t>
      </w:r>
      <w:r w:rsidRPr="00011A4D">
        <w:tab/>
        <w:t>billi</w:t>
      </w:r>
      <w:r w:rsidRPr="00011A4D">
        <w:rPr>
          <w:shd w:val="clear" w:color="auto" w:fill="FFFFFF"/>
        </w:rPr>
        <w:t xml:space="preserve"> </w:t>
      </w:r>
      <w:r w:rsidRPr="00011A4D">
        <w:t xml:space="preserve">Petr Bystron </w:t>
      </w:r>
      <w:r w:rsidRPr="00011A4D">
        <w:rPr>
          <w:shd w:val="clear" w:color="auto" w:fill="FFFFFF"/>
        </w:rPr>
        <w:t>ma kienx Membru tal-Parlament Ewropew fi żmien l-allegat reat;</w:t>
      </w:r>
    </w:p>
    <w:p w14:paraId="59D3D8AE" w14:textId="77777777" w:rsidR="00AD6748" w:rsidRPr="00011A4D" w:rsidRDefault="00AD6748" w:rsidP="00AD6748">
      <w:pPr>
        <w:pStyle w:val="NormalHanging12a"/>
      </w:pPr>
      <w:r w:rsidRPr="00011A4D">
        <w:t>F.</w:t>
      </w:r>
      <w:r w:rsidRPr="00011A4D">
        <w:tab/>
        <w:t>billi l-allegat reat u t-talba sussegwenti għat-tneħħija tal-immunità tiegħu mhumiex relatati ma’ opinjoni espressa jew vot mitfugħ minn Petr Bystron fil-qadi ta’ dmirijietu fis-sens tal-Artikolu 8 tal-Protokoll Nru 7 dwar il-Privileġġi u l-Immunitajiet tal-Unjoni Ewropea;</w:t>
      </w:r>
    </w:p>
    <w:p w14:paraId="2F2C7084" w14:textId="77777777" w:rsidR="00AD6748" w:rsidRPr="00011A4D" w:rsidRDefault="00AD6748" w:rsidP="00AD6748">
      <w:pPr>
        <w:pStyle w:val="NormalHanging12a"/>
      </w:pPr>
      <w:r w:rsidRPr="00011A4D">
        <w:t>G.</w:t>
      </w:r>
      <w:r w:rsidRPr="00011A4D">
        <w:tab/>
        <w:t>billi l-Artikolu 9, l-ewwel paragrafu, il-punt (a), tal-Protokoll Nru 7 dwar il-Privileġġi u l-Immunitajiet tal-Unjoni Ewropea jiddisponi li l-Membri tal-Parlament Ewropew għandhom igawdu, fit-territorju tal-Istat tagħhom stess, l-immunitajiet mogħtija lil membri tal-parlament tagħhom;</w:t>
      </w:r>
    </w:p>
    <w:p w14:paraId="56E5419B" w14:textId="77777777" w:rsidR="00AD6748" w:rsidRPr="00011A4D" w:rsidRDefault="00AD6748" w:rsidP="00AD6748">
      <w:pPr>
        <w:pStyle w:val="NormalHanging12a"/>
      </w:pPr>
      <w:r w:rsidRPr="00011A4D">
        <w:t>H.</w:t>
      </w:r>
      <w:r w:rsidRPr="00011A4D">
        <w:tab/>
        <w:t>billi l-Artikolu 46(2), (3) u (4) tal-Liġi Bażika tar-Repubblika Federali tal-Ġermanja jipprevedi dan li ġej:</w:t>
      </w:r>
    </w:p>
    <w:p w14:paraId="3412C65A" w14:textId="77777777" w:rsidR="00AD6748" w:rsidRPr="00011A4D" w:rsidRDefault="00AD6748" w:rsidP="00AD6748">
      <w:pPr>
        <w:pStyle w:val="NormalHanging12a"/>
      </w:pPr>
      <w:r w:rsidRPr="00011A4D">
        <w:t>“(2)</w:t>
      </w:r>
      <w:r w:rsidRPr="00011A4D">
        <w:tab/>
        <w:t xml:space="preserve">Membru ma jistax jinżamm responsabbli jew </w:t>
      </w:r>
      <w:r w:rsidR="00E528C0">
        <w:t>jiġi</w:t>
      </w:r>
      <w:r w:rsidRPr="00011A4D">
        <w:t xml:space="preserve"> arrestat għal reat kastigabbli mingħajr il-permess tal-Bundestag, sakemm ma jinqabadx fil-fatt iwettaq ir-reat jew </w:t>
      </w:r>
      <w:r w:rsidR="00E528C0">
        <w:t>matul il-ġurnata ta’ wara</w:t>
      </w:r>
      <w:r w:rsidRPr="00011A4D">
        <w:t>.</w:t>
      </w:r>
    </w:p>
    <w:p w14:paraId="4F504BE0" w14:textId="77777777" w:rsidR="00AD6748" w:rsidRPr="00011A4D" w:rsidRDefault="00AD6748" w:rsidP="00AD6748">
      <w:pPr>
        <w:pStyle w:val="NormalHanging12a"/>
      </w:pPr>
      <w:r w:rsidRPr="00011A4D">
        <w:lastRenderedPageBreak/>
        <w:t>(3)</w:t>
      </w:r>
      <w:r w:rsidRPr="00011A4D">
        <w:tab/>
        <w:t>Il-permess tal-Bundestag għandu jkun meħtieġ ukoll għal kwalunkwe restrizzjoni oħra tal-libertà tal-persuna tal-Membru jew biex jinbdew proċedimenti kontra Membru skont l-Artikolu 18.</w:t>
      </w:r>
    </w:p>
    <w:p w14:paraId="567BC0C4" w14:textId="77777777" w:rsidR="00AD6748" w:rsidRPr="00011A4D" w:rsidRDefault="00AD6748" w:rsidP="00AD6748">
      <w:pPr>
        <w:pStyle w:val="NormalHanging12a"/>
      </w:pPr>
      <w:r w:rsidRPr="00011A4D">
        <w:t>(4)</w:t>
      </w:r>
      <w:r w:rsidRPr="00011A4D">
        <w:tab/>
        <w:t>Kwalunkwe proċediment kriminali jew proċediment skont l-Artikolu 18 kontra Membru u kwalunkwe detenzjoni jew restrizzjoni oħra tal-libertà tal-persuna tiegħu għandhom jiġu sospiżi fuq talba tal-Bundestag.”;</w:t>
      </w:r>
    </w:p>
    <w:p w14:paraId="649F0AB9" w14:textId="77777777" w:rsidR="00AD6748" w:rsidRPr="00011A4D" w:rsidRDefault="00AD6748" w:rsidP="00AD6748">
      <w:pPr>
        <w:pStyle w:val="NormalHanging12a"/>
      </w:pPr>
      <w:r w:rsidRPr="00011A4D">
        <w:t>I.</w:t>
      </w:r>
      <w:r w:rsidRPr="00011A4D">
        <w:tab/>
        <w:t xml:space="preserve">billi l-għan tal-immunità parlamentari huwa li tipproteġi lill-Parlament u lill-Membri tiegħu minn proċedimenti ġudizzjarji relatati ma’ attivitajiet imwettqa fil-qadi tad-dmirijiet parlamentari u li huma inseparabbli minn dawn </w:t>
      </w:r>
      <w:r w:rsidR="00E528C0">
        <w:t>id-dmirijiet</w:t>
      </w:r>
      <w:r w:rsidRPr="00011A4D">
        <w:t>;</w:t>
      </w:r>
    </w:p>
    <w:p w14:paraId="446B4E26" w14:textId="77777777" w:rsidR="00AD6748" w:rsidRPr="00011A4D" w:rsidRDefault="00AD6748" w:rsidP="00AD6748">
      <w:pPr>
        <w:pStyle w:val="NormalHanging12a"/>
      </w:pPr>
      <w:r w:rsidRPr="00011A4D">
        <w:t>J.</w:t>
      </w:r>
      <w:r w:rsidRPr="00011A4D">
        <w:tab/>
        <w:t>billi skont l-Artikolu 5(2) tar-Regoli ta’ Proċedura tiegħu, l-immunità parlamentari mhix privileġġ personali ta’ Membru imma garanzija tal-indipendenza tal-Parlament kollu kemm hu u tal-Membri tiegħu;</w:t>
      </w:r>
    </w:p>
    <w:p w14:paraId="63A1D3B5" w14:textId="77777777" w:rsidR="00AD6748" w:rsidRPr="00011A4D" w:rsidRDefault="00AD6748" w:rsidP="00AD6748">
      <w:pPr>
        <w:pStyle w:val="NormalHanging12a"/>
      </w:pPr>
      <w:r w:rsidRPr="00011A4D">
        <w:t>K.</w:t>
      </w:r>
      <w:r w:rsidRPr="00011A4D">
        <w:tab/>
        <w:t xml:space="preserve">billi, f’dan il-każ, il-Parlament ma </w:t>
      </w:r>
      <w:r w:rsidR="00E528C0">
        <w:t xml:space="preserve">sab l-ebda evidenza </w:t>
      </w:r>
      <w:r w:rsidRPr="00011A4D">
        <w:t xml:space="preserve">ta’ fumus persecutionis, jiġifieri elementi fattwali li jindikaw li l-proċedimenti </w:t>
      </w:r>
      <w:r w:rsidR="00E528C0">
        <w:t xml:space="preserve">ġudizzjarji </w:t>
      </w:r>
      <w:r w:rsidRPr="00011A4D">
        <w:t>inkwistjoni kellhom l-intenzjoni li jimminaw l-attività politika tal-Membru bħala Membru tal-Parlament Ewropew;</w:t>
      </w:r>
    </w:p>
    <w:p w14:paraId="5243A0AB" w14:textId="77777777" w:rsidR="00AD6748" w:rsidRPr="00011A4D" w:rsidRDefault="00AD6748" w:rsidP="00AD6748">
      <w:pPr>
        <w:pStyle w:val="NormalHanging12a"/>
      </w:pPr>
      <w:r w:rsidRPr="00011A4D">
        <w:t>L.</w:t>
      </w:r>
      <w:r w:rsidRPr="00011A4D">
        <w:tab/>
        <w:t>billi, minn naħa, il-Parlament ma jistax jitqies bħala qorti u, min-naħa l-oħra, il-Membru ma jistax, fil-kuntest ta’ proċedura għat-tneħħija tal-immunità, jitqies bħala “akkużat”</w:t>
      </w:r>
      <w:r w:rsidRPr="00011A4D">
        <w:rPr>
          <w:vertAlign w:val="superscript"/>
        </w:rPr>
        <w:footnoteReference w:id="3"/>
      </w:r>
      <w:r w:rsidRPr="00011A4D">
        <w:t>;</w:t>
      </w:r>
    </w:p>
    <w:p w14:paraId="077798C4" w14:textId="77777777" w:rsidR="00AD6748" w:rsidRPr="00011A4D" w:rsidRDefault="00AD6748" w:rsidP="00AD6748">
      <w:pPr>
        <w:pStyle w:val="NormalHanging12a"/>
      </w:pPr>
      <w:r w:rsidRPr="00011A4D">
        <w:t>1.</w:t>
      </w:r>
      <w:r w:rsidRPr="00011A4D">
        <w:tab/>
        <w:t>Jiddeċiedi li jneħħi l-immunità ta’ Petr Bystron;</w:t>
      </w:r>
    </w:p>
    <w:p w14:paraId="122C461D" w14:textId="77777777" w:rsidR="00E365E1" w:rsidRPr="00011A4D" w:rsidRDefault="00AD6748" w:rsidP="003E3256">
      <w:pPr>
        <w:ind w:left="567" w:hanging="567"/>
      </w:pPr>
      <w:r w:rsidRPr="00011A4D">
        <w:t>2.</w:t>
      </w:r>
      <w:r w:rsidRPr="00011A4D">
        <w:tab/>
        <w:t>Jagħti istruzzjonijiet lill-President tiegħu biex tgħaddi minnufih din id-deċiżjoni u r-rapport tal-kumitat responsabbli tiegħu lill-awtorità kompetenti tar-Repubblika Federali tal-Ġermanja u lil Petr Bystron.</w:t>
      </w:r>
    </w:p>
    <w:sectPr w:rsidR="00E365E1" w:rsidRPr="00011A4D" w:rsidSect="00011A4D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43CA2F" w14:textId="77777777" w:rsidR="00257171" w:rsidRPr="00011A4D" w:rsidRDefault="00257171">
      <w:r w:rsidRPr="00011A4D">
        <w:separator/>
      </w:r>
    </w:p>
  </w:endnote>
  <w:endnote w:type="continuationSeparator" w:id="0">
    <w:p w14:paraId="3DC4E0E8" w14:textId="77777777" w:rsidR="00257171" w:rsidRPr="00011A4D" w:rsidRDefault="00257171">
      <w:r w:rsidRPr="00011A4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F5F73F" w14:textId="77777777" w:rsidR="00257171" w:rsidRPr="00011A4D" w:rsidRDefault="00257171">
      <w:r w:rsidRPr="00011A4D">
        <w:separator/>
      </w:r>
    </w:p>
  </w:footnote>
  <w:footnote w:type="continuationSeparator" w:id="0">
    <w:p w14:paraId="0F47E9D2" w14:textId="77777777" w:rsidR="00257171" w:rsidRPr="00011A4D" w:rsidRDefault="00257171">
      <w:r w:rsidRPr="00011A4D">
        <w:continuationSeparator/>
      </w:r>
    </w:p>
  </w:footnote>
  <w:footnote w:id="1">
    <w:p w14:paraId="7AC9F077" w14:textId="77777777" w:rsidR="00AD6748" w:rsidRPr="00011A4D" w:rsidRDefault="00AD6748" w:rsidP="00011A4D">
      <w:pPr>
        <w:pStyle w:val="FootnoteText"/>
        <w:ind w:left="567" w:hanging="567"/>
        <w:rPr>
          <w:sz w:val="24"/>
          <w:lang w:val="mt-MT"/>
        </w:rPr>
      </w:pPr>
      <w:r w:rsidRPr="00011A4D">
        <w:rPr>
          <w:rStyle w:val="FootnoteReference"/>
          <w:sz w:val="24"/>
          <w:lang w:val="mt-MT"/>
        </w:rPr>
        <w:footnoteRef/>
      </w:r>
      <w:r w:rsidR="00011A4D" w:rsidRPr="00011A4D">
        <w:rPr>
          <w:sz w:val="24"/>
          <w:lang w:val="mt-MT"/>
        </w:rPr>
        <w:t xml:space="preserve"> </w:t>
      </w:r>
      <w:r w:rsidR="00011A4D" w:rsidRPr="00011A4D">
        <w:rPr>
          <w:sz w:val="24"/>
          <w:lang w:val="mt-MT"/>
        </w:rPr>
        <w:tab/>
      </w:r>
      <w:r w:rsidR="005D7A90">
        <w:rPr>
          <w:sz w:val="24"/>
          <w:lang w:val="mt-MT"/>
        </w:rPr>
        <w:t>I</w:t>
      </w:r>
      <w:r w:rsidRPr="00011A4D">
        <w:rPr>
          <w:sz w:val="24"/>
          <w:lang w:val="mt-MT"/>
        </w:rPr>
        <w:t>s-sentenza tal-Qorti tal-Ġustizzja tal-21 ta’ Ottubru 2008, Marra vs De Gregorio u Clemente, C-200/07 u C-201/07, ECLI:EU:C:2008:579; is-sentenza tal-Qorti Ġenerali tad-19 ta’ Marzu 2010, Gollnisch vs Il-Parlament, T-42/06 ECLI:EU:T:2010:102; is-sentenza tal-Qorti tal-Ġustizzja tas-6 ta’ Settembru 2011, Patriciello, C 163/10, ECLI: EU:C:2011:543; is-sentenza tal-Qorti Ġenerali tas-17 ta’ Jannar 2013, Gollnisch vs Il-Parlament, T-346/11 u T-347/11, ECLI:EU:T:2013:23; is-sentenza tal-Qorti tal-Ġustizzja tad-19 ta’ Diċembru 2019, Junqueras Vies, C-502/19, ECLI:EU:C:2019:1115; is-sentenza tal-Qorti Ġenerali tal-5 ta’ Lulju 2023, Puigdemont i Casamajó et vs Il-Parlament, T-272/21, ECLI:EU:T:2023:373</w:t>
      </w:r>
    </w:p>
  </w:footnote>
  <w:footnote w:id="2">
    <w:p w14:paraId="301AFE65" w14:textId="77777777" w:rsidR="00AD6748" w:rsidRPr="00011A4D" w:rsidRDefault="00AD6748" w:rsidP="00011A4D">
      <w:pPr>
        <w:pStyle w:val="FootnoteText"/>
        <w:ind w:left="567" w:hanging="567"/>
        <w:rPr>
          <w:sz w:val="24"/>
          <w:lang w:val="mt-MT"/>
        </w:rPr>
      </w:pPr>
      <w:r w:rsidRPr="00011A4D">
        <w:rPr>
          <w:rStyle w:val="FootnoteReference"/>
          <w:sz w:val="24"/>
          <w:lang w:val="mt-MT"/>
        </w:rPr>
        <w:footnoteRef/>
      </w:r>
      <w:r w:rsidR="00011A4D" w:rsidRPr="00011A4D">
        <w:rPr>
          <w:sz w:val="24"/>
          <w:lang w:val="mt-MT"/>
        </w:rPr>
        <w:t xml:space="preserve"> </w:t>
      </w:r>
      <w:r w:rsidR="00011A4D" w:rsidRPr="00011A4D">
        <w:rPr>
          <w:sz w:val="24"/>
          <w:lang w:val="mt-MT"/>
        </w:rPr>
        <w:tab/>
      </w:r>
      <w:r w:rsidRPr="00011A4D">
        <w:rPr>
          <w:sz w:val="24"/>
          <w:lang w:val="mt-MT"/>
        </w:rPr>
        <w:t>traduzzjoni bil-Malti tal-oriġinal.</w:t>
      </w:r>
    </w:p>
  </w:footnote>
  <w:footnote w:id="3">
    <w:p w14:paraId="169E2829" w14:textId="77777777" w:rsidR="00AD6748" w:rsidRPr="00011A4D" w:rsidRDefault="00AD6748" w:rsidP="00011A4D">
      <w:pPr>
        <w:pStyle w:val="FootnoteText"/>
        <w:ind w:left="567" w:hanging="567"/>
        <w:rPr>
          <w:sz w:val="24"/>
          <w:lang w:val="mt-MT"/>
        </w:rPr>
      </w:pPr>
      <w:r w:rsidRPr="00011A4D">
        <w:rPr>
          <w:rStyle w:val="FootnoteReference"/>
          <w:sz w:val="24"/>
          <w:lang w:val="mt-MT"/>
        </w:rPr>
        <w:footnoteRef/>
      </w:r>
      <w:r w:rsidR="00011A4D" w:rsidRPr="00011A4D">
        <w:rPr>
          <w:sz w:val="24"/>
          <w:lang w:val="mt-MT"/>
        </w:rPr>
        <w:t xml:space="preserve"> </w:t>
      </w:r>
      <w:r w:rsidR="00011A4D" w:rsidRPr="00011A4D">
        <w:rPr>
          <w:sz w:val="24"/>
          <w:lang w:val="mt-MT"/>
        </w:rPr>
        <w:tab/>
      </w:r>
      <w:r w:rsidRPr="00011A4D">
        <w:rPr>
          <w:sz w:val="24"/>
          <w:lang w:val="mt-MT"/>
        </w:rPr>
        <w:t>Is-sentenza tal-Qorti Ġenerali tat-30 ta’ April 2019, Briois vs Il-Parlament, T-214/18, ECLI:EU:T:2019:266.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0/2025"/>
    <w:docVar w:name="dvlangue" w:val="MT"/>
    <w:docVar w:name="dvnumam" w:val="0"/>
    <w:docVar w:name="dvpe" w:val="766.948"/>
    <w:docVar w:name="dvrapporteur" w:val="Rapporteur: "/>
    <w:docVar w:name="dvtitre" w:val="Deċiżjoni tal-Parlament Ewropew tal-xx ta' April 2025 dwar it-talba għat-tneħħija tal-immunità ta’ Petr Bystron(2024/2048(IMM))"/>
  </w:docVars>
  <w:rsids>
    <w:rsidRoot w:val="00257171"/>
    <w:rsid w:val="00002272"/>
    <w:rsid w:val="00011A4D"/>
    <w:rsid w:val="000166CC"/>
    <w:rsid w:val="00064002"/>
    <w:rsid w:val="000677B9"/>
    <w:rsid w:val="000831BA"/>
    <w:rsid w:val="000A42CC"/>
    <w:rsid w:val="000E7DD9"/>
    <w:rsid w:val="0010095E"/>
    <w:rsid w:val="00125B37"/>
    <w:rsid w:val="00187494"/>
    <w:rsid w:val="001A530D"/>
    <w:rsid w:val="001F32AE"/>
    <w:rsid w:val="00257171"/>
    <w:rsid w:val="002767FF"/>
    <w:rsid w:val="002B18FE"/>
    <w:rsid w:val="002B5493"/>
    <w:rsid w:val="00343214"/>
    <w:rsid w:val="00361C00"/>
    <w:rsid w:val="00395FA1"/>
    <w:rsid w:val="003E15D4"/>
    <w:rsid w:val="003E3256"/>
    <w:rsid w:val="00407EB0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7A90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4F64"/>
    <w:rsid w:val="00817416"/>
    <w:rsid w:val="00842779"/>
    <w:rsid w:val="00857E58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7A0C"/>
    <w:rsid w:val="00A133DE"/>
    <w:rsid w:val="00A1687D"/>
    <w:rsid w:val="00A43E52"/>
    <w:rsid w:val="00A4678D"/>
    <w:rsid w:val="00A778C7"/>
    <w:rsid w:val="00AA465F"/>
    <w:rsid w:val="00AB441E"/>
    <w:rsid w:val="00AB6293"/>
    <w:rsid w:val="00AD6748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3975"/>
    <w:rsid w:val="00E365E1"/>
    <w:rsid w:val="00E528C0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6880E3"/>
  <w15:chartTrackingRefBased/>
  <w15:docId w15:val="{30797B7D-DC2F-4111-8038-9C22B0EA9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AD6748"/>
    <w:pPr>
      <w:spacing w:after="240"/>
      <w:ind w:left="567" w:hanging="567"/>
    </w:pPr>
  </w:style>
  <w:style w:type="paragraph" w:customStyle="1" w:styleId="EPComma">
    <w:name w:val="EPComma"/>
    <w:basedOn w:val="Normal"/>
    <w:rsid w:val="00AD6748"/>
    <w:pPr>
      <w:spacing w:before="480" w:after="240"/>
    </w:pPr>
  </w:style>
  <w:style w:type="paragraph" w:styleId="BalloonText">
    <w:name w:val="Balloon Text"/>
    <w:basedOn w:val="Normal"/>
    <w:link w:val="BalloonTextChar"/>
    <w:rsid w:val="00AA465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A465F"/>
    <w:rPr>
      <w:rFonts w:ascii="Segoe UI" w:hAnsi="Segoe UI" w:cs="Segoe UI"/>
      <w:sz w:val="18"/>
      <w:szCs w:val="18"/>
      <w:lang w:val="mt-MT"/>
    </w:rPr>
  </w:style>
  <w:style w:type="paragraph" w:styleId="Header">
    <w:name w:val="header"/>
    <w:basedOn w:val="Normal"/>
    <w:link w:val="HeaderChar"/>
    <w:rsid w:val="00804F6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04F64"/>
    <w:rPr>
      <w:sz w:val="24"/>
      <w:lang w:val="mt-MT"/>
    </w:rPr>
  </w:style>
  <w:style w:type="paragraph" w:styleId="Footer">
    <w:name w:val="footer"/>
    <w:basedOn w:val="Normal"/>
    <w:link w:val="FooterChar"/>
    <w:rsid w:val="00804F6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04F64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B706C1-0578-4775-95B6-B1FF64F7F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768</Words>
  <Characters>5394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GRIMA Cherise-Marie</cp:lastModifiedBy>
  <cp:revision>2</cp:revision>
  <cp:lastPrinted>2004-11-19T15:42:00Z</cp:lastPrinted>
  <dcterms:created xsi:type="dcterms:W3CDTF">2025-05-02T15:17:00Z</dcterms:created>
  <dcterms:modified xsi:type="dcterms:W3CDTF">2025-05-02T15:17:00Z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A10-0030/2025</vt:lpwstr>
  </property>
  <property fmtid="{D5CDD505-2E9C-101B-9397-08002B2CF9AE}" pid="4" name="&lt;Type&gt;">
    <vt:lpwstr>RR</vt:lpwstr>
  </property>
</Properties>
</file>