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7F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7FBF" w:rsidRDefault="00CB1B93" w:rsidP="0010095E">
            <w:pPr>
              <w:pStyle w:val="EPName"/>
            </w:pPr>
            <w:r w:rsidRPr="00017FBF">
              <w:t>Parlament Europejski</w:t>
            </w:r>
          </w:p>
          <w:p w:rsidR="00751A4A" w:rsidRPr="00017F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7FBF">
              <w:t>2024</w:t>
            </w:r>
            <w:r w:rsidR="00817416" w:rsidRPr="00017FBF">
              <w:t>-202</w:t>
            </w:r>
            <w:r w:rsidRPr="00017FB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17FBF" w:rsidRDefault="00187494" w:rsidP="0010095E">
            <w:pPr>
              <w:pStyle w:val="EPLogo"/>
            </w:pPr>
            <w:r w:rsidRPr="00017F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7FBF" w:rsidRDefault="00D058B8" w:rsidP="004C5D52">
      <w:pPr>
        <w:pStyle w:val="LineTop"/>
      </w:pPr>
    </w:p>
    <w:p w:rsidR="00680577" w:rsidRPr="00017FBF" w:rsidRDefault="00CB1B93" w:rsidP="00680577">
      <w:pPr>
        <w:pStyle w:val="EPBodyTA1"/>
      </w:pPr>
      <w:r w:rsidRPr="00017FBF">
        <w:t>TEKSTY PRZYJĘTE</w:t>
      </w:r>
    </w:p>
    <w:p w:rsidR="00D058B8" w:rsidRPr="00017FBF" w:rsidRDefault="00D058B8" w:rsidP="00D058B8">
      <w:pPr>
        <w:pStyle w:val="LineBottom"/>
      </w:pPr>
    </w:p>
    <w:p w:rsidR="00CB1B93" w:rsidRPr="00017FBF" w:rsidRDefault="00CB1B93" w:rsidP="00CB1B93">
      <w:pPr>
        <w:pStyle w:val="ATHeading1"/>
      </w:pPr>
      <w:bookmarkStart w:id="0" w:name="TANumber"/>
      <w:r w:rsidRPr="00017FBF">
        <w:t>P10_TA(2025)00</w:t>
      </w:r>
      <w:bookmarkEnd w:id="0"/>
      <w:r w:rsidR="0096001D">
        <w:t>41</w:t>
      </w:r>
      <w:bookmarkStart w:id="1" w:name="_GoBack"/>
      <w:bookmarkEnd w:id="1"/>
    </w:p>
    <w:p w:rsidR="00CB1B93" w:rsidRPr="00B824BB" w:rsidRDefault="00B824BB" w:rsidP="00CB1B93">
      <w:pPr>
        <w:pStyle w:val="ATHeading2"/>
      </w:pPr>
      <w:r w:rsidRPr="00B824BB">
        <w:t xml:space="preserve">Wniosek o uchylenie immunitetu Petra </w:t>
      </w:r>
      <w:proofErr w:type="spellStart"/>
      <w:r w:rsidRPr="00B824BB">
        <w:t>Bystrona</w:t>
      </w:r>
      <w:proofErr w:type="spellEnd"/>
    </w:p>
    <w:p w:rsidR="00CB1B93" w:rsidRPr="00017FBF" w:rsidRDefault="00CB1B93" w:rsidP="00CB1B93">
      <w:pPr>
        <w:rPr>
          <w:i/>
          <w:vanish/>
        </w:rPr>
      </w:pPr>
      <w:r w:rsidRPr="00017FBF">
        <w:rPr>
          <w:i/>
        </w:rPr>
        <w:fldChar w:fldCharType="begin"/>
      </w:r>
      <w:r w:rsidRPr="00017FBF">
        <w:rPr>
          <w:i/>
        </w:rPr>
        <w:instrText xml:space="preserve"> TC"(</w:instrText>
      </w:r>
      <w:bookmarkStart w:id="2" w:name="DocNumber"/>
      <w:r w:rsidRPr="00017FBF">
        <w:rPr>
          <w:i/>
        </w:rPr>
        <w:instrText>A10-0030/2025</w:instrText>
      </w:r>
      <w:bookmarkEnd w:id="2"/>
      <w:r w:rsidRPr="00017FBF">
        <w:rPr>
          <w:i/>
        </w:rPr>
        <w:instrText xml:space="preserve"> - Sprawozdawca: Dominik Tarczyński</w:instrText>
      </w:r>
      <w:proofErr w:type="gramStart"/>
      <w:r w:rsidRPr="00017FBF">
        <w:rPr>
          <w:i/>
        </w:rPr>
        <w:instrText>)"\l</w:instrText>
      </w:r>
      <w:proofErr w:type="gramEnd"/>
      <w:r w:rsidRPr="00017FBF">
        <w:rPr>
          <w:i/>
        </w:rPr>
        <w:instrText xml:space="preserve">3 \n&gt; \* MERGEFORMAT </w:instrText>
      </w:r>
      <w:r w:rsidRPr="00017FBF">
        <w:rPr>
          <w:i/>
        </w:rPr>
        <w:fldChar w:fldCharType="end"/>
      </w:r>
    </w:p>
    <w:p w:rsidR="00CB1B93" w:rsidRPr="00017FBF" w:rsidRDefault="00CB1B93" w:rsidP="00CB1B93">
      <w:pPr>
        <w:rPr>
          <w:vanish/>
        </w:rPr>
      </w:pPr>
      <w:bookmarkStart w:id="3" w:name="Commission"/>
      <w:r w:rsidRPr="00017FBF">
        <w:rPr>
          <w:vanish/>
        </w:rPr>
        <w:t>Komisja Prawna</w:t>
      </w:r>
      <w:bookmarkEnd w:id="3"/>
    </w:p>
    <w:p w:rsidR="00CB1B93" w:rsidRPr="00017FBF" w:rsidRDefault="00CB1B93" w:rsidP="00CB1B93">
      <w:pPr>
        <w:rPr>
          <w:vanish/>
        </w:rPr>
      </w:pPr>
      <w:bookmarkStart w:id="4" w:name="PE"/>
      <w:r w:rsidRPr="00017FBF">
        <w:rPr>
          <w:vanish/>
        </w:rPr>
        <w:t>PE766.948</w:t>
      </w:r>
      <w:bookmarkEnd w:id="4"/>
    </w:p>
    <w:p w:rsidR="00CB1B93" w:rsidRPr="00017FBF" w:rsidRDefault="00CB1B93" w:rsidP="00CB1B93">
      <w:pPr>
        <w:pStyle w:val="ATHeading3"/>
      </w:pPr>
      <w:bookmarkStart w:id="5" w:name="Sujet"/>
      <w:r w:rsidRPr="00017FBF">
        <w:t xml:space="preserve">Decyzja Parlamentu Europejskiego z dnia </w:t>
      </w:r>
      <w:r w:rsidR="00B824BB">
        <w:t>1 kwietnia</w:t>
      </w:r>
      <w:r w:rsidRPr="00017FBF">
        <w:t xml:space="preserve"> 2025 r. w sprawie wniosku o uchylenie immunitetu Petra </w:t>
      </w:r>
      <w:proofErr w:type="spellStart"/>
      <w:r w:rsidRPr="00017FBF">
        <w:t>Bystrona</w:t>
      </w:r>
      <w:bookmarkEnd w:id="5"/>
      <w:proofErr w:type="spellEnd"/>
      <w:r w:rsidRPr="00017FBF">
        <w:t xml:space="preserve"> </w:t>
      </w:r>
      <w:bookmarkStart w:id="6" w:name="References"/>
      <w:r w:rsidRPr="00017FBF">
        <w:t>(2024/2048(IMM))</w:t>
      </w:r>
      <w:bookmarkEnd w:id="6"/>
    </w:p>
    <w:p w:rsidR="00CB1B93" w:rsidRPr="00017FBF" w:rsidRDefault="00CB1B93" w:rsidP="00CB1B93"/>
    <w:p w:rsidR="00676A0A" w:rsidRPr="00017FBF" w:rsidRDefault="00676A0A" w:rsidP="00676A0A">
      <w:pPr>
        <w:pStyle w:val="EPComma"/>
      </w:pPr>
      <w:bookmarkStart w:id="7" w:name="TextBodyBegin"/>
      <w:bookmarkEnd w:id="7"/>
      <w:r w:rsidRPr="00017FBF">
        <w:rPr>
          <w:i/>
        </w:rPr>
        <w:t>Parlament Europejski</w:t>
      </w:r>
      <w:r w:rsidRPr="00017FBF">
        <w:t>,</w:t>
      </w:r>
    </w:p>
    <w:p w:rsidR="00676A0A" w:rsidRPr="00017FBF" w:rsidRDefault="00676A0A" w:rsidP="00676A0A">
      <w:pPr>
        <w:pStyle w:val="NormalHanging12a"/>
      </w:pPr>
      <w:r w:rsidRPr="00017FBF">
        <w:t>–</w:t>
      </w:r>
      <w:r w:rsidRPr="00017FBF">
        <w:tab/>
        <w:t xml:space="preserve">uwzględniając wniosek o uchylenie immunitetu Petra </w:t>
      </w:r>
      <w:proofErr w:type="spellStart"/>
      <w:r w:rsidRPr="00017FBF">
        <w:t>Bystrona</w:t>
      </w:r>
      <w:proofErr w:type="spellEnd"/>
      <w:r w:rsidRPr="00017FBF">
        <w:t>, który wpłynął pismem niemieckiego federalnego ministerstwa sprawiedliwości z 27 sierpnia 2024 r., przekazującym wniosek prokuratora naczelnego okręgu Monachium I związany z postępowaniem karnym toczącym się przed sądem okręgowym w Monachium, ogłoszony na posiedzeniu plenarnym 16 września 2024 r.,</w:t>
      </w:r>
    </w:p>
    <w:p w:rsidR="00676A0A" w:rsidRPr="00017FBF" w:rsidRDefault="00676A0A" w:rsidP="00676A0A">
      <w:pPr>
        <w:pStyle w:val="NormalHanging12a"/>
      </w:pPr>
      <w:r w:rsidRPr="00017FBF">
        <w:t>–</w:t>
      </w:r>
      <w:r w:rsidRPr="00017FBF">
        <w:tab/>
        <w:t xml:space="preserve">po wysłuchaniu Petra </w:t>
      </w:r>
      <w:proofErr w:type="spellStart"/>
      <w:r w:rsidRPr="00017FBF">
        <w:t>Bystrona</w:t>
      </w:r>
      <w:proofErr w:type="spellEnd"/>
      <w:r w:rsidRPr="00017FBF">
        <w:t xml:space="preserve"> 29 stycznia 2025 r. zgodnie z art. 9 ust. 6 Regulaminu i uwzględniając dokumenty przedstawione przez niego podczas wysłuchania,</w:t>
      </w:r>
    </w:p>
    <w:p w:rsidR="00676A0A" w:rsidRPr="00017FBF" w:rsidRDefault="00676A0A" w:rsidP="00676A0A">
      <w:pPr>
        <w:pStyle w:val="NormalHanging12a"/>
      </w:pPr>
      <w:r w:rsidRPr="00017FBF">
        <w:t>–</w:t>
      </w:r>
      <w:r w:rsidRPr="00017FBF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:rsidR="00676A0A" w:rsidRPr="00017FBF" w:rsidRDefault="00676A0A" w:rsidP="00676A0A">
      <w:pPr>
        <w:pStyle w:val="NormalHanging12a"/>
      </w:pPr>
      <w:r w:rsidRPr="00017FBF">
        <w:t>–</w:t>
      </w:r>
      <w:r w:rsidRPr="00017FBF">
        <w:tab/>
        <w:t>uwzględniając wyroki wydane przez Trybunał Sprawiedliwości Unii Europejskiej w dniach 21 października 2008 r., 19 marca 2010 r., 6 września 2011 r., 17 stycznia 2013 r., 19 grudnia 2019 r. i 5 lipca 2023 r.</w:t>
      </w:r>
      <w:r w:rsidRPr="00017FBF">
        <w:rPr>
          <w:rStyle w:val="FootnoteReference"/>
          <w:color w:val="000000"/>
        </w:rPr>
        <w:footnoteReference w:id="1"/>
      </w:r>
      <w:r w:rsidRPr="00017FBF">
        <w:t>,</w:t>
      </w:r>
    </w:p>
    <w:p w:rsidR="00676A0A" w:rsidRPr="00017FBF" w:rsidRDefault="00676A0A" w:rsidP="00676A0A">
      <w:pPr>
        <w:pStyle w:val="NormalHanging12a"/>
      </w:pPr>
      <w:r w:rsidRPr="00017FBF">
        <w:t>–</w:t>
      </w:r>
      <w:r w:rsidRPr="00017FBF">
        <w:tab/>
        <w:t>uwzględniając art. 46 ustawy zasadniczej Republiki Federalnej Niemiec,</w:t>
      </w:r>
    </w:p>
    <w:p w:rsidR="00676A0A" w:rsidRPr="00017FBF" w:rsidRDefault="00676A0A" w:rsidP="00676A0A">
      <w:pPr>
        <w:pStyle w:val="NormalHanging12a"/>
      </w:pPr>
      <w:r w:rsidRPr="00017FBF">
        <w:lastRenderedPageBreak/>
        <w:t>–</w:t>
      </w:r>
      <w:r w:rsidRPr="00017FBF">
        <w:tab/>
        <w:t>uwzględniając art. 5 ust. 2, art. 6 ust. 1 oraz art. 9 Regulaminu,</w:t>
      </w:r>
    </w:p>
    <w:p w:rsidR="00676A0A" w:rsidRPr="00017FBF" w:rsidRDefault="00676A0A" w:rsidP="00676A0A">
      <w:pPr>
        <w:pStyle w:val="NormalHanging12a"/>
      </w:pPr>
      <w:r w:rsidRPr="00017FBF">
        <w:t>–</w:t>
      </w:r>
      <w:r w:rsidRPr="00017FBF">
        <w:tab/>
        <w:t>uwzględniając sprawozdanie Komisji Prawnej (A10-0030/2025),</w:t>
      </w:r>
    </w:p>
    <w:p w:rsidR="00676A0A" w:rsidRPr="00017FBF" w:rsidRDefault="00676A0A" w:rsidP="00676A0A">
      <w:pPr>
        <w:pStyle w:val="NormalHanging12a"/>
      </w:pPr>
      <w:r w:rsidRPr="00017FBF">
        <w:t>A.</w:t>
      </w:r>
      <w:r w:rsidRPr="00017FBF">
        <w:tab/>
      </w:r>
      <w:proofErr w:type="gramStart"/>
      <w:r w:rsidRPr="00017FBF">
        <w:t>mając</w:t>
      </w:r>
      <w:proofErr w:type="gramEnd"/>
      <w:r w:rsidRPr="00017FBF">
        <w:t xml:space="preserve"> na uwadze, że prokurator naczelny okręgu Monachium I zwrócił się o uchylenie immunitetu parlamentarnego posła do Parlamentu Europejskiego Petra </w:t>
      </w:r>
      <w:proofErr w:type="spellStart"/>
      <w:r w:rsidRPr="00017FBF">
        <w:t>Bystrona</w:t>
      </w:r>
      <w:proofErr w:type="spellEnd"/>
      <w:r w:rsidRPr="00017FBF">
        <w:t xml:space="preserve"> w związku z oskarżeniem wniesionym przeciwko niemu na podstawie art. 86a niemieckiego kodeksu karnego w związku z art. 86 kodeksu, dotyczącym zarzucanego użycia symboli organizacji niekonstytucyjnych i terrorystycznych;</w:t>
      </w:r>
    </w:p>
    <w:p w:rsidR="00676A0A" w:rsidRPr="00017FBF" w:rsidRDefault="00676A0A" w:rsidP="00676A0A">
      <w:pPr>
        <w:pStyle w:val="NormalHanging12a"/>
      </w:pPr>
      <w:r w:rsidRPr="00017FBF">
        <w:rPr>
          <w:shd w:val="clear" w:color="auto" w:fill="FFFFFF"/>
        </w:rPr>
        <w:t>B.</w:t>
      </w:r>
      <w:r w:rsidRPr="00017FBF">
        <w:rPr>
          <w:shd w:val="clear" w:color="auto" w:fill="FFFFFF"/>
        </w:rPr>
        <w:tab/>
      </w:r>
      <w:r w:rsidRPr="00017FBF">
        <w:t xml:space="preserve">mając na uwadze, że we wniosku wskazano, iż po odwołaniu z urzędu ambasadora Ukrainy w Niemczech 12 lipca 2022 r. </w:t>
      </w:r>
      <w:r w:rsidRPr="00017FBF">
        <w:rPr>
          <w:shd w:val="clear" w:color="auto" w:fill="FFFFFF"/>
        </w:rPr>
        <w:t xml:space="preserve">Petr </w:t>
      </w:r>
      <w:proofErr w:type="spellStart"/>
      <w:r w:rsidRPr="00017FBF">
        <w:rPr>
          <w:shd w:val="clear" w:color="auto" w:fill="FFFFFF"/>
        </w:rPr>
        <w:t>Bystron</w:t>
      </w:r>
      <w:proofErr w:type="spellEnd"/>
      <w:r w:rsidRPr="00017FBF">
        <w:t xml:space="preserve"> miał opublikować na swoim koncie na </w:t>
      </w:r>
      <w:proofErr w:type="spellStart"/>
      <w:r w:rsidRPr="00017FBF">
        <w:t>Twitterze</w:t>
      </w:r>
      <w:proofErr w:type="spellEnd"/>
      <w:r w:rsidRPr="00017FBF">
        <w:t xml:space="preserve"> fotomontaż przedstawiający wycinki zdjęć osób, które wcześniej zajmowały wysokie urzędy publiczne, przy czym każda z nich wyciągała prawe lub lewe ramię z palcami skierowanymi ku górze; mając na uwadze, że opublikowany kolaż opatrzono podpisem „Pa, pa […]! Niemieccy politycy machają na pożegnanie!”</w:t>
      </w:r>
      <w:r w:rsidRPr="00017FBF">
        <w:rPr>
          <w:rStyle w:val="FootnoteReference"/>
          <w:color w:val="000000"/>
        </w:rPr>
        <w:footnoteReference w:id="2"/>
      </w:r>
      <w:r w:rsidRPr="00017FBF">
        <w:t xml:space="preserve">; </w:t>
      </w:r>
      <w:proofErr w:type="gramStart"/>
      <w:r w:rsidRPr="00017FBF">
        <w:t>mając</w:t>
      </w:r>
      <w:proofErr w:type="gramEnd"/>
      <w:r w:rsidRPr="00017FBF">
        <w:t xml:space="preserve"> na uwadze, że </w:t>
      </w:r>
      <w:r w:rsidRPr="00017FBF">
        <w:rPr>
          <w:shd w:val="clear" w:color="auto" w:fill="FFFFFF"/>
        </w:rPr>
        <w:t xml:space="preserve">Petra </w:t>
      </w:r>
      <w:proofErr w:type="spellStart"/>
      <w:r w:rsidRPr="00017FBF">
        <w:rPr>
          <w:shd w:val="clear" w:color="auto" w:fill="FFFFFF"/>
        </w:rPr>
        <w:t>Bystrona</w:t>
      </w:r>
      <w:proofErr w:type="spellEnd"/>
      <w:r w:rsidRPr="00017FBF">
        <w:t xml:space="preserve"> oskarżono o co najmniej milczącą akceptację, że fotomontaż wywrze na obiektywnym użytkowniku </w:t>
      </w:r>
      <w:proofErr w:type="spellStart"/>
      <w:r w:rsidRPr="00017FBF">
        <w:t>Twittera</w:t>
      </w:r>
      <w:proofErr w:type="spellEnd"/>
      <w:r w:rsidRPr="00017FBF">
        <w:t xml:space="preserve"> wrażenie, iż przedstawiona pozycja ramion jest „pozdrowieniem hitlerowskim”, ponieważ była to forma przywitania stosowana przez reżim nazistowski; mając na uwadze, że </w:t>
      </w:r>
      <w:r w:rsidRPr="00017FBF">
        <w:rPr>
          <w:shd w:val="clear" w:color="auto" w:fill="FFFFFF"/>
        </w:rPr>
        <w:t xml:space="preserve">Petr </w:t>
      </w:r>
      <w:proofErr w:type="spellStart"/>
      <w:r w:rsidRPr="00017FBF">
        <w:rPr>
          <w:shd w:val="clear" w:color="auto" w:fill="FFFFFF"/>
        </w:rPr>
        <w:t>Bystron</w:t>
      </w:r>
      <w:proofErr w:type="spellEnd"/>
      <w:r w:rsidRPr="00017FBF">
        <w:t xml:space="preserve"> został oskarżony o rozpowszechnianie lub publiczne wykorzystywanie w Niemczech symboli organizacji niekonstytucyjnych i terrorystycznych;</w:t>
      </w:r>
    </w:p>
    <w:p w:rsidR="00676A0A" w:rsidRPr="00017FBF" w:rsidRDefault="00676A0A" w:rsidP="00676A0A">
      <w:pPr>
        <w:pStyle w:val="NormalHanging12a"/>
      </w:pPr>
      <w:r w:rsidRPr="00017FBF">
        <w:t>C.</w:t>
      </w:r>
      <w:r w:rsidRPr="00017FBF">
        <w:tab/>
      </w:r>
      <w:proofErr w:type="gramStart"/>
      <w:r w:rsidRPr="00017FBF">
        <w:t>mając</w:t>
      </w:r>
      <w:proofErr w:type="gramEnd"/>
      <w:r w:rsidRPr="00017FBF">
        <w:t xml:space="preserve"> na uwadze, że po przeprowadzeniu postępowania przygotowawczego właściwe organy złożyły do niemieckiego Bundestagu, do którego był wówczas posłem, wniosek o uchylenie immunitetu Petra </w:t>
      </w:r>
      <w:proofErr w:type="spellStart"/>
      <w:r w:rsidRPr="00017FBF">
        <w:t>Bystrona</w:t>
      </w:r>
      <w:proofErr w:type="spellEnd"/>
      <w:r w:rsidRPr="00017FBF">
        <w:t>; mając na uwadze, że 7 września 2023 r. niemiecki Bundestag uchylił jego immunitet;</w:t>
      </w:r>
    </w:p>
    <w:p w:rsidR="00676A0A" w:rsidRPr="00017FBF" w:rsidRDefault="00676A0A" w:rsidP="00676A0A">
      <w:pPr>
        <w:pStyle w:val="NormalHanging12a"/>
      </w:pPr>
      <w:r w:rsidRPr="00017FBF">
        <w:t>D.</w:t>
      </w:r>
      <w:r w:rsidRPr="00017FBF">
        <w:tab/>
      </w:r>
      <w:proofErr w:type="gramStart"/>
      <w:r w:rsidRPr="00017FBF">
        <w:rPr>
          <w:shd w:val="clear" w:color="auto" w:fill="FFFFFF"/>
        </w:rPr>
        <w:t>mając</w:t>
      </w:r>
      <w:proofErr w:type="gramEnd"/>
      <w:r w:rsidRPr="00017FBF">
        <w:rPr>
          <w:shd w:val="clear" w:color="auto" w:fill="FFFFFF"/>
        </w:rPr>
        <w:t xml:space="preserve"> na uwadze, że w wyborach do Parlamentu Europejskiego, które odbyły się w 2024 r., Petr </w:t>
      </w:r>
      <w:proofErr w:type="spellStart"/>
      <w:r w:rsidRPr="00017FBF">
        <w:rPr>
          <w:shd w:val="clear" w:color="auto" w:fill="FFFFFF"/>
        </w:rPr>
        <w:t>Bystron</w:t>
      </w:r>
      <w:proofErr w:type="spellEnd"/>
      <w:r w:rsidRPr="00017FBF">
        <w:rPr>
          <w:shd w:val="clear" w:color="auto" w:fill="FFFFFF"/>
        </w:rPr>
        <w:t xml:space="preserve"> został wybrany na posła; mając na uwadze, że</w:t>
      </w:r>
      <w:r w:rsidRPr="00017FBF">
        <w:t xml:space="preserve"> po ogłoszeniu ostatecznego wyniku wyborów właściwe organy decyzją z 9 lipca 2024 r. tymczasowo zawiesiły postępowanie karne przeciwko niemu, aby procedować wniosek o uchylenie immunitetu;</w:t>
      </w:r>
    </w:p>
    <w:p w:rsidR="00676A0A" w:rsidRPr="00017FBF" w:rsidRDefault="00676A0A" w:rsidP="00676A0A">
      <w:pPr>
        <w:pStyle w:val="NormalHanging12a"/>
      </w:pPr>
      <w:r w:rsidRPr="00017FBF">
        <w:t>E.</w:t>
      </w:r>
      <w:r w:rsidRPr="00017FBF">
        <w:tab/>
      </w:r>
      <w:proofErr w:type="gramStart"/>
      <w:r w:rsidRPr="00017FBF">
        <w:t>mając</w:t>
      </w:r>
      <w:proofErr w:type="gramEnd"/>
      <w:r w:rsidRPr="00017FBF">
        <w:t xml:space="preserve"> na uwadze, że</w:t>
      </w:r>
      <w:r w:rsidRPr="00017FBF">
        <w:rPr>
          <w:shd w:val="clear" w:color="auto" w:fill="FFFFFF"/>
        </w:rPr>
        <w:t xml:space="preserve"> </w:t>
      </w:r>
      <w:r w:rsidRPr="00017FBF">
        <w:t xml:space="preserve">w czasie popełnienia zarzucanego czynu Petr </w:t>
      </w:r>
      <w:proofErr w:type="spellStart"/>
      <w:r w:rsidRPr="00017FBF">
        <w:t>Bystron</w:t>
      </w:r>
      <w:proofErr w:type="spellEnd"/>
      <w:r w:rsidRPr="00017FBF">
        <w:t xml:space="preserve"> </w:t>
      </w:r>
      <w:r w:rsidRPr="00017FBF">
        <w:rPr>
          <w:shd w:val="clear" w:color="auto" w:fill="FFFFFF"/>
        </w:rPr>
        <w:t>nie był posłem do Parlamentu Europejskiego;</w:t>
      </w:r>
    </w:p>
    <w:p w:rsidR="00676A0A" w:rsidRPr="00017FBF" w:rsidRDefault="00676A0A" w:rsidP="00676A0A">
      <w:pPr>
        <w:pStyle w:val="NormalHanging12a"/>
      </w:pPr>
      <w:r w:rsidRPr="00017FBF">
        <w:t>F.</w:t>
      </w:r>
      <w:r w:rsidRPr="00017FBF">
        <w:tab/>
      </w:r>
      <w:proofErr w:type="gramStart"/>
      <w:r w:rsidRPr="00017FBF">
        <w:t>mając</w:t>
      </w:r>
      <w:proofErr w:type="gramEnd"/>
      <w:r w:rsidRPr="00017FBF">
        <w:t xml:space="preserve"> na uwadze, że zarzucane czyny i późniejszy wniosek o uchylenie immunitetu nie dotyczą opinii lub stanowiska zajętego przez Petra </w:t>
      </w:r>
      <w:proofErr w:type="spellStart"/>
      <w:r w:rsidRPr="00017FBF">
        <w:t>Bystrona</w:t>
      </w:r>
      <w:proofErr w:type="spellEnd"/>
      <w:r w:rsidRPr="00017FBF">
        <w:t xml:space="preserve"> w głosowaniu w czasie wykonywania przezeń obowiązków służbowych w rozumieniu art. 8 Protokołu nr 7 w sprawie przywilejów i immunitetów Unii Europejskiej;</w:t>
      </w:r>
    </w:p>
    <w:p w:rsidR="00676A0A" w:rsidRPr="00017FBF" w:rsidRDefault="00676A0A" w:rsidP="00676A0A">
      <w:pPr>
        <w:pStyle w:val="NormalHanging12a"/>
      </w:pPr>
      <w:r w:rsidRPr="00017FBF">
        <w:t>G.</w:t>
      </w:r>
      <w:r w:rsidRPr="00017FBF">
        <w:tab/>
        <w:t>mając na uwadze, że zgodnie z art. 9 akapit pierwszy lit. a) Protokołu nr 7 w sprawie przywilejów i immunitetów Unii Europejskiej posłowie do Parlamentu Europejskiego korzystają na terytorium swoich państw z immunitetów przyznawanych członkom parlamentu ich państwa;</w:t>
      </w:r>
    </w:p>
    <w:p w:rsidR="00676A0A" w:rsidRPr="00017FBF" w:rsidRDefault="00676A0A" w:rsidP="00676A0A">
      <w:pPr>
        <w:pStyle w:val="NormalHanging12a"/>
      </w:pPr>
      <w:r w:rsidRPr="00017FBF">
        <w:t>H.</w:t>
      </w:r>
      <w:r w:rsidRPr="00017FBF">
        <w:tab/>
      </w:r>
      <w:proofErr w:type="gramStart"/>
      <w:r w:rsidRPr="00017FBF">
        <w:t>mając</w:t>
      </w:r>
      <w:proofErr w:type="gramEnd"/>
      <w:r w:rsidRPr="00017FBF">
        <w:t xml:space="preserve"> na uwadze, że art. 46 ust. 2, 3 i 4 ustawy zasadniczej Republiki Federalnej Niemiec stanowi, co następuje:</w:t>
      </w:r>
    </w:p>
    <w:p w:rsidR="00676A0A" w:rsidRPr="00017FBF" w:rsidRDefault="00676A0A" w:rsidP="00B824BB">
      <w:pPr>
        <w:pStyle w:val="NormalHanging12a"/>
        <w:ind w:left="1134"/>
      </w:pPr>
      <w:proofErr w:type="gramStart"/>
      <w:r w:rsidRPr="00017FBF">
        <w:lastRenderedPageBreak/>
        <w:t>„(2)</w:t>
      </w:r>
      <w:r w:rsidRPr="00017FBF">
        <w:tab/>
        <w:t>Poseł</w:t>
      </w:r>
      <w:proofErr w:type="gramEnd"/>
      <w:r w:rsidRPr="00017FBF">
        <w:t xml:space="preserve"> nie może zostać pociągnięty do odpowiedzialności ani zatrzymany za czyn karalny bez zgody Bundestagu, chyba że zostanie ujęty w trakcie popełniania czynu lub w ciągu następnej doby.</w:t>
      </w:r>
    </w:p>
    <w:p w:rsidR="00676A0A" w:rsidRPr="00017FBF" w:rsidRDefault="00676A0A" w:rsidP="00B824BB">
      <w:pPr>
        <w:pStyle w:val="NormalHanging12a"/>
        <w:ind w:left="1134"/>
      </w:pPr>
      <w:proofErr w:type="gramStart"/>
      <w:r w:rsidRPr="00017FBF">
        <w:t>(3)</w:t>
      </w:r>
      <w:r w:rsidRPr="00017FBF">
        <w:tab/>
        <w:t>Zgoda</w:t>
      </w:r>
      <w:proofErr w:type="gramEnd"/>
      <w:r w:rsidRPr="00017FBF">
        <w:t xml:space="preserve"> Bundestagu wymagana jest również w celu jakiegokolwiek ograniczenia wolności osobistej posła lub w celu wszczęcia postępowania przeciwko posłowi na mocy art. 18.</w:t>
      </w:r>
    </w:p>
    <w:p w:rsidR="00676A0A" w:rsidRPr="00017FBF" w:rsidRDefault="00676A0A" w:rsidP="00B824BB">
      <w:pPr>
        <w:pStyle w:val="NormalHanging12a"/>
        <w:ind w:left="1134"/>
      </w:pPr>
      <w:proofErr w:type="gramStart"/>
      <w:r w:rsidRPr="00017FBF">
        <w:t>(4)</w:t>
      </w:r>
      <w:r w:rsidRPr="00017FBF">
        <w:tab/>
        <w:t>Na</w:t>
      </w:r>
      <w:proofErr w:type="gramEnd"/>
      <w:r w:rsidRPr="00017FBF">
        <w:t xml:space="preserve"> wniosek Bundestagu zostają zawieszone wszelkie postępowania karne przeciwko posłowi lub wszelkie postępowania na mocy art. 18 oraz wszelkie zatrzymania lub inne ograniczenia jego wolności osobistej”;</w:t>
      </w:r>
    </w:p>
    <w:p w:rsidR="00676A0A" w:rsidRPr="00017FBF" w:rsidRDefault="00676A0A" w:rsidP="00676A0A">
      <w:pPr>
        <w:pStyle w:val="NormalHanging12a"/>
      </w:pPr>
      <w:r w:rsidRPr="00017FBF">
        <w:t>I.</w:t>
      </w:r>
      <w:r w:rsidRPr="00017FBF">
        <w:tab/>
      </w:r>
      <w:proofErr w:type="gramStart"/>
      <w:r w:rsidRPr="00017FBF">
        <w:t>mając</w:t>
      </w:r>
      <w:proofErr w:type="gramEnd"/>
      <w:r w:rsidRPr="00017FBF">
        <w:t xml:space="preserve"> na uwadze, że immunitet parlamentarny ma chronić Parlament i posłów do niego przed postępowaniami sądowymi w związku z działaniami podejmowanymi w ramach wykonywania obowiązków parlamentarnych i niemożliwych do oddzielenia od tych obowiązków;</w:t>
      </w:r>
    </w:p>
    <w:p w:rsidR="00676A0A" w:rsidRPr="00017FBF" w:rsidRDefault="00676A0A" w:rsidP="00676A0A">
      <w:pPr>
        <w:pStyle w:val="NormalHanging12a"/>
      </w:pPr>
      <w:r w:rsidRPr="00017FBF">
        <w:t>J.</w:t>
      </w:r>
      <w:r w:rsidRPr="00017FBF">
        <w:tab/>
        <w:t>mając na uwadze, że zgodnie z art. 5 ust. 2 Regulaminu immunitet parlamentarny nie jest osobistym przywilejem posła, lecz gwarancją niezależności Parlamentu jako całości oraz jego posłów;</w:t>
      </w:r>
    </w:p>
    <w:p w:rsidR="00676A0A" w:rsidRPr="00017FBF" w:rsidRDefault="00676A0A" w:rsidP="00676A0A">
      <w:pPr>
        <w:pStyle w:val="NormalHanging12a"/>
      </w:pPr>
      <w:r w:rsidRPr="00017FBF">
        <w:t>K.</w:t>
      </w:r>
      <w:r w:rsidRPr="00017FBF">
        <w:tab/>
        <w:t xml:space="preserve">mając na uwadze, że Parlament nie znalazł w tej sprawie dowodów wskazujących na zaistnienie </w:t>
      </w:r>
      <w:proofErr w:type="spellStart"/>
      <w:r w:rsidRPr="00017FBF">
        <w:t>fumus</w:t>
      </w:r>
      <w:proofErr w:type="spellEnd"/>
      <w:r w:rsidRPr="00017FBF">
        <w:t xml:space="preserve"> </w:t>
      </w:r>
      <w:proofErr w:type="spellStart"/>
      <w:r w:rsidRPr="00017FBF">
        <w:t>persecutionis</w:t>
      </w:r>
      <w:proofErr w:type="spellEnd"/>
      <w:r w:rsidRPr="00017FBF">
        <w:t>, czyli okoliczności wskazujących na leżący u podstaw postępowania sądowego zamiar zaszkodzenia działalności politycznej posła jako deputowanego do Parlamentu Europejskiego;</w:t>
      </w:r>
    </w:p>
    <w:p w:rsidR="00676A0A" w:rsidRPr="00017FBF" w:rsidRDefault="00676A0A" w:rsidP="00676A0A">
      <w:pPr>
        <w:pStyle w:val="NormalHanging12a"/>
      </w:pPr>
      <w:r w:rsidRPr="00017FBF">
        <w:t>L.</w:t>
      </w:r>
      <w:r w:rsidRPr="00017FBF">
        <w:tab/>
      </w:r>
      <w:proofErr w:type="gramStart"/>
      <w:r w:rsidRPr="00017FBF">
        <w:t>mając</w:t>
      </w:r>
      <w:proofErr w:type="gramEnd"/>
      <w:r w:rsidRPr="00017FBF">
        <w:t xml:space="preserve"> na uwadze, że, z jednej strony, Parlamentu nie można uznawać za sąd, a z drugiej – że w kontekście procedury uchylenia immunitetu posła nie można uznawać za „oskarżonego”</w:t>
      </w:r>
      <w:r w:rsidRPr="00017FBF">
        <w:rPr>
          <w:vertAlign w:val="superscript"/>
        </w:rPr>
        <w:footnoteReference w:id="3"/>
      </w:r>
      <w:r w:rsidRPr="00017FBF">
        <w:t>;</w:t>
      </w:r>
    </w:p>
    <w:p w:rsidR="00676A0A" w:rsidRPr="00017FBF" w:rsidRDefault="00676A0A" w:rsidP="00676A0A">
      <w:pPr>
        <w:pStyle w:val="NormalHanging12a"/>
      </w:pPr>
      <w:r w:rsidRPr="00017FBF">
        <w:t>1.</w:t>
      </w:r>
      <w:r w:rsidRPr="00017FBF">
        <w:tab/>
      </w:r>
      <w:proofErr w:type="gramStart"/>
      <w:r w:rsidRPr="00017FBF">
        <w:t>podejmuje</w:t>
      </w:r>
      <w:proofErr w:type="gramEnd"/>
      <w:r w:rsidRPr="00017FBF">
        <w:t xml:space="preserve"> decyzję o uchyleniu immunitetu Petra </w:t>
      </w:r>
      <w:proofErr w:type="spellStart"/>
      <w:r w:rsidRPr="00017FBF">
        <w:t>Bystrona</w:t>
      </w:r>
      <w:proofErr w:type="spellEnd"/>
      <w:r w:rsidRPr="00017FBF">
        <w:t>;</w:t>
      </w:r>
    </w:p>
    <w:p w:rsidR="00E365E1" w:rsidRPr="00017FBF" w:rsidRDefault="00676A0A" w:rsidP="00B824BB">
      <w:pPr>
        <w:ind w:left="567" w:hanging="567"/>
      </w:pPr>
      <w:r w:rsidRPr="00017FBF">
        <w:t>2.</w:t>
      </w:r>
      <w:r w:rsidRPr="00017FBF">
        <w:tab/>
      </w:r>
      <w:proofErr w:type="gramStart"/>
      <w:r w:rsidRPr="00017FBF">
        <w:t>zobowiązuje</w:t>
      </w:r>
      <w:proofErr w:type="gramEnd"/>
      <w:r w:rsidRPr="00017FBF">
        <w:t xml:space="preserve"> swoją przewodniczącą do bezzwłocznego przekazania niniejszej decyzji i sprawozdania właściwej komisji właściwemu organowi Republiki Federalnej Niemiec oraz Petrowi </w:t>
      </w:r>
      <w:proofErr w:type="spellStart"/>
      <w:r w:rsidRPr="00017FBF">
        <w:t>Bystronowi</w:t>
      </w:r>
      <w:proofErr w:type="spellEnd"/>
      <w:r w:rsidRPr="00017FBF">
        <w:t>.</w:t>
      </w:r>
    </w:p>
    <w:sectPr w:rsidR="00E365E1" w:rsidRPr="00017FBF" w:rsidSect="00017F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B93" w:rsidRPr="00017FBF" w:rsidRDefault="00CB1B93">
      <w:r w:rsidRPr="00017FBF">
        <w:separator/>
      </w:r>
    </w:p>
  </w:endnote>
  <w:endnote w:type="continuationSeparator" w:id="0">
    <w:p w:rsidR="00CB1B93" w:rsidRPr="00017FBF" w:rsidRDefault="00CB1B93">
      <w:r w:rsidRPr="00017F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F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F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F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B93" w:rsidRPr="00017FBF" w:rsidRDefault="00CB1B93">
      <w:r w:rsidRPr="00017FBF">
        <w:separator/>
      </w:r>
    </w:p>
  </w:footnote>
  <w:footnote w:type="continuationSeparator" w:id="0">
    <w:p w:rsidR="00CB1B93" w:rsidRPr="00017FBF" w:rsidRDefault="00CB1B93">
      <w:r w:rsidRPr="00017FBF">
        <w:continuationSeparator/>
      </w:r>
    </w:p>
  </w:footnote>
  <w:footnote w:id="1">
    <w:p w:rsidR="00676A0A" w:rsidRPr="00017FBF" w:rsidRDefault="00676A0A" w:rsidP="00017FBF">
      <w:pPr>
        <w:pStyle w:val="FootnoteText"/>
        <w:ind w:left="567" w:hanging="567"/>
        <w:rPr>
          <w:sz w:val="24"/>
          <w:lang w:val="pl-PL"/>
        </w:rPr>
      </w:pPr>
      <w:r w:rsidRPr="00017FBF">
        <w:rPr>
          <w:rStyle w:val="FootnoteReference"/>
          <w:sz w:val="24"/>
          <w:lang w:val="pl-PL"/>
        </w:rPr>
        <w:footnoteRef/>
      </w:r>
      <w:r w:rsidR="00017FBF" w:rsidRPr="00017FBF">
        <w:rPr>
          <w:sz w:val="24"/>
          <w:lang w:val="pl-PL"/>
        </w:rPr>
        <w:t xml:space="preserve"> </w:t>
      </w:r>
      <w:r w:rsidR="00017FBF" w:rsidRPr="00017FBF">
        <w:rPr>
          <w:sz w:val="24"/>
          <w:lang w:val="pl-PL"/>
        </w:rPr>
        <w:tab/>
      </w:r>
      <w:r w:rsidRPr="00017FBF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017FBF">
        <w:rPr>
          <w:sz w:val="24"/>
          <w:lang w:val="pl-PL"/>
        </w:rPr>
        <w:t>Marra</w:t>
      </w:r>
      <w:proofErr w:type="spellEnd"/>
      <w:r w:rsidRPr="00017FBF">
        <w:rPr>
          <w:sz w:val="24"/>
          <w:lang w:val="pl-PL"/>
        </w:rPr>
        <w:t xml:space="preserve">/De </w:t>
      </w:r>
      <w:proofErr w:type="spellStart"/>
      <w:r w:rsidRPr="00017FBF">
        <w:rPr>
          <w:sz w:val="24"/>
          <w:lang w:val="pl-PL"/>
        </w:rPr>
        <w:t>Gregorio</w:t>
      </w:r>
      <w:proofErr w:type="spellEnd"/>
      <w:r w:rsidRPr="00017FBF">
        <w:rPr>
          <w:sz w:val="24"/>
          <w:lang w:val="pl-PL"/>
        </w:rPr>
        <w:t xml:space="preserve"> i </w:t>
      </w:r>
      <w:proofErr w:type="spellStart"/>
      <w:r w:rsidRPr="00017FBF">
        <w:rPr>
          <w:sz w:val="24"/>
          <w:lang w:val="pl-PL"/>
        </w:rPr>
        <w:t>Clemente</w:t>
      </w:r>
      <w:proofErr w:type="spellEnd"/>
      <w:r w:rsidRPr="00017FBF">
        <w:rPr>
          <w:sz w:val="24"/>
          <w:lang w:val="pl-PL"/>
        </w:rPr>
        <w:t>, C-200/07 i C-201/07, ECLI</w:t>
      </w:r>
      <w:proofErr w:type="gramStart"/>
      <w:r w:rsidRPr="00017FBF">
        <w:rPr>
          <w:sz w:val="24"/>
          <w:lang w:val="pl-PL"/>
        </w:rPr>
        <w:t>:EU</w:t>
      </w:r>
      <w:proofErr w:type="gramEnd"/>
      <w:r w:rsidRPr="00017FBF">
        <w:rPr>
          <w:sz w:val="24"/>
          <w:lang w:val="pl-PL"/>
        </w:rPr>
        <w:t xml:space="preserve">:C:2008:579; wyrok Sądu z dnia 19 marca 2010 r., </w:t>
      </w:r>
      <w:proofErr w:type="spellStart"/>
      <w:r w:rsidRPr="00017FBF">
        <w:rPr>
          <w:sz w:val="24"/>
          <w:lang w:val="pl-PL"/>
        </w:rPr>
        <w:t>Gollnisch</w:t>
      </w:r>
      <w:proofErr w:type="spellEnd"/>
      <w:r w:rsidRPr="00017FBF">
        <w:rPr>
          <w:sz w:val="24"/>
          <w:lang w:val="pl-PL"/>
        </w:rPr>
        <w:t xml:space="preserve">/Parlament, T-42/06, ECLI:EU:T:2010:102; wyrok Trybunału Sprawiedliwości z dnia 6 września 2011 r., </w:t>
      </w:r>
      <w:proofErr w:type="spellStart"/>
      <w:r w:rsidRPr="00017FBF">
        <w:rPr>
          <w:sz w:val="24"/>
          <w:lang w:val="pl-PL"/>
        </w:rPr>
        <w:t>Patriciello</w:t>
      </w:r>
      <w:proofErr w:type="spellEnd"/>
      <w:r w:rsidRPr="00017FBF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017FBF">
        <w:rPr>
          <w:sz w:val="24"/>
          <w:lang w:val="pl-PL"/>
        </w:rPr>
        <w:t>Gollnisch</w:t>
      </w:r>
      <w:proofErr w:type="spellEnd"/>
      <w:r w:rsidRPr="00017FBF">
        <w:rPr>
          <w:sz w:val="24"/>
          <w:lang w:val="pl-PL"/>
        </w:rPr>
        <w:t xml:space="preserve">/Parlament, T-346/11 i T-347/11, ECLI:EU:T:2013:23; wyrok Trybunału Sprawiedliwości z dnia 19 grudnia 2019 r., </w:t>
      </w:r>
      <w:proofErr w:type="spellStart"/>
      <w:r w:rsidRPr="00017FBF">
        <w:rPr>
          <w:sz w:val="24"/>
          <w:lang w:val="pl-PL"/>
        </w:rPr>
        <w:t>Junqueras</w:t>
      </w:r>
      <w:proofErr w:type="spellEnd"/>
      <w:r w:rsidRPr="00017FBF">
        <w:rPr>
          <w:sz w:val="24"/>
          <w:lang w:val="pl-PL"/>
        </w:rPr>
        <w:t xml:space="preserve"> </w:t>
      </w:r>
      <w:proofErr w:type="spellStart"/>
      <w:r w:rsidRPr="00017FBF">
        <w:rPr>
          <w:sz w:val="24"/>
          <w:lang w:val="pl-PL"/>
        </w:rPr>
        <w:t>Vies</w:t>
      </w:r>
      <w:proofErr w:type="spellEnd"/>
      <w:r w:rsidRPr="00017FBF">
        <w:rPr>
          <w:sz w:val="24"/>
          <w:lang w:val="pl-PL"/>
        </w:rPr>
        <w:t xml:space="preserve">, C-502/19, ECLI:EU:C:2019:1115; wyrok Sądu z dnia 5 lipca 2023 r., </w:t>
      </w:r>
      <w:proofErr w:type="spellStart"/>
      <w:r w:rsidRPr="00017FBF">
        <w:rPr>
          <w:sz w:val="24"/>
          <w:lang w:val="pl-PL"/>
        </w:rPr>
        <w:t>Puigdemont</w:t>
      </w:r>
      <w:proofErr w:type="spellEnd"/>
      <w:r w:rsidRPr="00017FBF">
        <w:rPr>
          <w:sz w:val="24"/>
          <w:lang w:val="pl-PL"/>
        </w:rPr>
        <w:t xml:space="preserve"> i </w:t>
      </w:r>
      <w:proofErr w:type="spellStart"/>
      <w:r w:rsidRPr="00017FBF">
        <w:rPr>
          <w:sz w:val="24"/>
          <w:lang w:val="pl-PL"/>
        </w:rPr>
        <w:t>Casamajó</w:t>
      </w:r>
      <w:proofErr w:type="spellEnd"/>
      <w:r w:rsidRPr="00017FBF">
        <w:rPr>
          <w:sz w:val="24"/>
          <w:lang w:val="pl-PL"/>
        </w:rPr>
        <w:t xml:space="preserve"> i in./Parlament, T-272/21, ECLI:EU:T:2023:373.</w:t>
      </w:r>
    </w:p>
  </w:footnote>
  <w:footnote w:id="2">
    <w:p w:rsidR="00676A0A" w:rsidRPr="00017FBF" w:rsidRDefault="00676A0A" w:rsidP="00017FBF">
      <w:pPr>
        <w:pStyle w:val="FootnoteText"/>
        <w:ind w:left="567" w:hanging="567"/>
        <w:rPr>
          <w:sz w:val="24"/>
          <w:lang w:val="pl-PL"/>
        </w:rPr>
      </w:pPr>
      <w:r w:rsidRPr="00017FBF">
        <w:rPr>
          <w:rStyle w:val="FootnoteReference"/>
          <w:sz w:val="24"/>
          <w:lang w:val="pl-PL"/>
        </w:rPr>
        <w:footnoteRef/>
      </w:r>
      <w:r w:rsidR="00017FBF" w:rsidRPr="00017FBF">
        <w:rPr>
          <w:sz w:val="24"/>
          <w:lang w:val="pl-PL"/>
        </w:rPr>
        <w:t xml:space="preserve"> </w:t>
      </w:r>
      <w:r w:rsidR="00017FBF" w:rsidRPr="00017FBF">
        <w:rPr>
          <w:sz w:val="24"/>
          <w:lang w:val="pl-PL"/>
        </w:rPr>
        <w:tab/>
      </w:r>
      <w:r w:rsidRPr="00017FBF">
        <w:rPr>
          <w:sz w:val="24"/>
          <w:lang w:val="pl-PL"/>
        </w:rPr>
        <w:t>Tłumaczenie oryginału na język polski.</w:t>
      </w:r>
    </w:p>
  </w:footnote>
  <w:footnote w:id="3">
    <w:p w:rsidR="00676A0A" w:rsidRPr="00017FBF" w:rsidRDefault="00676A0A" w:rsidP="00017FBF">
      <w:pPr>
        <w:pStyle w:val="FootnoteText"/>
        <w:ind w:left="567" w:hanging="567"/>
        <w:rPr>
          <w:sz w:val="24"/>
          <w:lang w:val="pl-PL"/>
        </w:rPr>
      </w:pPr>
      <w:r w:rsidRPr="00017FBF">
        <w:rPr>
          <w:rStyle w:val="FootnoteReference"/>
          <w:sz w:val="24"/>
          <w:lang w:val="pl-PL"/>
        </w:rPr>
        <w:footnoteRef/>
      </w:r>
      <w:r w:rsidR="00017FBF" w:rsidRPr="00017FBF">
        <w:rPr>
          <w:sz w:val="24"/>
          <w:lang w:val="pl-PL"/>
        </w:rPr>
        <w:t xml:space="preserve"> </w:t>
      </w:r>
      <w:r w:rsidR="00017FBF" w:rsidRPr="00017FBF">
        <w:rPr>
          <w:sz w:val="24"/>
          <w:lang w:val="pl-PL"/>
        </w:rPr>
        <w:tab/>
      </w:r>
      <w:r w:rsidRPr="00017FBF">
        <w:rPr>
          <w:sz w:val="24"/>
          <w:lang w:val="pl-PL"/>
        </w:rPr>
        <w:t xml:space="preserve">Wyrok Sądu z dnia 30 kwietnia 2019 r., </w:t>
      </w:r>
      <w:proofErr w:type="spellStart"/>
      <w:r w:rsidRPr="00017FBF">
        <w:rPr>
          <w:sz w:val="24"/>
          <w:lang w:val="pl-PL"/>
        </w:rPr>
        <w:t>Briois</w:t>
      </w:r>
      <w:proofErr w:type="spellEnd"/>
      <w:r w:rsidRPr="00017FBF">
        <w:rPr>
          <w:sz w:val="24"/>
          <w:lang w:val="pl-PL"/>
        </w:rPr>
        <w:t>/</w:t>
      </w:r>
      <w:proofErr w:type="spellStart"/>
      <w:r w:rsidRPr="00017FBF">
        <w:rPr>
          <w:sz w:val="24"/>
          <w:lang w:val="pl-PL"/>
        </w:rPr>
        <w:t>Parlement</w:t>
      </w:r>
      <w:proofErr w:type="spellEnd"/>
      <w:r w:rsidRPr="00017FBF">
        <w:rPr>
          <w:sz w:val="24"/>
          <w:lang w:val="pl-PL"/>
        </w:rPr>
        <w:t>, T-214/18, ECLI</w:t>
      </w:r>
      <w:proofErr w:type="gramStart"/>
      <w:r w:rsidRPr="00017FBF">
        <w:rPr>
          <w:sz w:val="24"/>
          <w:lang w:val="pl-PL"/>
        </w:rPr>
        <w:t>:EU</w:t>
      </w:r>
      <w:proofErr w:type="gramEnd"/>
      <w:r w:rsidRPr="00017FBF">
        <w:rPr>
          <w:sz w:val="24"/>
          <w:lang w:val="pl-PL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F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F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7F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5"/>
    <w:docVar w:name="dvlangue" w:val="PL"/>
    <w:docVar w:name="dvnumam" w:val="0"/>
    <w:docVar w:name="dvpe" w:val="766.948"/>
    <w:docVar w:name="dvrapporteur" w:val="Sprawozdawca: "/>
    <w:docVar w:name="dvstar" w:val="??"/>
    <w:docVar w:name="dvtitre" w:val="Decyzja Parlamentu Europejskiego z dnia  2025 r. w sprawie wniosku o uchylenie immunitetu Petra Bystrona(2024/2048(IMM))"/>
  </w:docVars>
  <w:rsids>
    <w:rsidRoot w:val="00CB1B93"/>
    <w:rsid w:val="00002272"/>
    <w:rsid w:val="00017FB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A0A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01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4BB"/>
    <w:rsid w:val="00BD48FE"/>
    <w:rsid w:val="00BD7BD8"/>
    <w:rsid w:val="00BE6ADC"/>
    <w:rsid w:val="00C05BFE"/>
    <w:rsid w:val="00C23CD4"/>
    <w:rsid w:val="00C61C0C"/>
    <w:rsid w:val="00C941CB"/>
    <w:rsid w:val="00CB1B9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2CB6E"/>
  <w15:chartTrackingRefBased/>
  <w15:docId w15:val="{4D145724-5CD3-4182-813A-E0180D85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76A0A"/>
    <w:pPr>
      <w:spacing w:after="240"/>
      <w:ind w:left="567" w:hanging="567"/>
    </w:pPr>
  </w:style>
  <w:style w:type="paragraph" w:customStyle="1" w:styleId="EPComma">
    <w:name w:val="EPComma"/>
    <w:basedOn w:val="Normal"/>
    <w:rsid w:val="00676A0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81818-6181-452B-A577-439E0CAB6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826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2025-04-01T10:22:00Z</dcterms:created>
  <dcterms:modified xsi:type="dcterms:W3CDTF">2025-04-01T10:22:00Z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A10-0030/2025</vt:lpwstr>
  </property>
  <property fmtid="{D5CDD505-2E9C-101B-9397-08002B2CF9AE}" pid="4" name="&lt;Type&gt;">
    <vt:lpwstr>RR</vt:lpwstr>
  </property>
</Properties>
</file>