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42B0" w14:paraId="48BFAA21" w14:textId="77777777" w:rsidTr="0010095E">
        <w:trPr>
          <w:trHeight w:hRule="exact" w:val="1418"/>
        </w:trPr>
        <w:tc>
          <w:tcPr>
            <w:tcW w:w="6804" w:type="dxa"/>
            <w:shd w:val="clear" w:color="auto" w:fill="auto"/>
            <w:vAlign w:val="center"/>
          </w:tcPr>
          <w:p w14:paraId="2FFED986" w14:textId="77777777" w:rsidR="00751A4A" w:rsidRPr="007542B0" w:rsidRDefault="00FA385A" w:rsidP="0010095E">
            <w:pPr>
              <w:pStyle w:val="EPName"/>
            </w:pPr>
            <w:r w:rsidRPr="007542B0">
              <w:t>Evropski parlament</w:t>
            </w:r>
          </w:p>
          <w:p w14:paraId="5EEBA4CC" w14:textId="77777777" w:rsidR="00751A4A" w:rsidRPr="007542B0" w:rsidRDefault="005F1B17" w:rsidP="005F1B17">
            <w:pPr>
              <w:pStyle w:val="EPTerm"/>
              <w:rPr>
                <w:rStyle w:val="HideTWBExt"/>
                <w:noProof w:val="0"/>
                <w:vanish w:val="0"/>
                <w:color w:val="auto"/>
              </w:rPr>
            </w:pPr>
            <w:r w:rsidRPr="007542B0">
              <w:t>2024</w:t>
            </w:r>
            <w:r w:rsidR="00817416" w:rsidRPr="007542B0">
              <w:t>-202</w:t>
            </w:r>
            <w:r w:rsidRPr="007542B0">
              <w:t>9</w:t>
            </w:r>
          </w:p>
        </w:tc>
        <w:tc>
          <w:tcPr>
            <w:tcW w:w="2268" w:type="dxa"/>
            <w:shd w:val="clear" w:color="auto" w:fill="auto"/>
          </w:tcPr>
          <w:p w14:paraId="111E0C04" w14:textId="77777777" w:rsidR="00751A4A" w:rsidRPr="007542B0" w:rsidRDefault="00187494" w:rsidP="0010095E">
            <w:pPr>
              <w:pStyle w:val="EPLogo"/>
            </w:pPr>
            <w:r w:rsidRPr="007542B0">
              <w:rPr>
                <w:noProof/>
                <w:lang w:val="en-GB"/>
              </w:rPr>
              <w:drawing>
                <wp:inline distT="0" distB="0" distL="0" distR="0" wp14:anchorId="4B89ABC5" wp14:editId="7B8F87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EE820F" w14:textId="77777777" w:rsidR="00D058B8" w:rsidRPr="007542B0" w:rsidRDefault="00D058B8" w:rsidP="004C5D52">
      <w:pPr>
        <w:pStyle w:val="LineTop"/>
      </w:pPr>
    </w:p>
    <w:p w14:paraId="080083FF" w14:textId="77777777" w:rsidR="00680577" w:rsidRPr="007542B0" w:rsidRDefault="00FA385A" w:rsidP="00680577">
      <w:pPr>
        <w:pStyle w:val="EPBodyTA1"/>
      </w:pPr>
      <w:r w:rsidRPr="007542B0">
        <w:t>SPREJETA BESEDILA</w:t>
      </w:r>
    </w:p>
    <w:p w14:paraId="16D47B92" w14:textId="77777777" w:rsidR="00D058B8" w:rsidRPr="007542B0" w:rsidRDefault="00D058B8" w:rsidP="00D058B8">
      <w:pPr>
        <w:pStyle w:val="LineBottom"/>
      </w:pPr>
    </w:p>
    <w:p w14:paraId="709550C6" w14:textId="1DCD00EC" w:rsidR="00FA385A" w:rsidRPr="007542B0" w:rsidRDefault="00FA385A" w:rsidP="00271BAB">
      <w:pPr>
        <w:pStyle w:val="ATHeading1"/>
      </w:pPr>
      <w:bookmarkStart w:id="0" w:name="TANumber"/>
      <w:r w:rsidRPr="007542B0">
        <w:t>P10_TA(2025)</w:t>
      </w:r>
      <w:bookmarkEnd w:id="0"/>
      <w:r w:rsidR="00271BAB" w:rsidRPr="007542B0">
        <w:t>0041</w:t>
      </w:r>
    </w:p>
    <w:p w14:paraId="2B48B9BC" w14:textId="77777777" w:rsidR="00FA385A" w:rsidRPr="007542B0" w:rsidRDefault="00FA385A" w:rsidP="00FA385A">
      <w:pPr>
        <w:pStyle w:val="ATHeading2"/>
      </w:pPr>
      <w:bookmarkStart w:id="1" w:name="title"/>
      <w:r w:rsidRPr="007542B0">
        <w:t xml:space="preserve">Zahteva za odvzem imunitete Petru </w:t>
      </w:r>
      <w:proofErr w:type="spellStart"/>
      <w:r w:rsidRPr="007542B0">
        <w:t>Bystronu</w:t>
      </w:r>
      <w:bookmarkEnd w:id="1"/>
      <w:proofErr w:type="spellEnd"/>
    </w:p>
    <w:p w14:paraId="200A3A3D" w14:textId="77777777" w:rsidR="00FA385A" w:rsidRPr="007542B0" w:rsidRDefault="00FA385A" w:rsidP="00FA385A">
      <w:pPr>
        <w:rPr>
          <w:i/>
          <w:vanish/>
        </w:rPr>
      </w:pPr>
      <w:r w:rsidRPr="007542B0">
        <w:rPr>
          <w:i/>
        </w:rPr>
        <w:fldChar w:fldCharType="begin"/>
      </w:r>
      <w:r w:rsidRPr="007542B0">
        <w:rPr>
          <w:i/>
        </w:rPr>
        <w:instrText xml:space="preserve"> TC"(</w:instrText>
      </w:r>
      <w:bookmarkStart w:id="2" w:name="DocNumber"/>
      <w:r w:rsidRPr="007542B0">
        <w:rPr>
          <w:i/>
        </w:rPr>
        <w:instrText>A10-0030/2025</w:instrText>
      </w:r>
      <w:bookmarkEnd w:id="2"/>
      <w:r w:rsidRPr="007542B0">
        <w:rPr>
          <w:i/>
        </w:rPr>
        <w:instrText xml:space="preserve"> - Poročevalec: Dominik Tarczyński)"\l3 \n&gt; \* MERGEFORMAT </w:instrText>
      </w:r>
      <w:r w:rsidRPr="007542B0">
        <w:rPr>
          <w:i/>
        </w:rPr>
        <w:fldChar w:fldCharType="end"/>
      </w:r>
    </w:p>
    <w:p w14:paraId="436900F0" w14:textId="77777777" w:rsidR="00FA385A" w:rsidRPr="007542B0" w:rsidRDefault="00FA385A" w:rsidP="00FA385A">
      <w:pPr>
        <w:rPr>
          <w:vanish/>
        </w:rPr>
      </w:pPr>
      <w:bookmarkStart w:id="3" w:name="Commission"/>
      <w:r w:rsidRPr="007542B0">
        <w:rPr>
          <w:vanish/>
        </w:rPr>
        <w:t>Odbor za pravne zadeve</w:t>
      </w:r>
      <w:bookmarkEnd w:id="3"/>
    </w:p>
    <w:p w14:paraId="2E55DBAB" w14:textId="77777777" w:rsidR="00FA385A" w:rsidRPr="007542B0" w:rsidRDefault="00FA385A" w:rsidP="00FA385A">
      <w:pPr>
        <w:rPr>
          <w:vanish/>
        </w:rPr>
      </w:pPr>
      <w:bookmarkStart w:id="4" w:name="PE"/>
      <w:r w:rsidRPr="007542B0">
        <w:rPr>
          <w:vanish/>
        </w:rPr>
        <w:t>PE766.948</w:t>
      </w:r>
      <w:bookmarkEnd w:id="4"/>
    </w:p>
    <w:p w14:paraId="2ED8F8DA" w14:textId="77777777" w:rsidR="00FA385A" w:rsidRPr="007542B0" w:rsidRDefault="00FA385A" w:rsidP="00FA385A">
      <w:pPr>
        <w:pStyle w:val="ATHeading3"/>
      </w:pPr>
      <w:bookmarkStart w:id="5" w:name="Sujet"/>
      <w:r w:rsidRPr="007542B0">
        <w:t xml:space="preserve">Sklep Evropskega parlamenta z dne </w:t>
      </w:r>
      <w:r w:rsidR="003B177F" w:rsidRPr="007542B0">
        <w:t>1.</w:t>
      </w:r>
      <w:r w:rsidRPr="007542B0">
        <w:t xml:space="preserve"> </w:t>
      </w:r>
      <w:r w:rsidR="000551AF" w:rsidRPr="007542B0">
        <w:t xml:space="preserve">aprila </w:t>
      </w:r>
      <w:r w:rsidRPr="007542B0">
        <w:t xml:space="preserve">2025 o zahtevi za odvzem imunitete Petru </w:t>
      </w:r>
      <w:proofErr w:type="spellStart"/>
      <w:r w:rsidRPr="007542B0">
        <w:t>Bystronu</w:t>
      </w:r>
      <w:bookmarkEnd w:id="5"/>
      <w:proofErr w:type="spellEnd"/>
      <w:r w:rsidRPr="007542B0">
        <w:t xml:space="preserve"> </w:t>
      </w:r>
      <w:bookmarkStart w:id="6" w:name="References"/>
      <w:r w:rsidRPr="007542B0">
        <w:t>(2024/2048(IMM))</w:t>
      </w:r>
      <w:bookmarkEnd w:id="6"/>
    </w:p>
    <w:p w14:paraId="54CF92D8" w14:textId="77777777" w:rsidR="00101649" w:rsidRPr="007542B0" w:rsidRDefault="00101649" w:rsidP="00101649">
      <w:pPr>
        <w:pStyle w:val="EPComma"/>
        <w:rPr>
          <w:i/>
        </w:rPr>
      </w:pPr>
      <w:bookmarkStart w:id="7" w:name="TextBodyBegin"/>
      <w:bookmarkEnd w:id="7"/>
      <w:r w:rsidRPr="007542B0">
        <w:rPr>
          <w:i/>
        </w:rPr>
        <w:t>Evropski parlament,</w:t>
      </w:r>
    </w:p>
    <w:p w14:paraId="3A414588" w14:textId="616E4657" w:rsidR="00101649" w:rsidRPr="007542B0" w:rsidRDefault="00101649" w:rsidP="00101649">
      <w:pPr>
        <w:pStyle w:val="NormalHanging12a"/>
      </w:pPr>
      <w:r w:rsidRPr="007542B0">
        <w:t>–</w:t>
      </w:r>
      <w:r w:rsidRPr="007542B0">
        <w:tab/>
        <w:t xml:space="preserve">ob upoštevanju zahteve za odvzem imunitete Petru </w:t>
      </w:r>
      <w:proofErr w:type="spellStart"/>
      <w:r w:rsidRPr="007542B0">
        <w:t>Bystronu</w:t>
      </w:r>
      <w:proofErr w:type="spellEnd"/>
      <w:r w:rsidRPr="007542B0">
        <w:t>, prejete v pism</w:t>
      </w:r>
      <w:r w:rsidR="00066BC6" w:rsidRPr="007542B0">
        <w:t>u</w:t>
      </w:r>
      <w:r w:rsidRPr="007542B0">
        <w:t xml:space="preserve"> nemškega zveznega ministrstva za pravosodje z dne 27. avgusta 2024, s katerim je bila posredovana zahteva glavnega državnega tožilca okrožj</w:t>
      </w:r>
      <w:r w:rsidR="00722AC6" w:rsidRPr="007542B0">
        <w:t>a</w:t>
      </w:r>
      <w:r w:rsidRPr="007542B0">
        <w:t xml:space="preserve"> München I v zvezi s kazenskim postopkom v teku pred okrožnim sodiščem v Münchnu, in ki je bila razglašena na plenarnem zasedanju 16. septembra 2024,</w:t>
      </w:r>
    </w:p>
    <w:p w14:paraId="75153CCF" w14:textId="75A23D9C" w:rsidR="00101649" w:rsidRPr="007542B0" w:rsidRDefault="00101649" w:rsidP="00101649">
      <w:pPr>
        <w:pStyle w:val="NormalHanging12a"/>
      </w:pPr>
      <w:r w:rsidRPr="007542B0">
        <w:t>–</w:t>
      </w:r>
      <w:r w:rsidRPr="007542B0">
        <w:tab/>
        <w:t xml:space="preserve">po </w:t>
      </w:r>
      <w:r w:rsidR="003B177F" w:rsidRPr="007542B0">
        <w:t xml:space="preserve">zagovoru </w:t>
      </w:r>
      <w:r w:rsidRPr="007542B0">
        <w:t xml:space="preserve">Petra </w:t>
      </w:r>
      <w:proofErr w:type="spellStart"/>
      <w:r w:rsidRPr="007542B0">
        <w:t>Bystrona</w:t>
      </w:r>
      <w:proofErr w:type="spellEnd"/>
      <w:r w:rsidRPr="007542B0">
        <w:t xml:space="preserve"> dne 29. januarja 2025 v skladu s členom 9(6) Poslovnika in ob upoštevanju dokument</w:t>
      </w:r>
      <w:r w:rsidR="00722AC6" w:rsidRPr="007542B0">
        <w:t>ov</w:t>
      </w:r>
      <w:r w:rsidRPr="007542B0">
        <w:t xml:space="preserve">, ki </w:t>
      </w:r>
      <w:r w:rsidR="00722AC6" w:rsidRPr="007542B0">
        <w:t xml:space="preserve">jih </w:t>
      </w:r>
      <w:r w:rsidRPr="007542B0">
        <w:t xml:space="preserve">je predložil med </w:t>
      </w:r>
      <w:r w:rsidR="00B774F1" w:rsidRPr="007542B0">
        <w:t>zagovorom</w:t>
      </w:r>
      <w:r w:rsidRPr="007542B0">
        <w:t>,</w:t>
      </w:r>
    </w:p>
    <w:p w14:paraId="4ACAB933" w14:textId="77777777" w:rsidR="00101649" w:rsidRPr="007542B0" w:rsidRDefault="00101649" w:rsidP="00101649">
      <w:pPr>
        <w:pStyle w:val="NormalHanging12a"/>
      </w:pPr>
      <w:r w:rsidRPr="007542B0">
        <w:t>–</w:t>
      </w:r>
      <w:r w:rsidRPr="007542B0">
        <w:tab/>
        <w:t>ob upoštevanju členov 8 in 9 Protokola št. 7 o privilegijih in imunitetah Evropske unije ter člena 6(2) Akta o volitvah poslancev Evropskega parlamenta s splošnimi neposrednimi volitvami z dne 20. septembra 1976,</w:t>
      </w:r>
    </w:p>
    <w:p w14:paraId="5E2FB7DC" w14:textId="77777777" w:rsidR="00101649" w:rsidRPr="007542B0" w:rsidRDefault="00101649" w:rsidP="00101649">
      <w:pPr>
        <w:pStyle w:val="NormalHanging12a"/>
      </w:pPr>
      <w:r w:rsidRPr="007542B0">
        <w:t>–</w:t>
      </w:r>
      <w:r w:rsidRPr="007542B0">
        <w:tab/>
        <w:t>ob upoštevanju sodb Sodišča Evropske unije z dne 21. oktobra 2008, 19. marca 2010, 6. septembra 2011, 17. januarja 2013, 19. decembra 2019 in 5. julija 2023</w:t>
      </w:r>
      <w:r w:rsidRPr="007542B0">
        <w:rPr>
          <w:rStyle w:val="FootnoteReference"/>
          <w:color w:val="000000"/>
        </w:rPr>
        <w:footnoteReference w:id="1"/>
      </w:r>
      <w:r w:rsidRPr="007542B0">
        <w:t>,</w:t>
      </w:r>
    </w:p>
    <w:p w14:paraId="67AD670F" w14:textId="77777777" w:rsidR="00101649" w:rsidRPr="007542B0" w:rsidRDefault="00101649" w:rsidP="00101649">
      <w:pPr>
        <w:pStyle w:val="NormalHanging12a"/>
      </w:pPr>
      <w:r w:rsidRPr="007542B0">
        <w:t>–</w:t>
      </w:r>
      <w:r w:rsidRPr="007542B0">
        <w:tab/>
        <w:t>ob upoštevanju člena 46 ustave Zvezne republike Nemčije,</w:t>
      </w:r>
    </w:p>
    <w:p w14:paraId="0257991F" w14:textId="77777777" w:rsidR="00101649" w:rsidRPr="007542B0" w:rsidRDefault="00101649" w:rsidP="00101649">
      <w:pPr>
        <w:pStyle w:val="NormalHanging12a"/>
      </w:pPr>
      <w:r w:rsidRPr="007542B0">
        <w:t>–</w:t>
      </w:r>
      <w:r w:rsidRPr="007542B0">
        <w:tab/>
        <w:t>ob upoštevanju člena 5(2), člena 6(1) in člena 9 Poslovnika,</w:t>
      </w:r>
    </w:p>
    <w:p w14:paraId="7599F899" w14:textId="77777777" w:rsidR="00101649" w:rsidRPr="007542B0" w:rsidRDefault="00101649" w:rsidP="00101649">
      <w:pPr>
        <w:pStyle w:val="NormalHanging12a"/>
      </w:pPr>
      <w:r w:rsidRPr="007542B0">
        <w:lastRenderedPageBreak/>
        <w:t>–</w:t>
      </w:r>
      <w:r w:rsidRPr="007542B0">
        <w:tab/>
        <w:t>ob upoštevanju poročila Odbora za pravne zadeve (A10</w:t>
      </w:r>
      <w:r w:rsidRPr="007542B0">
        <w:noBreakHyphen/>
        <w:t>0030/2025),</w:t>
      </w:r>
    </w:p>
    <w:p w14:paraId="2EE30A95" w14:textId="77777777" w:rsidR="00101649" w:rsidRPr="007542B0" w:rsidRDefault="00101649" w:rsidP="00101649">
      <w:pPr>
        <w:pStyle w:val="NormalHanging12a"/>
      </w:pPr>
      <w:r w:rsidRPr="007542B0">
        <w:t>A.</w:t>
      </w:r>
      <w:r w:rsidRPr="007542B0">
        <w:tab/>
        <w:t xml:space="preserve">ker je glavni državni tožilec okrožja München I zahteval odvzem poslanske imunitete poslancu Evropskega parlamenta Petru Bystronu zaradi obtožb zoper njega na podlagi člena 86a nemškega kazenskega zakonika in v povezavi s členom 86 </w:t>
      </w:r>
      <w:r w:rsidR="003B177F" w:rsidRPr="007542B0">
        <w:t xml:space="preserve">navedenega </w:t>
      </w:r>
      <w:r w:rsidRPr="007542B0">
        <w:t>zakonika v zvezi z domnevno uporabo simbolov neustavnih in terorističnih organizacij;</w:t>
      </w:r>
    </w:p>
    <w:p w14:paraId="5719D06B" w14:textId="52DC9802" w:rsidR="00101649" w:rsidRPr="007542B0" w:rsidRDefault="00101649" w:rsidP="00101649">
      <w:pPr>
        <w:pStyle w:val="NormalHanging12a"/>
      </w:pPr>
      <w:r w:rsidRPr="007542B0">
        <w:rPr>
          <w:shd w:val="clear" w:color="auto" w:fill="FFFFFF"/>
        </w:rPr>
        <w:t>B.</w:t>
      </w:r>
      <w:r w:rsidRPr="007542B0">
        <w:rPr>
          <w:shd w:val="clear" w:color="auto" w:fill="FFFFFF"/>
        </w:rPr>
        <w:tab/>
      </w:r>
      <w:r w:rsidRPr="007542B0">
        <w:t xml:space="preserve">ker je v zahtevi navedeno, da je </w:t>
      </w:r>
      <w:r w:rsidRPr="007542B0">
        <w:rPr>
          <w:shd w:val="clear" w:color="auto" w:fill="FFFFFF"/>
        </w:rPr>
        <w:t>Petr Bystron</w:t>
      </w:r>
      <w:r w:rsidRPr="007542B0">
        <w:t xml:space="preserve"> po razrešitvi ukrajinskega veleposlanika v Nemčiji 12. julija 2022 po navedbah na svojem računu na Twitterju objavil fotomontažo fotografij oseb, ki so prej zasedale visoko javno funkcijo, na kateri vsaka od njih drži privzdignjeno desnico ali levico z navzgor iztegnjeno dlanjo in prsti; ker so objavljeni kolaž spremljale besede „Na svidenje […]! Nemški politiki vam mahajo v slovo!“</w:t>
      </w:r>
      <w:r w:rsidRPr="007542B0">
        <w:rPr>
          <w:rStyle w:val="FootnoteReference"/>
        </w:rPr>
        <w:footnoteReference w:id="2"/>
      </w:r>
      <w:r w:rsidRPr="007542B0">
        <w:t xml:space="preserve">; ker je bil </w:t>
      </w:r>
      <w:r w:rsidRPr="007542B0">
        <w:rPr>
          <w:shd w:val="clear" w:color="auto" w:fill="FFFFFF"/>
        </w:rPr>
        <w:t>Petr Bystron</w:t>
      </w:r>
      <w:r w:rsidRPr="007542B0">
        <w:t xml:space="preserve"> obtožen, da se </w:t>
      </w:r>
      <w:r w:rsidR="00B2641F" w:rsidRPr="007542B0">
        <w:t xml:space="preserve">je </w:t>
      </w:r>
      <w:r w:rsidRPr="007542B0">
        <w:t>vsaj tiho strinja</w:t>
      </w:r>
      <w:r w:rsidR="00B2641F" w:rsidRPr="007542B0">
        <w:t>l</w:t>
      </w:r>
      <w:r w:rsidRPr="007542B0">
        <w:t xml:space="preserve">, da bi lahko ta fotomontaža pri objektivnem uporabniku Twitterja ustvarila vtis, da je bil uporabljen Hitlerjev pozdrav, se pravi oblika pozdrava, ki jo je uporabljal nacistični režim; ker je bil </w:t>
      </w:r>
      <w:r w:rsidRPr="007542B0">
        <w:rPr>
          <w:shd w:val="clear" w:color="auto" w:fill="FFFFFF"/>
        </w:rPr>
        <w:t>Petr Bystron</w:t>
      </w:r>
      <w:r w:rsidRPr="007542B0">
        <w:t xml:space="preserve"> obtožen, da je v Nemčiji razširjal ali javno uporabljal simbole neustavnih in terorističnih organizacij;</w:t>
      </w:r>
    </w:p>
    <w:p w14:paraId="145D6DFE" w14:textId="77777777" w:rsidR="00101649" w:rsidRPr="007542B0" w:rsidRDefault="00101649" w:rsidP="00101649">
      <w:pPr>
        <w:pStyle w:val="NormalHanging12a"/>
      </w:pPr>
      <w:r w:rsidRPr="007542B0">
        <w:t>C.</w:t>
      </w:r>
      <w:r w:rsidRPr="007542B0">
        <w:tab/>
        <w:t>ker so pristojni organi po opravljenih preiskavah vložili zahtevo za odvzem imunitete Petru Bystronu, naslovljeno na nemški zvezni parlament, katerega član je bil takrat; ker mu je nemški zvezni parlament 7. septembra 2023 odvzel imuniteto;</w:t>
      </w:r>
    </w:p>
    <w:p w14:paraId="5F5169EF" w14:textId="77777777" w:rsidR="00101649" w:rsidRPr="007542B0" w:rsidRDefault="00101649" w:rsidP="00101649">
      <w:pPr>
        <w:pStyle w:val="NormalHanging12a"/>
      </w:pPr>
      <w:r w:rsidRPr="007542B0">
        <w:t>D.</w:t>
      </w:r>
      <w:r w:rsidRPr="007542B0">
        <w:tab/>
      </w:r>
      <w:r w:rsidRPr="007542B0">
        <w:rPr>
          <w:shd w:val="clear" w:color="auto" w:fill="FFFFFF"/>
        </w:rPr>
        <w:t>ker je bil Petr Bystron na evropskih volitvah leta 2024 izvoljen v Evropski parlament; ker</w:t>
      </w:r>
      <w:r w:rsidRPr="007542B0">
        <w:t xml:space="preserve"> so pristojni organi po razglasitvi končnega volilnega izida s sklepom z dne 9. julija 2024 začasno prekinili kazenski postopek proti njemu, da bi nadaljevali z zahtevo za odvzem njegove imunitete;</w:t>
      </w:r>
    </w:p>
    <w:p w14:paraId="5159ECA9" w14:textId="77777777" w:rsidR="00101649" w:rsidRPr="007542B0" w:rsidRDefault="00101649" w:rsidP="00101649">
      <w:pPr>
        <w:pStyle w:val="NormalHanging12a"/>
      </w:pPr>
      <w:r w:rsidRPr="007542B0">
        <w:t>E.</w:t>
      </w:r>
      <w:r w:rsidRPr="007542B0">
        <w:tab/>
        <w:t xml:space="preserve">ker </w:t>
      </w:r>
      <w:r w:rsidRPr="007542B0">
        <w:rPr>
          <w:shd w:val="clear" w:color="auto" w:fill="FFFFFF"/>
        </w:rPr>
        <w:t>Petr Bystron</w:t>
      </w:r>
      <w:r w:rsidRPr="007542B0">
        <w:t xml:space="preserve"> v </w:t>
      </w:r>
      <w:r w:rsidRPr="007542B0">
        <w:rPr>
          <w:shd w:val="clear" w:color="auto" w:fill="FFFFFF"/>
        </w:rPr>
        <w:t>času domnevnega kaznivega dejanja ni bil poslanec Evropskega parlamenta</w:t>
      </w:r>
      <w:r w:rsidRPr="007542B0">
        <w:t>;</w:t>
      </w:r>
    </w:p>
    <w:p w14:paraId="01D8EC62" w14:textId="57A6047D" w:rsidR="00101649" w:rsidRPr="007542B0" w:rsidRDefault="00101649" w:rsidP="00101649">
      <w:pPr>
        <w:pStyle w:val="NormalHanging12a"/>
      </w:pPr>
      <w:r w:rsidRPr="007542B0">
        <w:t>F.</w:t>
      </w:r>
      <w:r w:rsidRPr="007542B0">
        <w:tab/>
        <w:t xml:space="preserve">ker domnevno kaznivo dejanje in posledična zahteva za odvzem imunitete </w:t>
      </w:r>
      <w:r w:rsidR="009D2594" w:rsidRPr="007542B0">
        <w:t xml:space="preserve">nista povezana z </w:t>
      </w:r>
      <w:r w:rsidRPr="007542B0">
        <w:t>mnenj</w:t>
      </w:r>
      <w:r w:rsidR="009D2594" w:rsidRPr="007542B0">
        <w:t>em</w:t>
      </w:r>
      <w:r w:rsidRPr="007542B0">
        <w:t xml:space="preserve"> ali glas</w:t>
      </w:r>
      <w:r w:rsidR="009D2594" w:rsidRPr="007542B0">
        <w:t>om</w:t>
      </w:r>
      <w:r w:rsidRPr="007542B0">
        <w:t>, ki bi ga Petr Bystron izrazil pri opravljanju svojih dolžnosti v skladu s členom 8 Protokola št. 7 o privilegijih in imunitetah Evropske unije;</w:t>
      </w:r>
    </w:p>
    <w:p w14:paraId="79F12F09" w14:textId="77777777" w:rsidR="00101649" w:rsidRPr="007542B0" w:rsidRDefault="00101649" w:rsidP="00101649">
      <w:pPr>
        <w:pStyle w:val="NormalHanging12a"/>
      </w:pPr>
      <w:r w:rsidRPr="007542B0">
        <w:t>G.</w:t>
      </w:r>
      <w:r w:rsidRPr="007542B0">
        <w:tab/>
        <w:t>ker v skladu s členom 9, prvi odstavek, točka (a), Protokola št. 7 o privilegijih in imunitetah Evropske unije poslanci Evropskega parlamenta na ozemlju svoje države uživajo imunitete, priznane članom parlamenta te države;</w:t>
      </w:r>
    </w:p>
    <w:p w14:paraId="34A65865" w14:textId="77777777" w:rsidR="00101649" w:rsidRPr="007542B0" w:rsidRDefault="00101649" w:rsidP="00101649">
      <w:pPr>
        <w:pStyle w:val="NormalHanging12a"/>
      </w:pPr>
      <w:r w:rsidRPr="007542B0">
        <w:t>H.</w:t>
      </w:r>
      <w:r w:rsidRPr="007542B0">
        <w:tab/>
        <w:t>ker člen 46(2), (3) in (4) ustave Zvezne republike Nemčije določa:</w:t>
      </w:r>
    </w:p>
    <w:p w14:paraId="6C99E94A" w14:textId="77777777" w:rsidR="00101649" w:rsidRPr="007542B0" w:rsidRDefault="00101649" w:rsidP="00271BAB">
      <w:pPr>
        <w:pStyle w:val="NormalHanging12a"/>
        <w:ind w:left="1134"/>
      </w:pPr>
      <w:r w:rsidRPr="007542B0">
        <w:t xml:space="preserve">„(2) </w:t>
      </w:r>
      <w:r w:rsidRPr="007542B0">
        <w:tab/>
        <w:t>Za kaznivo dejanje je poslanca dovoljeno klicati na odgovornost ali prijeti le z dovoljenjem nemškega zveznega parlamenta, razen če je bil prijet med storitvijo kaznivega dejanja ali tekom naslednjega dne.</w:t>
      </w:r>
    </w:p>
    <w:p w14:paraId="6797AA7A" w14:textId="77777777" w:rsidR="00101649" w:rsidRPr="007542B0" w:rsidRDefault="00101649" w:rsidP="00271BAB">
      <w:pPr>
        <w:pStyle w:val="NormalHanging12a"/>
        <w:ind w:left="1134"/>
      </w:pPr>
      <w:r w:rsidRPr="007542B0">
        <w:t xml:space="preserve">(3) </w:t>
      </w:r>
      <w:r w:rsidRPr="007542B0">
        <w:tab/>
        <w:t>Dovoljenje nemškega zveznega parlamenta je potrebno tudi ob vsaki drugačni omejitvi osebne svobode poslanca ali ob uvedbi postopka zoper poslanca po členu 18.</w:t>
      </w:r>
    </w:p>
    <w:p w14:paraId="4073E80E" w14:textId="77777777" w:rsidR="00101649" w:rsidRPr="007542B0" w:rsidRDefault="00101649" w:rsidP="00271BAB">
      <w:pPr>
        <w:pStyle w:val="NormalHanging12a"/>
        <w:ind w:left="1134"/>
      </w:pPr>
      <w:r w:rsidRPr="007542B0">
        <w:t xml:space="preserve">(4) </w:t>
      </w:r>
      <w:r w:rsidRPr="007542B0">
        <w:tab/>
        <w:t xml:space="preserve">Vsak kazenski postopek in vsak postopek po členu 18 zoper poslanca, vsak </w:t>
      </w:r>
      <w:r w:rsidRPr="007542B0">
        <w:lastRenderedPageBreak/>
        <w:t>odvzem prostosti ali drugačna omejitev njegove osebne svobode se na zahtevo nemškega zveznega parlamenta odložijo.“;</w:t>
      </w:r>
    </w:p>
    <w:p w14:paraId="399A43D8" w14:textId="77777777" w:rsidR="00101649" w:rsidRPr="007542B0" w:rsidRDefault="00101649" w:rsidP="00101649">
      <w:pPr>
        <w:pStyle w:val="NormalHanging12a"/>
      </w:pPr>
      <w:r w:rsidRPr="007542B0">
        <w:t>I.</w:t>
      </w:r>
      <w:r w:rsidRPr="007542B0">
        <w:tab/>
        <w:t>ker je namen poslanske imunitete zaščititi Parlament in njegove poslance pred sodnimi postopki, povezanimi z dejavnostmi poslancev med opravljanjem parlamentarnih dolžnosti, ki jih od teh dolžnosti ni mogoče ločiti;</w:t>
      </w:r>
    </w:p>
    <w:p w14:paraId="6E297861" w14:textId="77777777" w:rsidR="00101649" w:rsidRPr="007542B0" w:rsidRDefault="00101649" w:rsidP="00101649">
      <w:pPr>
        <w:pStyle w:val="NormalHanging12a"/>
      </w:pPr>
      <w:r w:rsidRPr="007542B0">
        <w:t>J.</w:t>
      </w:r>
      <w:r w:rsidRPr="007542B0">
        <w:tab/>
        <w:t>ker v skladu s členom 5(2) Poslovnika parlamentarna imuniteta ni osebni privilegij poslanca, temveč je jamstvo neodvisnosti Parlamenta kot celote in njegovih poslancev;</w:t>
      </w:r>
    </w:p>
    <w:p w14:paraId="47FC02F2" w14:textId="064233AC" w:rsidR="00101649" w:rsidRPr="007542B0" w:rsidRDefault="00101649" w:rsidP="00101649">
      <w:pPr>
        <w:pStyle w:val="NormalHanging12a"/>
      </w:pPr>
      <w:r w:rsidRPr="007542B0">
        <w:t>K.</w:t>
      </w:r>
      <w:r w:rsidRPr="007542B0">
        <w:tab/>
        <w:t xml:space="preserve">ker v tem primeru Parlament ni našel dokaza o tem, da gre za </w:t>
      </w:r>
      <w:r w:rsidRPr="007542B0">
        <w:rPr>
          <w:i/>
        </w:rPr>
        <w:t>fumus persecutionis</w:t>
      </w:r>
      <w:r w:rsidRPr="007542B0">
        <w:t xml:space="preserve">, </w:t>
      </w:r>
      <w:r w:rsidR="00F76356" w:rsidRPr="007542B0">
        <w:t>kar pomeni dejstva</w:t>
      </w:r>
      <w:r w:rsidRPr="007542B0">
        <w:t xml:space="preserve">, ki </w:t>
      </w:r>
      <w:r w:rsidR="00F76356" w:rsidRPr="007542B0">
        <w:t>kažejo</w:t>
      </w:r>
      <w:r w:rsidRPr="007542B0">
        <w:t>, da je bil namen sodnega postopka škodovati politični dejavnosti poslanca pri opravljanju funkcije poslanca Evropskega parlamenta;</w:t>
      </w:r>
    </w:p>
    <w:p w14:paraId="2A09D25C" w14:textId="05CE0304" w:rsidR="00101649" w:rsidRPr="007542B0" w:rsidRDefault="00101649" w:rsidP="00101649">
      <w:pPr>
        <w:pStyle w:val="NormalHanging12a"/>
      </w:pPr>
      <w:r w:rsidRPr="007542B0">
        <w:t>L.</w:t>
      </w:r>
      <w:r w:rsidRPr="007542B0">
        <w:tab/>
        <w:t>ker Parlamenta ni mogoče enačiti s sodiščem in ker poslanec v zvezi s postopkom za odvzem imunitete ne sme biti obravnavan kot obtoženec</w:t>
      </w:r>
      <w:r w:rsidRPr="007542B0">
        <w:rPr>
          <w:vertAlign w:val="superscript"/>
        </w:rPr>
        <w:footnoteReference w:id="3"/>
      </w:r>
      <w:r w:rsidRPr="007542B0">
        <w:t>;</w:t>
      </w:r>
    </w:p>
    <w:p w14:paraId="55D7E218" w14:textId="4C419343" w:rsidR="00101649" w:rsidRPr="007542B0" w:rsidRDefault="00101649" w:rsidP="00101649">
      <w:pPr>
        <w:pStyle w:val="NormalHanging12a"/>
      </w:pPr>
      <w:r w:rsidRPr="007542B0">
        <w:t>1.</w:t>
      </w:r>
      <w:r w:rsidRPr="007542B0">
        <w:tab/>
      </w:r>
      <w:r w:rsidR="003B177F" w:rsidRPr="007542B0">
        <w:t>sklene</w:t>
      </w:r>
      <w:r w:rsidRPr="007542B0">
        <w:t xml:space="preserve">, da </w:t>
      </w:r>
      <w:r w:rsidR="003B177F" w:rsidRPr="007542B0">
        <w:t xml:space="preserve">se </w:t>
      </w:r>
      <w:r w:rsidRPr="007542B0">
        <w:t>Petru Bystronu</w:t>
      </w:r>
      <w:r w:rsidR="003B177F" w:rsidRPr="007542B0">
        <w:t xml:space="preserve"> odvzame imuniteta</w:t>
      </w:r>
      <w:r w:rsidRPr="007542B0">
        <w:t>;</w:t>
      </w:r>
    </w:p>
    <w:p w14:paraId="5609A848" w14:textId="77777777" w:rsidR="00E365E1" w:rsidRPr="007542B0" w:rsidRDefault="00101649" w:rsidP="000551AF">
      <w:pPr>
        <w:pStyle w:val="NormalHanging12a"/>
      </w:pPr>
      <w:r w:rsidRPr="007542B0">
        <w:t>2.</w:t>
      </w:r>
      <w:r w:rsidRPr="007542B0">
        <w:tab/>
        <w:t>naroči svoji predsednici, naj ta sklep in poročilo pristojnega odbora nemudoma posreduje pristojnemu organu Zvezne republike Nemčije in Petru Bystronu.</w:t>
      </w:r>
    </w:p>
    <w:sectPr w:rsidR="00E365E1" w:rsidRPr="007542B0" w:rsidSect="00A75AF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9E0D4" w14:textId="77777777" w:rsidR="00FA385A" w:rsidRPr="00A75AF7" w:rsidRDefault="00FA385A">
      <w:r w:rsidRPr="00A75AF7">
        <w:separator/>
      </w:r>
    </w:p>
  </w:endnote>
  <w:endnote w:type="continuationSeparator" w:id="0">
    <w:p w14:paraId="2466CFBE" w14:textId="77777777" w:rsidR="00FA385A" w:rsidRPr="00A75AF7" w:rsidRDefault="00FA385A">
      <w:r w:rsidRPr="00A75A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481C" w14:textId="77777777" w:rsidR="00064002" w:rsidRPr="00A75AF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B0EE5" w14:textId="77777777" w:rsidR="00064002" w:rsidRPr="00A75AF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09511" w14:textId="77777777" w:rsidR="00064002" w:rsidRPr="00A75A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D63AE" w14:textId="77777777" w:rsidR="00FA385A" w:rsidRPr="00A75AF7" w:rsidRDefault="00FA385A">
      <w:r w:rsidRPr="00A75AF7">
        <w:separator/>
      </w:r>
    </w:p>
  </w:footnote>
  <w:footnote w:type="continuationSeparator" w:id="0">
    <w:p w14:paraId="6E09A5C9" w14:textId="77777777" w:rsidR="00FA385A" w:rsidRPr="00A75AF7" w:rsidRDefault="00FA385A">
      <w:r w:rsidRPr="00A75AF7">
        <w:continuationSeparator/>
      </w:r>
    </w:p>
  </w:footnote>
  <w:footnote w:id="1">
    <w:p w14:paraId="023369C0" w14:textId="7ACD2501" w:rsidR="00101649" w:rsidRPr="00A75AF7" w:rsidRDefault="00101649" w:rsidP="00A75AF7">
      <w:pPr>
        <w:pStyle w:val="FootnoteText"/>
        <w:ind w:left="567" w:hanging="567"/>
        <w:rPr>
          <w:sz w:val="24"/>
          <w:lang w:val="sl-SI"/>
        </w:rPr>
      </w:pPr>
      <w:r w:rsidRPr="00A75AF7">
        <w:rPr>
          <w:rStyle w:val="FootnoteReference"/>
          <w:sz w:val="24"/>
          <w:lang w:val="sl-SI"/>
        </w:rPr>
        <w:footnoteRef/>
      </w:r>
      <w:r w:rsidR="00A75AF7" w:rsidRPr="00A75AF7">
        <w:rPr>
          <w:sz w:val="24"/>
          <w:lang w:val="sl-SI"/>
        </w:rPr>
        <w:t xml:space="preserve"> </w:t>
      </w:r>
      <w:r w:rsidR="00A75AF7" w:rsidRPr="00A75AF7">
        <w:rPr>
          <w:sz w:val="24"/>
          <w:lang w:val="sl-SI"/>
        </w:rPr>
        <w:tab/>
      </w:r>
      <w:r w:rsidRPr="00A75AF7">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 EU:C:2011:543; sodba Splošnega sodišča z dne 17. januarja 2013 Gollnisch/Parlament, T-346/11 in T-347/11, ECLI:EU:T:2013:23; sodba Sodišča z dne 19. decembra 2019 Junqueras Vies, C-502/19, ECLI:EU:C:2019:1115; sodba Splošnega sodišča z dne 5. julija 2023 Puigdemont i Casamajó in drugi/CEPOL, T-272/21/P, ECLI:EU:T:2018:373.</w:t>
      </w:r>
    </w:p>
  </w:footnote>
  <w:footnote w:id="2">
    <w:p w14:paraId="096CAB1E" w14:textId="643B5AD3" w:rsidR="00101649" w:rsidRPr="00A75AF7" w:rsidRDefault="00101649" w:rsidP="00A75AF7">
      <w:pPr>
        <w:pStyle w:val="FootnoteText"/>
        <w:ind w:left="567" w:hanging="567"/>
        <w:rPr>
          <w:sz w:val="24"/>
          <w:lang w:val="sl-SI"/>
        </w:rPr>
      </w:pPr>
      <w:r w:rsidRPr="00A75AF7">
        <w:rPr>
          <w:rStyle w:val="FootnoteReference"/>
          <w:sz w:val="24"/>
          <w:lang w:val="sl-SI"/>
        </w:rPr>
        <w:footnoteRef/>
      </w:r>
      <w:r w:rsidR="00A75AF7" w:rsidRPr="00A75AF7">
        <w:rPr>
          <w:sz w:val="24"/>
          <w:lang w:val="sl-SI"/>
        </w:rPr>
        <w:t xml:space="preserve"> </w:t>
      </w:r>
      <w:r w:rsidR="00A75AF7" w:rsidRPr="00A75AF7">
        <w:rPr>
          <w:sz w:val="24"/>
          <w:lang w:val="sl-SI"/>
        </w:rPr>
        <w:tab/>
      </w:r>
      <w:r w:rsidR="008641B6">
        <w:rPr>
          <w:sz w:val="24"/>
          <w:lang w:val="sl-SI"/>
        </w:rPr>
        <w:t>Slovenski</w:t>
      </w:r>
      <w:r w:rsidRPr="00A75AF7">
        <w:rPr>
          <w:sz w:val="24"/>
          <w:lang w:val="sl-SI"/>
        </w:rPr>
        <w:t xml:space="preserve"> prevod izvirnika.</w:t>
      </w:r>
    </w:p>
  </w:footnote>
  <w:footnote w:id="3">
    <w:p w14:paraId="28ED5281" w14:textId="77777777" w:rsidR="00101649" w:rsidRPr="00A75AF7" w:rsidRDefault="00101649" w:rsidP="00A75AF7">
      <w:pPr>
        <w:pStyle w:val="FootnoteText"/>
        <w:ind w:left="567" w:hanging="567"/>
        <w:rPr>
          <w:sz w:val="24"/>
          <w:lang w:val="sl-SI"/>
        </w:rPr>
      </w:pPr>
      <w:r w:rsidRPr="00A75AF7">
        <w:rPr>
          <w:rStyle w:val="FootnoteReference"/>
          <w:sz w:val="24"/>
          <w:lang w:val="sl-SI"/>
        </w:rPr>
        <w:footnoteRef/>
      </w:r>
      <w:r w:rsidR="00A75AF7" w:rsidRPr="00A75AF7">
        <w:rPr>
          <w:sz w:val="24"/>
          <w:lang w:val="sl-SI"/>
        </w:rPr>
        <w:t xml:space="preserve"> </w:t>
      </w:r>
      <w:r w:rsidR="00A75AF7" w:rsidRPr="00A75AF7">
        <w:rPr>
          <w:sz w:val="24"/>
          <w:lang w:val="sl-SI"/>
        </w:rPr>
        <w:tab/>
      </w:r>
      <w:r w:rsidRPr="00A75AF7">
        <w:rPr>
          <w:sz w:val="24"/>
          <w:lang w:val="sl-SI"/>
        </w:rPr>
        <w:t>Sodba Sodišča z dne 30. aprila 2019 v zadevi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C266" w14:textId="77777777" w:rsidR="00064002" w:rsidRPr="00A75A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0FA52" w14:textId="77777777" w:rsidR="00064002" w:rsidRPr="00A75A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C4037" w14:textId="77777777" w:rsidR="00064002" w:rsidRPr="00A75A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743476">
    <w:abstractNumId w:val="9"/>
  </w:num>
  <w:num w:numId="2" w16cid:durableId="1142581079">
    <w:abstractNumId w:val="9"/>
  </w:num>
  <w:num w:numId="3" w16cid:durableId="1747533674">
    <w:abstractNumId w:val="7"/>
  </w:num>
  <w:num w:numId="4" w16cid:durableId="593903161">
    <w:abstractNumId w:val="7"/>
  </w:num>
  <w:num w:numId="5" w16cid:durableId="1155338772">
    <w:abstractNumId w:val="6"/>
  </w:num>
  <w:num w:numId="6" w16cid:durableId="732653581">
    <w:abstractNumId w:val="6"/>
  </w:num>
  <w:num w:numId="7" w16cid:durableId="318728618">
    <w:abstractNumId w:val="5"/>
  </w:num>
  <w:num w:numId="8" w16cid:durableId="1254513485">
    <w:abstractNumId w:val="5"/>
  </w:num>
  <w:num w:numId="9" w16cid:durableId="1216047305">
    <w:abstractNumId w:val="4"/>
  </w:num>
  <w:num w:numId="10" w16cid:durableId="1493837105">
    <w:abstractNumId w:val="4"/>
  </w:num>
  <w:num w:numId="11" w16cid:durableId="1888836436">
    <w:abstractNumId w:val="8"/>
  </w:num>
  <w:num w:numId="12" w16cid:durableId="880434818">
    <w:abstractNumId w:val="8"/>
  </w:num>
  <w:num w:numId="13" w16cid:durableId="1881017316">
    <w:abstractNumId w:val="3"/>
  </w:num>
  <w:num w:numId="14" w16cid:durableId="225921280">
    <w:abstractNumId w:val="3"/>
  </w:num>
  <w:num w:numId="15" w16cid:durableId="758989447">
    <w:abstractNumId w:val="2"/>
  </w:num>
  <w:num w:numId="16" w16cid:durableId="1295480271">
    <w:abstractNumId w:val="2"/>
  </w:num>
  <w:num w:numId="17" w16cid:durableId="1075591208">
    <w:abstractNumId w:val="1"/>
  </w:num>
  <w:num w:numId="18" w16cid:durableId="938683946">
    <w:abstractNumId w:val="1"/>
  </w:num>
  <w:num w:numId="19" w16cid:durableId="1118916111">
    <w:abstractNumId w:val="0"/>
  </w:num>
  <w:num w:numId="20" w16cid:durableId="701789905">
    <w:abstractNumId w:val="0"/>
  </w:num>
  <w:num w:numId="21" w16cid:durableId="916329030">
    <w:abstractNumId w:val="9"/>
  </w:num>
  <w:num w:numId="22" w16cid:durableId="1026833896">
    <w:abstractNumId w:val="7"/>
  </w:num>
  <w:num w:numId="23" w16cid:durableId="992756616">
    <w:abstractNumId w:val="6"/>
  </w:num>
  <w:num w:numId="24" w16cid:durableId="324238976">
    <w:abstractNumId w:val="5"/>
  </w:num>
  <w:num w:numId="25" w16cid:durableId="1106271703">
    <w:abstractNumId w:val="4"/>
  </w:num>
  <w:num w:numId="26" w16cid:durableId="2028021050">
    <w:abstractNumId w:val="8"/>
  </w:num>
  <w:num w:numId="27" w16cid:durableId="1825924322">
    <w:abstractNumId w:val="3"/>
  </w:num>
  <w:num w:numId="28" w16cid:durableId="767774850">
    <w:abstractNumId w:val="2"/>
  </w:num>
  <w:num w:numId="29" w16cid:durableId="1775829082">
    <w:abstractNumId w:val="1"/>
  </w:num>
  <w:num w:numId="30" w16cid:durableId="1608074089">
    <w:abstractNumId w:val="0"/>
  </w:num>
  <w:num w:numId="31" w16cid:durableId="654532659">
    <w:abstractNumId w:val="9"/>
  </w:num>
  <w:num w:numId="32" w16cid:durableId="503594409">
    <w:abstractNumId w:val="7"/>
  </w:num>
  <w:num w:numId="33" w16cid:durableId="680666027">
    <w:abstractNumId w:val="6"/>
  </w:num>
  <w:num w:numId="34" w16cid:durableId="413360500">
    <w:abstractNumId w:val="5"/>
  </w:num>
  <w:num w:numId="35" w16cid:durableId="1450514228">
    <w:abstractNumId w:val="4"/>
  </w:num>
  <w:num w:numId="36" w16cid:durableId="897012254">
    <w:abstractNumId w:val="8"/>
  </w:num>
  <w:num w:numId="37" w16cid:durableId="1086196050">
    <w:abstractNumId w:val="3"/>
  </w:num>
  <w:num w:numId="38" w16cid:durableId="1541281014">
    <w:abstractNumId w:val="2"/>
  </w:num>
  <w:num w:numId="39" w16cid:durableId="1803883703">
    <w:abstractNumId w:val="1"/>
  </w:num>
  <w:num w:numId="40" w16cid:durableId="1410495710">
    <w:abstractNumId w:val="0"/>
  </w:num>
  <w:num w:numId="41" w16cid:durableId="583608059">
    <w:abstractNumId w:val="10"/>
  </w:num>
  <w:num w:numId="42" w16cid:durableId="1710912634">
    <w:abstractNumId w:val="10"/>
  </w:num>
  <w:num w:numId="43" w16cid:durableId="1881701315">
    <w:abstractNumId w:val="10"/>
  </w:num>
  <w:num w:numId="44" w16cid:durableId="1938557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0/2025"/>
    <w:docVar w:name="dvlangue" w:val="SL"/>
    <w:docVar w:name="dvnumam" w:val="0"/>
    <w:docVar w:name="dvpe" w:val="766.948"/>
    <w:docVar w:name="dvrapporteur" w:val="Poročevalec: "/>
    <w:docVar w:name="dvtitre" w:val="Sklep Evropskega parlamenta z dne … 2025 o zahtevi za odvzem imunitete Petru Bystronu(2024/2048(IMM))"/>
  </w:docVars>
  <w:rsids>
    <w:rsidRoot w:val="00FA385A"/>
    <w:rsid w:val="00002272"/>
    <w:rsid w:val="000551AF"/>
    <w:rsid w:val="00064002"/>
    <w:rsid w:val="00066BC6"/>
    <w:rsid w:val="000677B9"/>
    <w:rsid w:val="000831BA"/>
    <w:rsid w:val="000A42CC"/>
    <w:rsid w:val="000E7DD9"/>
    <w:rsid w:val="0010095E"/>
    <w:rsid w:val="00101649"/>
    <w:rsid w:val="00125B37"/>
    <w:rsid w:val="00187494"/>
    <w:rsid w:val="001F32AE"/>
    <w:rsid w:val="00271BAB"/>
    <w:rsid w:val="002767FF"/>
    <w:rsid w:val="002B18FE"/>
    <w:rsid w:val="002B5493"/>
    <w:rsid w:val="00343214"/>
    <w:rsid w:val="00361C00"/>
    <w:rsid w:val="00395FA1"/>
    <w:rsid w:val="003B177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BFD"/>
    <w:rsid w:val="005B2B56"/>
    <w:rsid w:val="005C2568"/>
    <w:rsid w:val="005F1B17"/>
    <w:rsid w:val="006037C0"/>
    <w:rsid w:val="006441D1"/>
    <w:rsid w:val="006631B6"/>
    <w:rsid w:val="00680577"/>
    <w:rsid w:val="006F74FA"/>
    <w:rsid w:val="00722AC6"/>
    <w:rsid w:val="00731ADD"/>
    <w:rsid w:val="00734777"/>
    <w:rsid w:val="00747932"/>
    <w:rsid w:val="00751A4A"/>
    <w:rsid w:val="007542B0"/>
    <w:rsid w:val="00756632"/>
    <w:rsid w:val="00762C74"/>
    <w:rsid w:val="00786EC0"/>
    <w:rsid w:val="007D1690"/>
    <w:rsid w:val="007E22AD"/>
    <w:rsid w:val="00817416"/>
    <w:rsid w:val="00842779"/>
    <w:rsid w:val="008641B6"/>
    <w:rsid w:val="00865F67"/>
    <w:rsid w:val="00881A7B"/>
    <w:rsid w:val="008840E5"/>
    <w:rsid w:val="00887B3E"/>
    <w:rsid w:val="008C2AC6"/>
    <w:rsid w:val="00930C23"/>
    <w:rsid w:val="0093193B"/>
    <w:rsid w:val="009509D8"/>
    <w:rsid w:val="00950B64"/>
    <w:rsid w:val="00981893"/>
    <w:rsid w:val="009D2594"/>
    <w:rsid w:val="00A1687D"/>
    <w:rsid w:val="00A43E52"/>
    <w:rsid w:val="00A4678D"/>
    <w:rsid w:val="00A75AF7"/>
    <w:rsid w:val="00A778C7"/>
    <w:rsid w:val="00AB441E"/>
    <w:rsid w:val="00AB6293"/>
    <w:rsid w:val="00AE0928"/>
    <w:rsid w:val="00AF3B82"/>
    <w:rsid w:val="00B12E95"/>
    <w:rsid w:val="00B22876"/>
    <w:rsid w:val="00B2641F"/>
    <w:rsid w:val="00B558F0"/>
    <w:rsid w:val="00B774F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356"/>
    <w:rsid w:val="00F87713"/>
    <w:rsid w:val="00FA385A"/>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410B2"/>
  <w15:chartTrackingRefBased/>
  <w15:docId w15:val="{DFE52719-2EEE-421E-B588-2FD35F7D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1649"/>
    <w:pPr>
      <w:spacing w:after="240"/>
      <w:ind w:left="567" w:hanging="567"/>
    </w:pPr>
  </w:style>
  <w:style w:type="paragraph" w:customStyle="1" w:styleId="EPComma">
    <w:name w:val="EPComma"/>
    <w:basedOn w:val="Normal"/>
    <w:rsid w:val="00101649"/>
    <w:pPr>
      <w:spacing w:before="480" w:after="240"/>
    </w:pPr>
  </w:style>
  <w:style w:type="paragraph" w:styleId="BalloonText">
    <w:name w:val="Balloon Text"/>
    <w:basedOn w:val="Normal"/>
    <w:link w:val="BalloonTextChar"/>
    <w:rsid w:val="003B177F"/>
    <w:rPr>
      <w:rFonts w:ascii="Segoe UI" w:hAnsi="Segoe UI" w:cs="Segoe UI"/>
      <w:sz w:val="18"/>
      <w:szCs w:val="18"/>
    </w:rPr>
  </w:style>
  <w:style w:type="character" w:customStyle="1" w:styleId="BalloonTextChar">
    <w:name w:val="Balloon Text Char"/>
    <w:basedOn w:val="DefaultParagraphFont"/>
    <w:link w:val="BalloonText"/>
    <w:rsid w:val="003B177F"/>
    <w:rPr>
      <w:rFonts w:ascii="Segoe UI" w:hAnsi="Segoe UI" w:cs="Segoe UI"/>
      <w:sz w:val="18"/>
      <w:szCs w:val="18"/>
      <w:lang w:val="sl-SI"/>
    </w:rPr>
  </w:style>
  <w:style w:type="character" w:styleId="CommentReference">
    <w:name w:val="annotation reference"/>
    <w:basedOn w:val="DefaultParagraphFont"/>
    <w:rsid w:val="003B177F"/>
    <w:rPr>
      <w:sz w:val="16"/>
      <w:szCs w:val="16"/>
    </w:rPr>
  </w:style>
  <w:style w:type="paragraph" w:styleId="CommentText">
    <w:name w:val="annotation text"/>
    <w:basedOn w:val="Normal"/>
    <w:link w:val="CommentTextChar"/>
    <w:rsid w:val="003B177F"/>
    <w:rPr>
      <w:sz w:val="20"/>
    </w:rPr>
  </w:style>
  <w:style w:type="character" w:customStyle="1" w:styleId="CommentTextChar">
    <w:name w:val="Comment Text Char"/>
    <w:basedOn w:val="DefaultParagraphFont"/>
    <w:link w:val="CommentText"/>
    <w:rsid w:val="003B177F"/>
    <w:rPr>
      <w:lang w:val="sl-SI"/>
    </w:rPr>
  </w:style>
  <w:style w:type="paragraph" w:styleId="CommentSubject">
    <w:name w:val="annotation subject"/>
    <w:basedOn w:val="CommentText"/>
    <w:next w:val="CommentText"/>
    <w:link w:val="CommentSubjectChar"/>
    <w:rsid w:val="003B177F"/>
    <w:rPr>
      <w:b/>
      <w:bCs/>
    </w:rPr>
  </w:style>
  <w:style w:type="character" w:customStyle="1" w:styleId="CommentSubjectChar">
    <w:name w:val="Comment Subject Char"/>
    <w:basedOn w:val="CommentTextChar"/>
    <w:link w:val="CommentSubject"/>
    <w:rsid w:val="003B177F"/>
    <w:rPr>
      <w:b/>
      <w:bCs/>
      <w:lang w:val="sl-SI"/>
    </w:rPr>
  </w:style>
  <w:style w:type="paragraph" w:styleId="BodyText">
    <w:name w:val="Body Text"/>
    <w:basedOn w:val="Normal"/>
    <w:link w:val="BodyTextChar"/>
    <w:rsid w:val="00B774F1"/>
    <w:pPr>
      <w:widowControl/>
      <w:tabs>
        <w:tab w:val="left" w:pos="-774"/>
        <w:tab w:val="left" w:pos="-114"/>
        <w:tab w:val="left" w:pos="283"/>
        <w:tab w:val="left" w:pos="645"/>
        <w:tab w:val="left" w:pos="849"/>
        <w:tab w:val="left" w:pos="1021"/>
        <w:tab w:val="left" w:pos="1132"/>
        <w:tab w:val="left" w:pos="1416"/>
        <w:tab w:val="left" w:pos="1700"/>
        <w:tab w:val="left" w:pos="1786"/>
        <w:tab w:val="left" w:pos="2381"/>
        <w:tab w:val="left" w:pos="2445"/>
        <w:tab w:val="left" w:pos="2948"/>
        <w:tab w:val="left" w:pos="3045"/>
        <w:tab w:val="left" w:pos="3572"/>
        <w:tab w:val="left" w:pos="3645"/>
        <w:tab w:val="left" w:pos="4139"/>
        <w:tab w:val="left" w:pos="4245"/>
        <w:tab w:val="left" w:pos="4763"/>
        <w:tab w:val="left" w:pos="4845"/>
        <w:tab w:val="left" w:pos="5387"/>
        <w:tab w:val="left" w:pos="5445"/>
        <w:tab w:val="left" w:pos="5668"/>
        <w:tab w:val="left" w:pos="5952"/>
        <w:tab w:val="left" w:pos="6235"/>
        <w:tab w:val="left" w:pos="6518"/>
        <w:tab w:val="left" w:pos="6577"/>
        <w:tab w:val="left" w:pos="7144"/>
        <w:tab w:val="left" w:pos="7245"/>
        <w:tab w:val="left" w:pos="7845"/>
        <w:tab w:val="left" w:pos="8445"/>
        <w:tab w:val="left" w:pos="9045"/>
      </w:tabs>
    </w:pPr>
    <w:rPr>
      <w:b/>
    </w:rPr>
  </w:style>
  <w:style w:type="character" w:customStyle="1" w:styleId="BodyTextChar">
    <w:name w:val="Body Text Char"/>
    <w:basedOn w:val="DefaultParagraphFont"/>
    <w:link w:val="BodyText"/>
    <w:rsid w:val="00B774F1"/>
    <w:rPr>
      <w:b/>
      <w:sz w:val="24"/>
      <w:lang w:val="sl-SI"/>
    </w:rPr>
  </w:style>
  <w:style w:type="character" w:styleId="Hyperlink">
    <w:name w:val="Hyperlink"/>
    <w:basedOn w:val="DefaultParagraphFont"/>
    <w:rsid w:val="00B774F1"/>
    <w:rPr>
      <w:color w:val="0563C1" w:themeColor="hyperlink"/>
      <w:u w:val="single"/>
    </w:rPr>
  </w:style>
  <w:style w:type="character" w:styleId="FollowedHyperlink">
    <w:name w:val="FollowedHyperlink"/>
    <w:basedOn w:val="DefaultParagraphFont"/>
    <w:rsid w:val="00722A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C7A84-4A53-4669-9A13-4CBD7899D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4537</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2025-06-30T14:10:00Z</dcterms:created>
  <dcterms:modified xsi:type="dcterms:W3CDTF">2025-06-30T14:10:00Z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A10-0030/2025</vt:lpwstr>
  </property>
  <property fmtid="{D5CDD505-2E9C-101B-9397-08002B2CF9AE}" pid="4" name="&lt;Type&gt;">
    <vt:lpwstr>RR</vt:lpwstr>
  </property>
</Properties>
</file>