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351A" w14:paraId="09CE2A3E" w14:textId="77777777" w:rsidTr="0010095E">
        <w:trPr>
          <w:trHeight w:hRule="exact" w:val="1418"/>
        </w:trPr>
        <w:tc>
          <w:tcPr>
            <w:tcW w:w="6804" w:type="dxa"/>
            <w:shd w:val="clear" w:color="auto" w:fill="auto"/>
            <w:vAlign w:val="center"/>
          </w:tcPr>
          <w:p w14:paraId="03496D79" w14:textId="77777777" w:rsidR="00751A4A" w:rsidRPr="0056351A" w:rsidRDefault="00136FD4" w:rsidP="0010095E">
            <w:pPr>
              <w:pStyle w:val="EPName"/>
            </w:pPr>
            <w:r w:rsidRPr="0056351A">
              <w:t>Parlement européen</w:t>
            </w:r>
          </w:p>
          <w:p w14:paraId="32F97BFF" w14:textId="77777777" w:rsidR="00751A4A" w:rsidRPr="0056351A" w:rsidRDefault="005F1B17" w:rsidP="005F1B17">
            <w:pPr>
              <w:pStyle w:val="EPTerm"/>
              <w:rPr>
                <w:rStyle w:val="HideTWBExt"/>
                <w:noProof w:val="0"/>
                <w:vanish w:val="0"/>
                <w:color w:val="auto"/>
              </w:rPr>
            </w:pPr>
            <w:r w:rsidRPr="0056351A">
              <w:t>2024</w:t>
            </w:r>
            <w:r w:rsidR="00817416" w:rsidRPr="0056351A">
              <w:t>-202</w:t>
            </w:r>
            <w:r w:rsidRPr="0056351A">
              <w:t>9</w:t>
            </w:r>
          </w:p>
        </w:tc>
        <w:tc>
          <w:tcPr>
            <w:tcW w:w="2268" w:type="dxa"/>
            <w:shd w:val="clear" w:color="auto" w:fill="auto"/>
          </w:tcPr>
          <w:p w14:paraId="2816B298" w14:textId="77777777" w:rsidR="00751A4A" w:rsidRPr="0056351A" w:rsidRDefault="00187494" w:rsidP="0010095E">
            <w:pPr>
              <w:pStyle w:val="EPLogo"/>
            </w:pPr>
            <w:r w:rsidRPr="0056351A">
              <w:rPr>
                <w:noProof/>
                <w:lang w:val="en-GB"/>
              </w:rPr>
              <w:drawing>
                <wp:inline distT="0" distB="0" distL="0" distR="0" wp14:anchorId="0379ED3B" wp14:editId="778E98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3748C4" w14:textId="77777777" w:rsidR="00D058B8" w:rsidRPr="0056351A" w:rsidRDefault="00D058B8" w:rsidP="004C5D52">
      <w:pPr>
        <w:pStyle w:val="LineTop"/>
      </w:pPr>
    </w:p>
    <w:p w14:paraId="74EF628A" w14:textId="77777777" w:rsidR="00680577" w:rsidRPr="0056351A" w:rsidRDefault="00136FD4" w:rsidP="00680577">
      <w:pPr>
        <w:pStyle w:val="EPBodyTA1"/>
      </w:pPr>
      <w:r w:rsidRPr="0056351A">
        <w:t>TEXTES ADOPTÉS</w:t>
      </w:r>
    </w:p>
    <w:p w14:paraId="1EA43215" w14:textId="77777777" w:rsidR="00D058B8" w:rsidRPr="0056351A" w:rsidRDefault="00D058B8" w:rsidP="00D058B8">
      <w:pPr>
        <w:pStyle w:val="LineBottom"/>
      </w:pPr>
    </w:p>
    <w:p w14:paraId="1C22237A" w14:textId="3705239E" w:rsidR="00136FD4" w:rsidRPr="0056351A" w:rsidRDefault="007A6403" w:rsidP="00136FD4">
      <w:pPr>
        <w:pStyle w:val="ATHeading1"/>
      </w:pPr>
      <w:bookmarkStart w:id="0" w:name="TANumber"/>
      <w:r>
        <w:t>P10_TA(2025)0042</w:t>
      </w:r>
      <w:bookmarkStart w:id="1" w:name="_GoBack"/>
      <w:bookmarkEnd w:id="0"/>
      <w:bookmarkEnd w:id="1"/>
    </w:p>
    <w:p w14:paraId="64B7BC9C" w14:textId="77777777" w:rsidR="00136FD4" w:rsidRPr="0056351A" w:rsidRDefault="00136FD4" w:rsidP="00136FD4">
      <w:pPr>
        <w:pStyle w:val="ATHeading2"/>
      </w:pPr>
      <w:bookmarkStart w:id="2" w:name="title"/>
      <w:r w:rsidRPr="0056351A">
        <w:t>Demande de levée de l’immunité de Maciej Wąsik</w:t>
      </w:r>
      <w:bookmarkEnd w:id="2"/>
    </w:p>
    <w:p w14:paraId="77CB9CD6" w14:textId="77777777" w:rsidR="00136FD4" w:rsidRPr="0056351A" w:rsidRDefault="00136FD4" w:rsidP="00136FD4">
      <w:pPr>
        <w:rPr>
          <w:i/>
          <w:vanish/>
        </w:rPr>
      </w:pPr>
      <w:r w:rsidRPr="0056351A">
        <w:rPr>
          <w:i/>
        </w:rPr>
        <w:fldChar w:fldCharType="begin"/>
      </w:r>
      <w:r w:rsidRPr="0056351A">
        <w:rPr>
          <w:i/>
        </w:rPr>
        <w:instrText xml:space="preserve"> TC"(</w:instrText>
      </w:r>
      <w:bookmarkStart w:id="3" w:name="DocNumber"/>
      <w:r w:rsidRPr="0056351A">
        <w:rPr>
          <w:i/>
        </w:rPr>
        <w:instrText>A10-0031/2025</w:instrText>
      </w:r>
      <w:bookmarkEnd w:id="3"/>
      <w:r w:rsidRPr="0056351A">
        <w:rPr>
          <w:i/>
        </w:rPr>
        <w:instrText xml:space="preserve"> - Rapporteur: Mario Furore)"\l3 \n&gt; \* MERGEFORMAT </w:instrText>
      </w:r>
      <w:r w:rsidRPr="0056351A">
        <w:rPr>
          <w:i/>
        </w:rPr>
        <w:fldChar w:fldCharType="end"/>
      </w:r>
    </w:p>
    <w:p w14:paraId="594CBAB9" w14:textId="77777777" w:rsidR="00136FD4" w:rsidRPr="0056351A" w:rsidRDefault="00136FD4" w:rsidP="00136FD4">
      <w:pPr>
        <w:rPr>
          <w:vanish/>
        </w:rPr>
      </w:pPr>
      <w:bookmarkStart w:id="4" w:name="Commission"/>
      <w:r w:rsidRPr="0056351A">
        <w:rPr>
          <w:vanish/>
        </w:rPr>
        <w:t>Commission des affaires juridiques</w:t>
      </w:r>
      <w:bookmarkEnd w:id="4"/>
    </w:p>
    <w:p w14:paraId="6FA42425" w14:textId="77777777" w:rsidR="00136FD4" w:rsidRPr="0056351A" w:rsidRDefault="00136FD4" w:rsidP="00136FD4">
      <w:pPr>
        <w:rPr>
          <w:vanish/>
        </w:rPr>
      </w:pPr>
      <w:bookmarkStart w:id="5" w:name="PE"/>
      <w:r w:rsidRPr="0056351A">
        <w:rPr>
          <w:vanish/>
        </w:rPr>
        <w:t>PE766.695</w:t>
      </w:r>
      <w:bookmarkEnd w:id="5"/>
    </w:p>
    <w:p w14:paraId="070B9096" w14:textId="77777777" w:rsidR="00136FD4" w:rsidRPr="0056351A" w:rsidRDefault="00136FD4" w:rsidP="00136FD4">
      <w:pPr>
        <w:pStyle w:val="ATHeading3"/>
      </w:pPr>
      <w:bookmarkStart w:id="6" w:name="Sujet"/>
      <w:r w:rsidRPr="0056351A">
        <w:t>Déc</w:t>
      </w:r>
      <w:r w:rsidR="00177B0E">
        <w:t>ision du Parlement européen du 1</w:t>
      </w:r>
      <w:r w:rsidR="00177B0E" w:rsidRPr="00177B0E">
        <w:rPr>
          <w:vertAlign w:val="superscript"/>
        </w:rPr>
        <w:t>er</w:t>
      </w:r>
      <w:r w:rsidR="00177B0E">
        <w:t xml:space="preserve"> avril</w:t>
      </w:r>
      <w:r w:rsidRPr="0056351A">
        <w:t xml:space="preserve"> 2025 sur la demande de levée de l’immunité de Maciej Wąsik</w:t>
      </w:r>
      <w:bookmarkEnd w:id="6"/>
      <w:r w:rsidRPr="0056351A">
        <w:t xml:space="preserve"> </w:t>
      </w:r>
      <w:bookmarkStart w:id="7" w:name="References"/>
      <w:r w:rsidRPr="0056351A">
        <w:t>(2024/2043(IMM))</w:t>
      </w:r>
      <w:bookmarkEnd w:id="7"/>
    </w:p>
    <w:p w14:paraId="61B688C2" w14:textId="77777777" w:rsidR="006A4E05" w:rsidRPr="0056351A" w:rsidRDefault="006A4E05" w:rsidP="006A4E05">
      <w:pPr>
        <w:pStyle w:val="EPComma"/>
      </w:pPr>
      <w:bookmarkStart w:id="8" w:name="TextBodyBegin"/>
      <w:bookmarkEnd w:id="8"/>
      <w:r w:rsidRPr="0056351A">
        <w:rPr>
          <w:i/>
        </w:rPr>
        <w:t>Le Parlement européen</w:t>
      </w:r>
      <w:r w:rsidRPr="0056351A">
        <w:t>,</w:t>
      </w:r>
    </w:p>
    <w:p w14:paraId="32A95225" w14:textId="4B1D554B" w:rsidR="006A4E05" w:rsidRPr="0056351A" w:rsidRDefault="006A4E05" w:rsidP="00177B0E">
      <w:pPr>
        <w:pStyle w:val="NormalHanging12a"/>
      </w:pPr>
      <w:r w:rsidRPr="0056351A">
        <w:t>–</w:t>
      </w:r>
      <w:r w:rsidRPr="0056351A">
        <w:tab/>
        <w:t xml:space="preserve">vu la demande de levée de l’immunité de Maciej Wąsik, </w:t>
      </w:r>
      <w:r w:rsidR="00EB2C61">
        <w:t>datée</w:t>
      </w:r>
      <w:r w:rsidRPr="0056351A">
        <w:t xml:space="preserve"> du 29 juillet 2024</w:t>
      </w:r>
      <w:r w:rsidR="00EB2C61">
        <w:t>,</w:t>
      </w:r>
      <w:r w:rsidRPr="0056351A">
        <w:t xml:space="preserve"> </w:t>
      </w:r>
      <w:r w:rsidR="00EB2C61">
        <w:t>du</w:t>
      </w:r>
      <w:r w:rsidRPr="0056351A">
        <w:t xml:space="preserve"> procureur général de la République de Pologne, transmettant une demande présentée par le parquet régional de Varsovie en liaison avec la procédure pénale engagée contre Maciej Wąsik, et communiquée en séance plénière le 16 septembre 2024,</w:t>
      </w:r>
    </w:p>
    <w:p w14:paraId="24C11CDA" w14:textId="77777777" w:rsidR="006A4E05" w:rsidRPr="0056351A" w:rsidRDefault="006A4E05" w:rsidP="00177B0E">
      <w:pPr>
        <w:pStyle w:val="NormalHanging12a"/>
      </w:pPr>
      <w:r w:rsidRPr="0056351A">
        <w:t>–</w:t>
      </w:r>
      <w:r w:rsidRPr="0056351A">
        <w:tab/>
        <w:t>ayant entendu Maciej Wąsik le 18 février 2025, conformément à l’article 9, paragraphe 6, de son règlement intérieur, et vu les documents qu’il a produits,</w:t>
      </w:r>
    </w:p>
    <w:p w14:paraId="1F7C8EA5" w14:textId="77777777" w:rsidR="006A4E05" w:rsidRPr="0056351A" w:rsidRDefault="006A4E05" w:rsidP="00177B0E">
      <w:pPr>
        <w:pStyle w:val="NormalHanging12a"/>
      </w:pPr>
      <w:r w:rsidRPr="0056351A">
        <w:t>–</w:t>
      </w:r>
      <w:r w:rsidRPr="0056351A">
        <w:tab/>
        <w:t>vu les articles 8 et 9 du protocole nº 7 sur les privilèges et immunités de l’Union européenne ainsi que l’article 6, paragraphe 2, de l’acte portant élection des membres du Parlement européen au suffrage universel direct, du 20 septembre 1976,</w:t>
      </w:r>
    </w:p>
    <w:p w14:paraId="0879134E" w14:textId="77777777" w:rsidR="006A4E05" w:rsidRPr="0056351A" w:rsidRDefault="006A4E05" w:rsidP="00177B0E">
      <w:pPr>
        <w:pStyle w:val="NormalHanging12a"/>
      </w:pPr>
      <w:r w:rsidRPr="0056351A">
        <w:t>–</w:t>
      </w:r>
      <w:r w:rsidRPr="0056351A">
        <w:tab/>
        <w:t>vu les arrêts rendus par la Cour de justice de l’Union européenne les 21 octobre 2008, 19 mars 2010, 6 septembre 2011, 17 janvier 2013, 19 décembre 2019 et 5 juillet 2023</w:t>
      </w:r>
      <w:r w:rsidRPr="0056351A">
        <w:rPr>
          <w:rStyle w:val="FootnoteReference"/>
          <w:color w:val="000000"/>
        </w:rPr>
        <w:footnoteReference w:id="1"/>
      </w:r>
      <w:r w:rsidRPr="0056351A">
        <w:t>,</w:t>
      </w:r>
    </w:p>
    <w:p w14:paraId="27E65621" w14:textId="77777777" w:rsidR="006A4E05" w:rsidRPr="0056351A" w:rsidRDefault="006A4E05" w:rsidP="00177B0E">
      <w:pPr>
        <w:pStyle w:val="NormalHanging12a"/>
      </w:pPr>
      <w:r w:rsidRPr="0056351A">
        <w:t>–</w:t>
      </w:r>
      <w:r w:rsidRPr="0056351A">
        <w:tab/>
        <w:t>vu l’article 105, paragraphes 2 et 5, de la Constitution de la République de Pologne,</w:t>
      </w:r>
    </w:p>
    <w:p w14:paraId="4A82EBB5" w14:textId="77777777" w:rsidR="006A4E05" w:rsidRPr="0056351A" w:rsidRDefault="006A4E05" w:rsidP="00177B0E">
      <w:pPr>
        <w:pStyle w:val="NormalHanging12a"/>
      </w:pPr>
      <w:r w:rsidRPr="0056351A">
        <w:t>–</w:t>
      </w:r>
      <w:r w:rsidRPr="0056351A">
        <w:tab/>
        <w:t>vu l’article 5, paragraphe 2, l’article 6, paragraphe 1, et l’article 9 de son règlement intérieur,</w:t>
      </w:r>
    </w:p>
    <w:p w14:paraId="1B994FAE" w14:textId="77777777" w:rsidR="006A4E05" w:rsidRPr="0056351A" w:rsidRDefault="006A4E05" w:rsidP="00177B0E">
      <w:pPr>
        <w:pStyle w:val="NormalHanging12a"/>
      </w:pPr>
      <w:r w:rsidRPr="0056351A">
        <w:lastRenderedPageBreak/>
        <w:t>–</w:t>
      </w:r>
      <w:r w:rsidRPr="0056351A">
        <w:tab/>
        <w:t>vu le rapport de la commission des affaires juridiques (A10-0031/2025),</w:t>
      </w:r>
    </w:p>
    <w:p w14:paraId="63928047" w14:textId="77777777" w:rsidR="006A4E05" w:rsidRPr="0056351A" w:rsidRDefault="006A4E05" w:rsidP="00177B0E">
      <w:pPr>
        <w:pStyle w:val="NormalHanging12a"/>
      </w:pPr>
      <w:r w:rsidRPr="0056351A">
        <w:t>A.</w:t>
      </w:r>
      <w:r w:rsidRPr="0056351A">
        <w:tab/>
        <w:t>considérant que, par lettre en date du 29 juillet 2024, le procureur général de la République de Pologne a transmis une demande de levée de l’immunité de Maciej Wąsik, présentée par le parquet régional de Varsovie, en liaison avec des infractions présumées relevant de l’article 244 du code pénal polonais en lien avec l’article 12 dudit code;</w:t>
      </w:r>
    </w:p>
    <w:p w14:paraId="06501B3C" w14:textId="49AA1511" w:rsidR="006A4E05" w:rsidRPr="0056351A" w:rsidRDefault="006A4E05" w:rsidP="00177B0E">
      <w:pPr>
        <w:pStyle w:val="NormalHanging12a"/>
      </w:pPr>
      <w:r w:rsidRPr="0056351A">
        <w:rPr>
          <w:shd w:val="clear" w:color="auto" w:fill="FFFFFF"/>
        </w:rPr>
        <w:t>B.</w:t>
      </w:r>
      <w:r w:rsidRPr="0056351A">
        <w:rPr>
          <w:shd w:val="clear" w:color="auto" w:fill="FFFFFF"/>
        </w:rPr>
        <w:tab/>
      </w:r>
      <w:r w:rsidRPr="0056351A">
        <w:t xml:space="preserve">considérant que la demande indique que, par les actions qu’il aurait entreprises, les 21 et 28 décembre 2023 à Varsovie, à intervalles rapprochés et avec préméditation, Maciej Wąsik n’a pas respecté la condamnation définitive prononcée à son encontre par le tribunal régional de Varsovie le 20 décembre 2023, par laquelle il avait interdiction d’exercer des fonctions publiques pendant cinq ans, au motif que Maciej Wąsik a exercé son mandat de membre de la Diète polonaise en participant à la séance de la Diète polonaise qui s’est tenue le 21 décembre 2023, notamment en prenant part aux votes et en participant à la réunion de la commission de l’administration et de l’intérieur de la Diète </w:t>
      </w:r>
      <w:r w:rsidR="00FE2C73">
        <w:t xml:space="preserve">polonaise </w:t>
      </w:r>
      <w:r w:rsidRPr="0056351A">
        <w:t>qui a eu lieu le 28 décembre 2023; que les actions qu’il aurait entreprises constituent une infraction relevant de l’article 244 du code pénal polonais en lien avec l’article 12 dudit code;</w:t>
      </w:r>
    </w:p>
    <w:p w14:paraId="4A316E70" w14:textId="77777777" w:rsidR="006A4E05" w:rsidRPr="0056351A" w:rsidRDefault="006A4E05" w:rsidP="00177B0E">
      <w:pPr>
        <w:pStyle w:val="NormalHanging12a"/>
      </w:pPr>
      <w:r w:rsidRPr="0056351A">
        <w:t>C.</w:t>
      </w:r>
      <w:r w:rsidRPr="0056351A">
        <w:tab/>
        <w:t xml:space="preserve">considérant que les griefs énoncés ci-dessus ont été portés à la connaissance de Maciej Wąsik le 18 avril 2024; </w:t>
      </w:r>
      <w:r w:rsidRPr="0056351A">
        <w:rPr>
          <w:shd w:val="clear" w:color="auto" w:fill="FFFFFF"/>
        </w:rPr>
        <w:t>que</w:t>
      </w:r>
      <w:r w:rsidRPr="0056351A">
        <w:t xml:space="preserve"> Maciej Wąsik </w:t>
      </w:r>
      <w:r w:rsidRPr="0056351A">
        <w:rPr>
          <w:shd w:val="clear" w:color="auto" w:fill="FFFFFF"/>
        </w:rPr>
        <w:t>a été élu au Parlement européen lors des élections européennes de juin 2024</w:t>
      </w:r>
      <w:r w:rsidRPr="0056351A">
        <w:t>; que</w:t>
      </w:r>
      <w:r w:rsidRPr="0056351A">
        <w:rPr>
          <w:shd w:val="clear" w:color="auto" w:fill="FFFFFF"/>
        </w:rPr>
        <w:t xml:space="preserve"> </w:t>
      </w:r>
      <w:r w:rsidRPr="0056351A">
        <w:t xml:space="preserve">Maciej Wąsik </w:t>
      </w:r>
      <w:r w:rsidRPr="0056351A">
        <w:rPr>
          <w:shd w:val="clear" w:color="auto" w:fill="FFFFFF"/>
        </w:rPr>
        <w:t>n’était pas député au Parlement européen au moment de l’infraction présumée;</w:t>
      </w:r>
    </w:p>
    <w:p w14:paraId="6566ADE1" w14:textId="77777777" w:rsidR="006A4E05" w:rsidRPr="0056351A" w:rsidRDefault="006A4E05" w:rsidP="00177B0E">
      <w:pPr>
        <w:pStyle w:val="NormalHanging12a"/>
      </w:pPr>
      <w:r w:rsidRPr="0056351A">
        <w:t>D.</w:t>
      </w:r>
      <w:r w:rsidRPr="0056351A">
        <w:tab/>
        <w:t>considérant que l’infraction présumée et la demande de levée de son immunité qui en découle ne sont pas liées à une opinion ou à un vote émis par Maciej Wąsik dans l’exercice de ses fonctions au sens de l’article 8 du protocole nº 7 sur les privilèges et immunités de l’Union européenne;</w:t>
      </w:r>
    </w:p>
    <w:p w14:paraId="2F297FDC" w14:textId="77777777" w:rsidR="006A4E05" w:rsidRPr="0056351A" w:rsidRDefault="006A4E05" w:rsidP="00177B0E">
      <w:pPr>
        <w:pStyle w:val="NormalHanging12a"/>
      </w:pPr>
      <w:r w:rsidRPr="0056351A">
        <w:t>E.</w:t>
      </w:r>
      <w:r w:rsidRPr="0056351A">
        <w:tab/>
        <w:t>considérant que l’article 9, premier alinéa, point a), du protocole nº 7 sur les privilèges et immunités de l’Union européenne dispose que les membres du Parlement européen bénéficient, sur leur territoire national, des immunités reconnues aux membres du parlement de leur pays;</w:t>
      </w:r>
    </w:p>
    <w:p w14:paraId="661ADCB5" w14:textId="0FABDA34" w:rsidR="006A4E05" w:rsidRPr="0056351A" w:rsidRDefault="006A4E05" w:rsidP="00177B0E">
      <w:pPr>
        <w:pStyle w:val="NormalHanging12a"/>
      </w:pPr>
      <w:r w:rsidRPr="0056351A">
        <w:t>F.</w:t>
      </w:r>
      <w:r w:rsidRPr="0056351A">
        <w:tab/>
        <w:t xml:space="preserve">considérant qu’en vertu de l’article 105, paragraphes 2 et 5, de la Constitution polonaise, un député ne peut encourir </w:t>
      </w:r>
      <w:r w:rsidR="007A619D">
        <w:t>de</w:t>
      </w:r>
      <w:r w:rsidR="007A619D" w:rsidRPr="0056351A">
        <w:t xml:space="preserve"> </w:t>
      </w:r>
      <w:r w:rsidRPr="0056351A">
        <w:t>responsabilité pénale qu’avec l’autorisation de la Diète , depuis la date de la publication des résultats des élections jusqu’à la date de l’expiration de son mandat, et qu’il ne peut être arrêté ou détenu qu’avec l’autorisation de la Diète, sauf en cas de flagrant délit ou lorsque sa détention est indispensable au déroulement convenable de la procédure;</w:t>
      </w:r>
    </w:p>
    <w:p w14:paraId="2F91F807" w14:textId="77777777" w:rsidR="006A4E05" w:rsidRPr="0056351A" w:rsidRDefault="006A4E05" w:rsidP="00177B0E">
      <w:pPr>
        <w:pStyle w:val="NormalHanging12a"/>
      </w:pPr>
      <w:r w:rsidRPr="0056351A">
        <w:t>G.</w:t>
      </w:r>
      <w:r w:rsidRPr="0056351A">
        <w:tab/>
        <w:t>considérant que l’immunité parlementaire a pour objet de protéger le Parlement et ses députés contre des procédures judiciaires visant des activités menées dans l’exercice des fonctions parlementaires et indissociables de celles-ci;</w:t>
      </w:r>
    </w:p>
    <w:p w14:paraId="0DE4EA14" w14:textId="4EDEACB2" w:rsidR="006A4E05" w:rsidRPr="0056351A" w:rsidRDefault="006A4E05" w:rsidP="00177B0E">
      <w:pPr>
        <w:pStyle w:val="NormalHanging12a"/>
      </w:pPr>
      <w:r w:rsidRPr="0056351A">
        <w:t>H.</w:t>
      </w:r>
      <w:r w:rsidRPr="0056351A">
        <w:tab/>
        <w:t xml:space="preserve">considérant que, conformément à l’article 5, paragraphe 2, </w:t>
      </w:r>
      <w:r w:rsidR="000446BD">
        <w:t>du</w:t>
      </w:r>
      <w:r w:rsidRPr="0056351A">
        <w:t xml:space="preserve"> règlement intérieur</w:t>
      </w:r>
      <w:r w:rsidR="000446BD">
        <w:t xml:space="preserve"> du Parlement</w:t>
      </w:r>
      <w:r w:rsidRPr="0056351A">
        <w:t>, l’immunité parlementaire n’est pas un privilège personnel du député, mais une garantie d’indépendance du Parlement dans son ensemble et de ses députés;</w:t>
      </w:r>
    </w:p>
    <w:p w14:paraId="21F4CA53" w14:textId="4F93FE28" w:rsidR="006A4E05" w:rsidRPr="0056351A" w:rsidRDefault="006A4E05" w:rsidP="00177B0E">
      <w:pPr>
        <w:pStyle w:val="NormalHanging12a"/>
      </w:pPr>
      <w:r w:rsidRPr="0056351A">
        <w:t>I.</w:t>
      </w:r>
      <w:r w:rsidRPr="0056351A">
        <w:tab/>
        <w:t xml:space="preserve">considérant que, en l’espèce, le Parlement n’a trouvé aucun élément de preuve </w:t>
      </w:r>
      <w:r w:rsidRPr="0056351A">
        <w:lastRenderedPageBreak/>
        <w:t xml:space="preserve">établissant l’existence d’un </w:t>
      </w:r>
      <w:r w:rsidRPr="0056351A">
        <w:rPr>
          <w:i/>
        </w:rPr>
        <w:t>fumus persecutionis</w:t>
      </w:r>
      <w:r w:rsidRPr="0056351A">
        <w:t xml:space="preserve">, c’est-à-dire des éléments de fait qui permettent de présumer que les poursuites </w:t>
      </w:r>
      <w:r w:rsidR="00DD68E6">
        <w:t xml:space="preserve">judiciaires </w:t>
      </w:r>
      <w:r w:rsidRPr="0056351A">
        <w:t>en question ont été engagées dans l’intention de nuire à l’activité politique du député en sa qualité de député au Parlement européen;</w:t>
      </w:r>
    </w:p>
    <w:p w14:paraId="47028973" w14:textId="77777777" w:rsidR="006A4E05" w:rsidRPr="0056351A" w:rsidRDefault="006A4E05" w:rsidP="00177B0E">
      <w:pPr>
        <w:pStyle w:val="NormalHanging12a"/>
      </w:pPr>
      <w:r w:rsidRPr="0056351A">
        <w:t>J.</w:t>
      </w:r>
      <w:r w:rsidRPr="0056351A">
        <w:tab/>
        <w:t>considérant, d’une part, que le Parlement ne saurait être assimilé à un tribunal et, d’autre part, que le député ne saurait, dans le contexte d’une procédure de levée d’immunité, être considéré comme un «accusé»</w:t>
      </w:r>
      <w:r w:rsidRPr="0056351A">
        <w:rPr>
          <w:vertAlign w:val="superscript"/>
        </w:rPr>
        <w:footnoteReference w:id="2"/>
      </w:r>
      <w:r w:rsidRPr="0056351A">
        <w:t>;</w:t>
      </w:r>
    </w:p>
    <w:p w14:paraId="475FDC90" w14:textId="77777777" w:rsidR="006A4E05" w:rsidRPr="0056351A" w:rsidRDefault="006A4E05" w:rsidP="00177B0E">
      <w:pPr>
        <w:pStyle w:val="NormalHanging12a"/>
      </w:pPr>
      <w:r w:rsidRPr="0056351A">
        <w:t>1.</w:t>
      </w:r>
      <w:r w:rsidRPr="0056351A">
        <w:tab/>
        <w:t>décide de lever l’immunité de Maciej Wąsik;</w:t>
      </w:r>
    </w:p>
    <w:p w14:paraId="439D6DB5" w14:textId="77777777" w:rsidR="00E365E1" w:rsidRPr="0056351A" w:rsidRDefault="006A4E05" w:rsidP="00177B0E">
      <w:pPr>
        <w:ind w:left="567" w:hanging="567"/>
      </w:pPr>
      <w:r w:rsidRPr="0056351A">
        <w:t>2.</w:t>
      </w:r>
      <w:r w:rsidRPr="0056351A">
        <w:tab/>
        <w:t>charge sa Présidente de transmettre immédiatement la présente décision et le rapport de sa commission compétente aux autorités compétentes de la République de Pologne et à Maciej Wąsik.</w:t>
      </w:r>
    </w:p>
    <w:sectPr w:rsidR="00E365E1" w:rsidRPr="0056351A" w:rsidSect="0056351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4A805C" w14:textId="77777777" w:rsidR="00136FD4" w:rsidRPr="0056351A" w:rsidRDefault="00136FD4">
      <w:r w:rsidRPr="0056351A">
        <w:separator/>
      </w:r>
    </w:p>
  </w:endnote>
  <w:endnote w:type="continuationSeparator" w:id="0">
    <w:p w14:paraId="08A0B43C" w14:textId="77777777" w:rsidR="00136FD4" w:rsidRPr="0056351A" w:rsidRDefault="00136FD4">
      <w:r w:rsidRPr="005635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E829A" w14:textId="77777777" w:rsidR="00064002" w:rsidRPr="005635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76D8B" w14:textId="77777777" w:rsidR="00064002" w:rsidRPr="005635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75500" w14:textId="77777777" w:rsidR="00064002" w:rsidRPr="005635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2737ED" w14:textId="77777777" w:rsidR="00136FD4" w:rsidRPr="0056351A" w:rsidRDefault="00136FD4">
      <w:r w:rsidRPr="0056351A">
        <w:separator/>
      </w:r>
    </w:p>
  </w:footnote>
  <w:footnote w:type="continuationSeparator" w:id="0">
    <w:p w14:paraId="50A2901E" w14:textId="77777777" w:rsidR="00136FD4" w:rsidRPr="0056351A" w:rsidRDefault="00136FD4">
      <w:r w:rsidRPr="0056351A">
        <w:continuationSeparator/>
      </w:r>
    </w:p>
  </w:footnote>
  <w:footnote w:id="1">
    <w:p w14:paraId="273781BC" w14:textId="77777777" w:rsidR="006A4E05" w:rsidRPr="0056351A" w:rsidRDefault="006A4E05" w:rsidP="0056351A">
      <w:pPr>
        <w:pStyle w:val="FootnoteText"/>
        <w:ind w:left="567" w:hanging="567"/>
        <w:rPr>
          <w:sz w:val="24"/>
        </w:rPr>
      </w:pPr>
      <w:r w:rsidRPr="0056351A">
        <w:rPr>
          <w:rStyle w:val="FootnoteReference"/>
          <w:sz w:val="24"/>
        </w:rPr>
        <w:footnoteRef/>
      </w:r>
      <w:r w:rsidR="0056351A" w:rsidRPr="0056351A">
        <w:rPr>
          <w:sz w:val="24"/>
        </w:rPr>
        <w:t xml:space="preserve"> </w:t>
      </w:r>
      <w:r w:rsidR="0056351A" w:rsidRPr="0056351A">
        <w:rPr>
          <w:sz w:val="24"/>
        </w:rPr>
        <w:tab/>
      </w:r>
      <w:r w:rsidRPr="0056351A">
        <w:rPr>
          <w:sz w:val="24"/>
        </w:rPr>
        <w:t>Arrêt de la Cour de justice du 21 octobre 2008, Marra/De Gregorio et Clemente, C-200/07 et C-201/07, ECLI:EU:C:2008:579; arrêt du Tribunal du 19 mars 2010, Gollnisch/Parlement, T-42/06, ECLI:EU:T:2010:102; arrêt de la Cour de justice du 6 septembre 2011, Patriciello, C-163/10, ECLI: EU:C:2011:543; arrêt du Tribunal du 17 janvier 2013, Gollnisch/Parlement, T-346/11 et T-347/11, ECLI:EU:T:2013:23; arrêt de la Cour de justice du 19 décembre 2019, Junqueras Vies, C-502/19, ECLI:EU:C:2019:1115; arrêt du Tribunal du 5 juillet 2023, Puigdemont i Casamajó e.a./Parlement, T-272/21, ECLI:EU:T:2023:373.</w:t>
      </w:r>
    </w:p>
  </w:footnote>
  <w:footnote w:id="2">
    <w:p w14:paraId="1778E037" w14:textId="77777777" w:rsidR="006A4E05" w:rsidRPr="0056351A" w:rsidRDefault="006A4E05" w:rsidP="0056351A">
      <w:pPr>
        <w:pStyle w:val="FootnoteText"/>
        <w:ind w:left="567" w:hanging="567"/>
        <w:rPr>
          <w:sz w:val="24"/>
        </w:rPr>
      </w:pPr>
      <w:r w:rsidRPr="0056351A">
        <w:rPr>
          <w:rStyle w:val="FootnoteReference"/>
          <w:sz w:val="24"/>
        </w:rPr>
        <w:footnoteRef/>
      </w:r>
      <w:r w:rsidR="0056351A" w:rsidRPr="0056351A">
        <w:rPr>
          <w:sz w:val="24"/>
        </w:rPr>
        <w:t xml:space="preserve"> </w:t>
      </w:r>
      <w:r w:rsidR="0056351A" w:rsidRPr="0056351A">
        <w:rPr>
          <w:sz w:val="24"/>
        </w:rPr>
        <w:tab/>
      </w:r>
      <w:r w:rsidRPr="0056351A">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CD42A" w14:textId="77777777" w:rsidR="00064002" w:rsidRPr="005635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D01C4" w14:textId="77777777" w:rsidR="00064002" w:rsidRPr="005635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3CE8C" w14:textId="77777777" w:rsidR="00064002" w:rsidRPr="005635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FR"/>
    <w:docVar w:name="dvnumam" w:val="0"/>
    <w:docVar w:name="dvpe" w:val="766.695"/>
    <w:docVar w:name="dvrapporteur" w:val="Rapporteur: "/>
    <w:docVar w:name="dvtitre" w:val="Décision du Parlement européen du ... 2025 sur la demande de levée de l’immunité de Maciej Wąsik(2024/2043(IMM))"/>
  </w:docVars>
  <w:rsids>
    <w:rsidRoot w:val="00136FD4"/>
    <w:rsid w:val="00002272"/>
    <w:rsid w:val="000446BD"/>
    <w:rsid w:val="00064002"/>
    <w:rsid w:val="000677B9"/>
    <w:rsid w:val="000831BA"/>
    <w:rsid w:val="000A42CC"/>
    <w:rsid w:val="000E7DD9"/>
    <w:rsid w:val="0010095E"/>
    <w:rsid w:val="00125B37"/>
    <w:rsid w:val="00136FD4"/>
    <w:rsid w:val="00177B0E"/>
    <w:rsid w:val="00187494"/>
    <w:rsid w:val="001F32AE"/>
    <w:rsid w:val="002767FF"/>
    <w:rsid w:val="002B18FE"/>
    <w:rsid w:val="002B5493"/>
    <w:rsid w:val="00343214"/>
    <w:rsid w:val="00361C00"/>
    <w:rsid w:val="00395FA1"/>
    <w:rsid w:val="003C634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351A"/>
    <w:rsid w:val="005C2568"/>
    <w:rsid w:val="005F1B17"/>
    <w:rsid w:val="006037C0"/>
    <w:rsid w:val="006631B6"/>
    <w:rsid w:val="00680577"/>
    <w:rsid w:val="006A4E05"/>
    <w:rsid w:val="006F74FA"/>
    <w:rsid w:val="00731ADD"/>
    <w:rsid w:val="00734777"/>
    <w:rsid w:val="00747932"/>
    <w:rsid w:val="00751A4A"/>
    <w:rsid w:val="00756632"/>
    <w:rsid w:val="00762C74"/>
    <w:rsid w:val="00786EC0"/>
    <w:rsid w:val="007A619D"/>
    <w:rsid w:val="007A6403"/>
    <w:rsid w:val="007D1690"/>
    <w:rsid w:val="007E22AD"/>
    <w:rsid w:val="00817416"/>
    <w:rsid w:val="00842779"/>
    <w:rsid w:val="00865F67"/>
    <w:rsid w:val="00881A7B"/>
    <w:rsid w:val="008840E5"/>
    <w:rsid w:val="00887B3E"/>
    <w:rsid w:val="008C2AC6"/>
    <w:rsid w:val="00930C23"/>
    <w:rsid w:val="0093193B"/>
    <w:rsid w:val="009509D8"/>
    <w:rsid w:val="00950B64"/>
    <w:rsid w:val="00955A2B"/>
    <w:rsid w:val="00981893"/>
    <w:rsid w:val="00981E0E"/>
    <w:rsid w:val="00A1687D"/>
    <w:rsid w:val="00A43E52"/>
    <w:rsid w:val="00A4678D"/>
    <w:rsid w:val="00A778C7"/>
    <w:rsid w:val="00AB441E"/>
    <w:rsid w:val="00AB6293"/>
    <w:rsid w:val="00AE0928"/>
    <w:rsid w:val="00AF3B82"/>
    <w:rsid w:val="00AF7F7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8E6"/>
    <w:rsid w:val="00E365E1"/>
    <w:rsid w:val="00E820A4"/>
    <w:rsid w:val="00EB006A"/>
    <w:rsid w:val="00EB2C61"/>
    <w:rsid w:val="00EB4772"/>
    <w:rsid w:val="00ED169E"/>
    <w:rsid w:val="00ED4235"/>
    <w:rsid w:val="00F04346"/>
    <w:rsid w:val="00F075DC"/>
    <w:rsid w:val="00F149E9"/>
    <w:rsid w:val="00F5134D"/>
    <w:rsid w:val="00F74202"/>
    <w:rsid w:val="00F87713"/>
    <w:rsid w:val="00FB4360"/>
    <w:rsid w:val="00FD0C70"/>
    <w:rsid w:val="00FE2C7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464EE"/>
  <w15:chartTrackingRefBased/>
  <w15:docId w15:val="{85B1CA83-DFCD-427B-9D86-3A8F54507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A4E05"/>
    <w:pPr>
      <w:spacing w:after="240"/>
      <w:ind w:left="567" w:hanging="567"/>
    </w:pPr>
  </w:style>
  <w:style w:type="paragraph" w:customStyle="1" w:styleId="EPComma">
    <w:name w:val="EPComma"/>
    <w:basedOn w:val="Normal"/>
    <w:rsid w:val="006A4E05"/>
    <w:pPr>
      <w:spacing w:before="480" w:after="240"/>
    </w:pPr>
  </w:style>
  <w:style w:type="character" w:styleId="CommentReference">
    <w:name w:val="annotation reference"/>
    <w:basedOn w:val="DefaultParagraphFont"/>
    <w:rsid w:val="00177B0E"/>
    <w:rPr>
      <w:sz w:val="16"/>
      <w:szCs w:val="16"/>
    </w:rPr>
  </w:style>
  <w:style w:type="paragraph" w:styleId="CommentText">
    <w:name w:val="annotation text"/>
    <w:basedOn w:val="Normal"/>
    <w:link w:val="CommentTextChar"/>
    <w:rsid w:val="00177B0E"/>
    <w:rPr>
      <w:sz w:val="20"/>
    </w:rPr>
  </w:style>
  <w:style w:type="character" w:customStyle="1" w:styleId="CommentTextChar">
    <w:name w:val="Comment Text Char"/>
    <w:basedOn w:val="DefaultParagraphFont"/>
    <w:link w:val="CommentText"/>
    <w:rsid w:val="00177B0E"/>
    <w:rPr>
      <w:lang w:val="fr-FR"/>
    </w:rPr>
  </w:style>
  <w:style w:type="paragraph" w:styleId="CommentSubject">
    <w:name w:val="annotation subject"/>
    <w:basedOn w:val="CommentText"/>
    <w:next w:val="CommentText"/>
    <w:link w:val="CommentSubjectChar"/>
    <w:rsid w:val="00177B0E"/>
    <w:rPr>
      <w:b/>
      <w:bCs/>
    </w:rPr>
  </w:style>
  <w:style w:type="character" w:customStyle="1" w:styleId="CommentSubjectChar">
    <w:name w:val="Comment Subject Char"/>
    <w:basedOn w:val="CommentTextChar"/>
    <w:link w:val="CommentSubject"/>
    <w:rsid w:val="00177B0E"/>
    <w:rPr>
      <w:b/>
      <w:bCs/>
      <w:lang w:val="fr-FR"/>
    </w:rPr>
  </w:style>
  <w:style w:type="paragraph" w:styleId="Revision">
    <w:name w:val="Revision"/>
    <w:hidden/>
    <w:uiPriority w:val="99"/>
    <w:semiHidden/>
    <w:rsid w:val="00177B0E"/>
    <w:rPr>
      <w:sz w:val="24"/>
      <w:lang w:val="fr-FR"/>
    </w:rPr>
  </w:style>
  <w:style w:type="paragraph" w:styleId="BalloonText">
    <w:name w:val="Balloon Text"/>
    <w:basedOn w:val="Normal"/>
    <w:link w:val="BalloonTextChar"/>
    <w:rsid w:val="00177B0E"/>
    <w:rPr>
      <w:rFonts w:ascii="Segoe UI" w:hAnsi="Segoe UI" w:cs="Segoe UI"/>
      <w:sz w:val="18"/>
      <w:szCs w:val="18"/>
    </w:rPr>
  </w:style>
  <w:style w:type="character" w:customStyle="1" w:styleId="BalloonTextChar">
    <w:name w:val="Balloon Text Char"/>
    <w:basedOn w:val="DefaultParagraphFont"/>
    <w:link w:val="BalloonText"/>
    <w:rsid w:val="00177B0E"/>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028B-F3A5-4BD3-84E8-92469E242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852</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2025-04-01T10:16:00Z</dcterms:created>
  <dcterms:modified xsi:type="dcterms:W3CDTF">2025-04-01T10:16:00Z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A10-0031/2025</vt:lpwstr>
  </property>
  <property fmtid="{D5CDD505-2E9C-101B-9397-08002B2CF9AE}" pid="4" name="&lt;Type&gt;">
    <vt:lpwstr>RR</vt:lpwstr>
  </property>
</Properties>
</file>