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6C14" w14:paraId="282F3E69" w14:textId="77777777" w:rsidTr="0010095E">
        <w:trPr>
          <w:trHeight w:hRule="exact" w:val="1418"/>
        </w:trPr>
        <w:tc>
          <w:tcPr>
            <w:tcW w:w="6804" w:type="dxa"/>
            <w:shd w:val="clear" w:color="auto" w:fill="auto"/>
            <w:vAlign w:val="center"/>
          </w:tcPr>
          <w:p w14:paraId="1C92F1DF" w14:textId="77777777" w:rsidR="00751A4A" w:rsidRPr="009A6C14" w:rsidRDefault="002A6568" w:rsidP="0010095E">
            <w:pPr>
              <w:pStyle w:val="EPName"/>
            </w:pPr>
            <w:r w:rsidRPr="009A6C14">
              <w:t>Eiropas Parlaments</w:t>
            </w:r>
          </w:p>
          <w:p w14:paraId="4C55CA0F" w14:textId="77777777" w:rsidR="00751A4A" w:rsidRPr="009A6C14" w:rsidRDefault="005F1B17" w:rsidP="005F1B17">
            <w:pPr>
              <w:pStyle w:val="EPTerm"/>
              <w:rPr>
                <w:rStyle w:val="HideTWBExt"/>
                <w:noProof w:val="0"/>
                <w:vanish w:val="0"/>
                <w:color w:val="auto"/>
              </w:rPr>
            </w:pPr>
            <w:r w:rsidRPr="009A6C14">
              <w:t>2024</w:t>
            </w:r>
            <w:r w:rsidR="00817416" w:rsidRPr="009A6C14">
              <w:t>-202</w:t>
            </w:r>
            <w:r w:rsidRPr="009A6C14">
              <w:t>9</w:t>
            </w:r>
          </w:p>
        </w:tc>
        <w:tc>
          <w:tcPr>
            <w:tcW w:w="2268" w:type="dxa"/>
            <w:shd w:val="clear" w:color="auto" w:fill="auto"/>
          </w:tcPr>
          <w:p w14:paraId="12357752" w14:textId="77777777" w:rsidR="00751A4A" w:rsidRPr="009A6C14" w:rsidRDefault="00187494" w:rsidP="0010095E">
            <w:pPr>
              <w:pStyle w:val="EPLogo"/>
            </w:pPr>
            <w:r w:rsidRPr="009A6C14">
              <w:rPr>
                <w:noProof/>
                <w:lang w:eastAsia="lv-LV"/>
              </w:rPr>
              <w:drawing>
                <wp:inline distT="0" distB="0" distL="0" distR="0" wp14:anchorId="2CFB3103" wp14:editId="3B941D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7A0FC5" w14:textId="77777777" w:rsidR="00D058B8" w:rsidRPr="009A6C14" w:rsidRDefault="00D058B8" w:rsidP="004C5D52">
      <w:pPr>
        <w:pStyle w:val="LineTop"/>
      </w:pPr>
    </w:p>
    <w:p w14:paraId="60BBD94C" w14:textId="77777777" w:rsidR="00680577" w:rsidRPr="009A6C14" w:rsidRDefault="002A6568" w:rsidP="00680577">
      <w:pPr>
        <w:pStyle w:val="EPBodyTA1"/>
      </w:pPr>
      <w:r w:rsidRPr="009A6C14">
        <w:t>PIEŅEMTIE TEKSTI</w:t>
      </w:r>
    </w:p>
    <w:p w14:paraId="218C258F" w14:textId="77777777" w:rsidR="00D058B8" w:rsidRPr="009A6C14" w:rsidRDefault="00D058B8" w:rsidP="00D058B8">
      <w:pPr>
        <w:pStyle w:val="LineBottom"/>
      </w:pPr>
    </w:p>
    <w:p w14:paraId="18899679" w14:textId="4BF1DBEB" w:rsidR="002A6568" w:rsidRPr="009A6C14" w:rsidRDefault="002A6568" w:rsidP="002A6568">
      <w:pPr>
        <w:pStyle w:val="ATHeading1"/>
      </w:pPr>
      <w:bookmarkStart w:id="0" w:name="TANumber"/>
      <w:r w:rsidRPr="009A6C14">
        <w:t>P10_TA(2025)00</w:t>
      </w:r>
      <w:bookmarkEnd w:id="0"/>
      <w:r w:rsidR="009A6C14" w:rsidRPr="009A6C14">
        <w:t>42</w:t>
      </w:r>
    </w:p>
    <w:p w14:paraId="715E6A49" w14:textId="77777777" w:rsidR="002A6568" w:rsidRPr="009A6C14" w:rsidRDefault="00AB61E7" w:rsidP="002A6568">
      <w:pPr>
        <w:pStyle w:val="ATHeading2"/>
      </w:pPr>
      <w:r w:rsidRPr="009A6C14">
        <w:t xml:space="preserve">Pieprasījums atcelt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t xml:space="preserve"> imunitāti</w:t>
      </w:r>
    </w:p>
    <w:p w14:paraId="4E20538D" w14:textId="77777777" w:rsidR="002A6568" w:rsidRPr="009A6C14" w:rsidRDefault="002A6568" w:rsidP="002A6568">
      <w:pPr>
        <w:rPr>
          <w:i/>
          <w:vanish/>
        </w:rPr>
      </w:pPr>
      <w:r w:rsidRPr="009A6C14">
        <w:rPr>
          <w:i/>
        </w:rPr>
        <w:fldChar w:fldCharType="begin"/>
      </w:r>
      <w:r w:rsidRPr="009A6C14">
        <w:rPr>
          <w:i/>
        </w:rPr>
        <w:instrText xml:space="preserve"> TC"(</w:instrText>
      </w:r>
      <w:bookmarkStart w:id="1" w:name="DocNumber"/>
      <w:r w:rsidRPr="009A6C14">
        <w:rPr>
          <w:i/>
        </w:rPr>
        <w:instrText>A10-0031/2025</w:instrText>
      </w:r>
      <w:bookmarkEnd w:id="1"/>
      <w:r w:rsidRPr="009A6C14">
        <w:rPr>
          <w:i/>
        </w:rPr>
        <w:instrText xml:space="preserve"> - Referents: Mario </w:instrText>
      </w:r>
      <w:proofErr w:type="spellStart"/>
      <w:r w:rsidRPr="009A6C14">
        <w:rPr>
          <w:i/>
        </w:rPr>
        <w:instrText>Furore</w:instrText>
      </w:r>
      <w:proofErr w:type="spellEnd"/>
      <w:r w:rsidRPr="009A6C14">
        <w:rPr>
          <w:i/>
        </w:rPr>
        <w:instrText xml:space="preserve">)"\l3 \n&gt; \* MERGEFORMAT </w:instrText>
      </w:r>
      <w:r w:rsidRPr="009A6C14">
        <w:rPr>
          <w:i/>
        </w:rPr>
        <w:fldChar w:fldCharType="end"/>
      </w:r>
    </w:p>
    <w:p w14:paraId="49322AC1" w14:textId="77777777" w:rsidR="002A6568" w:rsidRPr="009A6C14" w:rsidRDefault="002A6568" w:rsidP="002A6568">
      <w:pPr>
        <w:rPr>
          <w:vanish/>
        </w:rPr>
      </w:pPr>
      <w:bookmarkStart w:id="2" w:name="Commission"/>
      <w:r w:rsidRPr="009A6C14">
        <w:rPr>
          <w:vanish/>
        </w:rPr>
        <w:t>Juridiskā komiteja</w:t>
      </w:r>
      <w:bookmarkEnd w:id="2"/>
    </w:p>
    <w:p w14:paraId="249F027C" w14:textId="77777777" w:rsidR="002A6568" w:rsidRPr="009A6C14" w:rsidRDefault="002A6568" w:rsidP="002A6568">
      <w:pPr>
        <w:rPr>
          <w:vanish/>
        </w:rPr>
      </w:pPr>
      <w:bookmarkStart w:id="3" w:name="PE"/>
      <w:r w:rsidRPr="009A6C14">
        <w:rPr>
          <w:vanish/>
        </w:rPr>
        <w:t>PE766.695</w:t>
      </w:r>
      <w:bookmarkEnd w:id="3"/>
    </w:p>
    <w:p w14:paraId="032F16C2" w14:textId="77777777" w:rsidR="00492F9A" w:rsidRPr="009A6C14" w:rsidRDefault="002A6568" w:rsidP="00AB61E7">
      <w:pPr>
        <w:pStyle w:val="ATHeading3"/>
      </w:pPr>
      <w:bookmarkStart w:id="4" w:name="Sujet"/>
      <w:r w:rsidRPr="009A6C14">
        <w:t xml:space="preserve">Eiropas Parlamenta 2025. gada </w:t>
      </w:r>
      <w:r w:rsidR="00AB61E7" w:rsidRPr="009A6C14">
        <w:t>1</w:t>
      </w:r>
      <w:r w:rsidRPr="009A6C14">
        <w:t xml:space="preserve">. </w:t>
      </w:r>
      <w:r w:rsidR="00AB61E7" w:rsidRPr="009A6C14">
        <w:t>aprīļa</w:t>
      </w:r>
      <w:r w:rsidRPr="009A6C14">
        <w:t xml:space="preserve"> lēmums par pieprasījumu atcelt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rPr>
          <w:i/>
        </w:rPr>
        <w:t xml:space="preserve"> </w:t>
      </w:r>
      <w:r w:rsidRPr="009A6C14">
        <w:t>imunitāti</w:t>
      </w:r>
      <w:bookmarkEnd w:id="4"/>
      <w:r w:rsidRPr="009A6C14">
        <w:t xml:space="preserve"> </w:t>
      </w:r>
      <w:bookmarkStart w:id="5" w:name="References"/>
      <w:r w:rsidRPr="009A6C14">
        <w:t>(2024/2043(IMM))</w:t>
      </w:r>
      <w:bookmarkStart w:id="6" w:name="TextBodyBegin"/>
      <w:bookmarkEnd w:id="5"/>
      <w:bookmarkEnd w:id="6"/>
    </w:p>
    <w:p w14:paraId="4088BD6F" w14:textId="51CD53DA" w:rsidR="00492F9A" w:rsidRPr="009A6C14" w:rsidRDefault="00492F9A" w:rsidP="00492F9A">
      <w:pPr>
        <w:pStyle w:val="EPComma"/>
      </w:pPr>
      <w:r w:rsidRPr="009A6C14">
        <w:rPr>
          <w:i/>
        </w:rPr>
        <w:t>Eiropas Parlaments</w:t>
      </w:r>
      <w:r w:rsidRPr="009A6C14">
        <w:t>,</w:t>
      </w:r>
    </w:p>
    <w:p w14:paraId="58D82491" w14:textId="77777777" w:rsidR="00492F9A" w:rsidRPr="009A6C14" w:rsidRDefault="00492F9A" w:rsidP="00AB61E7">
      <w:pPr>
        <w:pStyle w:val="NormalHanging12a"/>
      </w:pPr>
      <w:r w:rsidRPr="009A6C14">
        <w:t>–</w:t>
      </w:r>
      <w:r w:rsidRPr="009A6C14">
        <w:tab/>
        <w:t xml:space="preserve">ņemot vērā Polijas Republikas ģenerālprokurora 2024. gada 29. jūlija pieprasījumu atcelt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t xml:space="preserve"> imunitāti, ar kuru tika nosūtīts Varšavas reģionālās prokuratūras iesniegtais pieprasījums saistībā ar kriminālvajāšanu, kas uzsākta pret </w:t>
      </w:r>
      <w:proofErr w:type="spellStart"/>
      <w:r w:rsidRPr="009A6C14">
        <w:rPr>
          <w:i/>
        </w:rPr>
        <w:t>Maciej</w:t>
      </w:r>
      <w:proofErr w:type="spellEnd"/>
      <w:r w:rsidRPr="009A6C14">
        <w:rPr>
          <w:i/>
        </w:rPr>
        <w:t> </w:t>
      </w:r>
      <w:proofErr w:type="spellStart"/>
      <w:r w:rsidRPr="009A6C14">
        <w:rPr>
          <w:i/>
        </w:rPr>
        <w:t>Wąsik</w:t>
      </w:r>
      <w:proofErr w:type="spellEnd"/>
      <w:r w:rsidRPr="009A6C14">
        <w:t xml:space="preserve">, un par kuru paziņots 2024. gada 16. septembra plenārsēdē, </w:t>
      </w:r>
    </w:p>
    <w:p w14:paraId="76FFA5F7" w14:textId="258E9E35" w:rsidR="00492F9A" w:rsidRPr="009A6C14" w:rsidRDefault="00492F9A" w:rsidP="00AB61E7">
      <w:pPr>
        <w:pStyle w:val="NormalHanging12a"/>
      </w:pPr>
      <w:r w:rsidRPr="009A6C14">
        <w:t>–</w:t>
      </w:r>
      <w:r w:rsidRPr="009A6C14">
        <w:tab/>
        <w:t xml:space="preserve">pēc </w:t>
      </w:r>
      <w:proofErr w:type="spellStart"/>
      <w:r w:rsidRPr="009A6C14">
        <w:rPr>
          <w:i/>
          <w:iCs/>
        </w:rPr>
        <w:t>Maciej</w:t>
      </w:r>
      <w:proofErr w:type="spellEnd"/>
      <w:r w:rsidRPr="009A6C14">
        <w:rPr>
          <w:i/>
          <w:iCs/>
        </w:rPr>
        <w:t xml:space="preserve"> </w:t>
      </w:r>
      <w:proofErr w:type="spellStart"/>
      <w:r w:rsidRPr="009A6C14">
        <w:rPr>
          <w:i/>
          <w:iCs/>
        </w:rPr>
        <w:t>Wąsik</w:t>
      </w:r>
      <w:proofErr w:type="spellEnd"/>
      <w:r w:rsidRPr="009A6C14">
        <w:t xml:space="preserve"> uzklausīšanas 2025. gada 18. </w:t>
      </w:r>
      <w:r w:rsidR="00E30AE3">
        <w:t>februārī</w:t>
      </w:r>
      <w:bookmarkStart w:id="7" w:name="_GoBack"/>
      <w:bookmarkEnd w:id="7"/>
      <w:r w:rsidRPr="009A6C14">
        <w:t xml:space="preserve"> saskaņā ar Reglamenta 9. panta 6. punktu un ņemot vērā viņa iesniegtos dokumentus,</w:t>
      </w:r>
    </w:p>
    <w:p w14:paraId="488EE606" w14:textId="448CC2F0" w:rsidR="00492F9A" w:rsidRPr="009A6C14" w:rsidRDefault="00492F9A" w:rsidP="00AB61E7">
      <w:pPr>
        <w:pStyle w:val="NormalHanging12a"/>
      </w:pPr>
      <w:r w:rsidRPr="009A6C14">
        <w:t>–</w:t>
      </w:r>
      <w:r w:rsidRPr="009A6C14">
        <w:tab/>
        <w:t>ņemot vērā Protokola Nr. 7 par privilēģijām un imunitāti  Eiropas Savienībā 8. un 9. pantu, kā arī 1976. gada 20. septembra Akta par Eiropas Parlamenta deputātu ievēlēšanu tiešās vispārējās vēlēšanās 6. panta 2. punktu,</w:t>
      </w:r>
    </w:p>
    <w:p w14:paraId="2D1B403C" w14:textId="1B69AE83" w:rsidR="00492F9A" w:rsidRPr="009A6C14" w:rsidRDefault="00492F9A" w:rsidP="00AB61E7">
      <w:pPr>
        <w:pStyle w:val="NormalHanging12a"/>
      </w:pPr>
      <w:r w:rsidRPr="009A6C14">
        <w:t>–</w:t>
      </w:r>
      <w:r w:rsidRPr="009A6C14">
        <w:tab/>
        <w:t>ņemot vērā Eiropas Savienības Tiesas 2008. gada 21. oktobra, 2010. gada 19. marta, 2011. gada 6. septembra, 2013. gada 17. janvāra, 2019. gada 19. decembra un 2023. gada 5. jūlija spriedumu</w:t>
      </w:r>
      <w:r w:rsidR="009F0FD0" w:rsidRPr="009A6C14">
        <w:t>s</w:t>
      </w:r>
      <w:r w:rsidRPr="009A6C14">
        <w:rPr>
          <w:rStyle w:val="FootnoteReference"/>
          <w:color w:val="000000"/>
        </w:rPr>
        <w:footnoteReference w:id="1"/>
      </w:r>
      <w:r w:rsidRPr="009A6C14">
        <w:t>,</w:t>
      </w:r>
    </w:p>
    <w:p w14:paraId="097BFF4A" w14:textId="77777777" w:rsidR="00492F9A" w:rsidRPr="009A6C14" w:rsidRDefault="00492F9A" w:rsidP="00AB61E7">
      <w:pPr>
        <w:pStyle w:val="NormalHanging12a"/>
      </w:pPr>
      <w:r w:rsidRPr="009A6C14">
        <w:t>–</w:t>
      </w:r>
      <w:r w:rsidRPr="009A6C14">
        <w:tab/>
        <w:t>ņemot vērā Polijas Republikas Konstitūcijas 105. panta 2. un 5. punktu,</w:t>
      </w:r>
    </w:p>
    <w:p w14:paraId="74FD63EA" w14:textId="77777777" w:rsidR="00492F9A" w:rsidRPr="009A6C14" w:rsidRDefault="00492F9A" w:rsidP="00492F9A">
      <w:pPr>
        <w:pStyle w:val="NormalHanging12a"/>
        <w:jc w:val="both"/>
      </w:pPr>
      <w:r w:rsidRPr="009A6C14">
        <w:t>–</w:t>
      </w:r>
      <w:r w:rsidRPr="009A6C14">
        <w:tab/>
        <w:t>ņemot vērā Reglamenta 5. panta 2. punktu, 6. panta 1. punktu un 9. pantu,</w:t>
      </w:r>
    </w:p>
    <w:p w14:paraId="37EF0464" w14:textId="77777777" w:rsidR="00492F9A" w:rsidRPr="009A6C14" w:rsidRDefault="00492F9A" w:rsidP="00AB61E7">
      <w:pPr>
        <w:pStyle w:val="NormalHanging12a"/>
      </w:pPr>
      <w:r w:rsidRPr="009A6C14">
        <w:lastRenderedPageBreak/>
        <w:t>–</w:t>
      </w:r>
      <w:r w:rsidRPr="009A6C14">
        <w:tab/>
        <w:t>ņemot vērā Juridiskās komitejas ziņojumu (A10-0031/2025),</w:t>
      </w:r>
    </w:p>
    <w:p w14:paraId="678837E2" w14:textId="77777777" w:rsidR="00492F9A" w:rsidRPr="009A6C14" w:rsidRDefault="00492F9A" w:rsidP="00AB61E7">
      <w:pPr>
        <w:pStyle w:val="NormalHanging12a"/>
      </w:pPr>
      <w:r w:rsidRPr="009A6C14">
        <w:t>A.</w:t>
      </w:r>
      <w:r w:rsidRPr="009A6C14">
        <w:tab/>
        <w:t xml:space="preserve">tā kā Polijas ģenerālprokurors ar 2024. gada 29. jūlija vēstuli nosūtīja Varšavas Reģionālās prokuratūras pieprasījumu atcelt </w:t>
      </w:r>
      <w:proofErr w:type="spellStart"/>
      <w:r w:rsidRPr="009A6C14">
        <w:rPr>
          <w:i/>
        </w:rPr>
        <w:t>Maciej</w:t>
      </w:r>
      <w:proofErr w:type="spellEnd"/>
      <w:r w:rsidRPr="009A6C14">
        <w:rPr>
          <w:i/>
        </w:rPr>
        <w:t> </w:t>
      </w:r>
      <w:proofErr w:type="spellStart"/>
      <w:r w:rsidRPr="009A6C14">
        <w:rPr>
          <w:i/>
        </w:rPr>
        <w:t>Wąsik</w:t>
      </w:r>
      <w:proofErr w:type="spellEnd"/>
      <w:r w:rsidRPr="009A6C14">
        <w:t xml:space="preserve"> imunitāti saistībā ar inkriminētajiem nodarījumiem, kas paredzēti Polijas Kriminālkodeksa 244. pantā saistībā ar minētā kodeksa 12. pantu;</w:t>
      </w:r>
    </w:p>
    <w:p w14:paraId="6FD4C4D9" w14:textId="0F9B0A30" w:rsidR="00492F9A" w:rsidRPr="009A6C14" w:rsidRDefault="00492F9A" w:rsidP="00AB61E7">
      <w:pPr>
        <w:pStyle w:val="NormalHanging12a"/>
      </w:pPr>
      <w:r w:rsidRPr="009A6C14">
        <w:rPr>
          <w:shd w:val="clear" w:color="auto" w:fill="FFFFFF"/>
        </w:rPr>
        <w:t>B.</w:t>
      </w:r>
      <w:r w:rsidRPr="009A6C14">
        <w:rPr>
          <w:shd w:val="clear" w:color="auto" w:fill="FFFFFF"/>
        </w:rPr>
        <w:tab/>
      </w:r>
      <w:r w:rsidRPr="009A6C14">
        <w:t xml:space="preserve">tā kā pieprasījumā ir norādīts uz aizdomām par to, ka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t xml:space="preserve"> 2023. gada 21. un 28. decembrī Varšavā ar iepriekšēju nodomu un ar īsu starplaiku ir pārkāpis piecu gadu aizliegumu ieņemt publisku amatu, kas </w:t>
      </w:r>
      <w:r w:rsidR="00AB61E7" w:rsidRPr="009A6C14">
        <w:t xml:space="preserve">bija </w:t>
      </w:r>
      <w:r w:rsidRPr="009A6C14">
        <w:t xml:space="preserve">noteikts ar galīgu un </w:t>
      </w:r>
      <w:r w:rsidR="009F0FD0" w:rsidRPr="009A6C14">
        <w:t xml:space="preserve">saistošu </w:t>
      </w:r>
      <w:r w:rsidRPr="009A6C14">
        <w:t xml:space="preserve">spriedumu, kuru 2023. gada 20. decembrī pasludināja Varšavas apgabaltiesa, ciktāl </w:t>
      </w:r>
      <w:proofErr w:type="spellStart"/>
      <w:r w:rsidRPr="009A6C14">
        <w:rPr>
          <w:i/>
        </w:rPr>
        <w:t>Maciej</w:t>
      </w:r>
      <w:proofErr w:type="spellEnd"/>
      <w:r w:rsidRPr="009A6C14">
        <w:rPr>
          <w:i/>
        </w:rPr>
        <w:t> </w:t>
      </w:r>
      <w:proofErr w:type="spellStart"/>
      <w:r w:rsidRPr="009A6C14">
        <w:rPr>
          <w:i/>
        </w:rPr>
        <w:t>Wąsik</w:t>
      </w:r>
      <w:proofErr w:type="spellEnd"/>
      <w:r w:rsidRPr="009A6C14">
        <w:t xml:space="preserve"> pildīja Polijas Republikas </w:t>
      </w:r>
      <w:proofErr w:type="spellStart"/>
      <w:r w:rsidRPr="009A6C14">
        <w:t>Sejma</w:t>
      </w:r>
      <w:proofErr w:type="spellEnd"/>
      <w:r w:rsidRPr="009A6C14">
        <w:t xml:space="preserve"> (Polijas parlamenta </w:t>
      </w:r>
      <w:proofErr w:type="spellStart"/>
      <w:r w:rsidRPr="009A6C14">
        <w:t>apakšpalātas</w:t>
      </w:r>
      <w:proofErr w:type="spellEnd"/>
      <w:r w:rsidRPr="009A6C14">
        <w:t xml:space="preserve">) deputāta pienākumus, piedaloties </w:t>
      </w:r>
      <w:proofErr w:type="spellStart"/>
      <w:r w:rsidRPr="009A6C14">
        <w:t>Sejma</w:t>
      </w:r>
      <w:proofErr w:type="spellEnd"/>
      <w:r w:rsidRPr="009A6C14">
        <w:t xml:space="preserve"> sesijā, kas notika 2023. gada 21. decembrī, tostarp piedaloties balsošanā un piedaloties sanāksmē, ko 2023. gada 28. decembrī rīkoja </w:t>
      </w:r>
      <w:proofErr w:type="spellStart"/>
      <w:r w:rsidRPr="009A6C14">
        <w:t>Sejma</w:t>
      </w:r>
      <w:proofErr w:type="spellEnd"/>
      <w:r w:rsidRPr="009A6C14">
        <w:t xml:space="preserve"> Administrācija un </w:t>
      </w:r>
      <w:proofErr w:type="spellStart"/>
      <w:r w:rsidRPr="009A6C14">
        <w:t>Iekšlietu</w:t>
      </w:r>
      <w:proofErr w:type="spellEnd"/>
      <w:r w:rsidRPr="009A6C14">
        <w:t xml:space="preserve"> komiteja; tā kā inkriminētās darbības ir noziedzīgs nodarījums saskaņā ar Polijas Kriminālkodeksa 244. pantu saistībā ar minētā kodeksa 12. pantu;</w:t>
      </w:r>
    </w:p>
    <w:p w14:paraId="50909A50" w14:textId="77777777" w:rsidR="00492F9A" w:rsidRPr="009A6C14" w:rsidRDefault="00492F9A" w:rsidP="00AB61E7">
      <w:pPr>
        <w:pStyle w:val="NormalHanging12a"/>
      </w:pPr>
      <w:r w:rsidRPr="009A6C14">
        <w:t>C.</w:t>
      </w:r>
      <w:r w:rsidRPr="009A6C14">
        <w:tab/>
        <w:t xml:space="preserve">tā kā iepriekš minētās apsūdzības pret </w:t>
      </w:r>
      <w:proofErr w:type="spellStart"/>
      <w:r w:rsidRPr="009A6C14">
        <w:rPr>
          <w:i/>
        </w:rPr>
        <w:t>Maciej</w:t>
      </w:r>
      <w:proofErr w:type="spellEnd"/>
      <w:r w:rsidRPr="009A6C14">
        <w:rPr>
          <w:i/>
        </w:rPr>
        <w:t> </w:t>
      </w:r>
      <w:proofErr w:type="spellStart"/>
      <w:r w:rsidRPr="009A6C14">
        <w:rPr>
          <w:i/>
        </w:rPr>
        <w:t>Wąsik</w:t>
      </w:r>
      <w:proofErr w:type="spellEnd"/>
      <w:r w:rsidRPr="009A6C14">
        <w:t xml:space="preserve"> tika izvirzītas 2024. gada 18. aprīlī; </w:t>
      </w:r>
      <w:r w:rsidRPr="009A6C14">
        <w:rPr>
          <w:shd w:val="clear" w:color="auto" w:fill="FFFFFF"/>
        </w:rPr>
        <w:t xml:space="preserve">tā kā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rPr>
          <w:shd w:val="clear" w:color="auto" w:fill="FFFFFF"/>
        </w:rPr>
        <w:t xml:space="preserve"> tika ievēlēts Eiropas Parlamentā 2024. gada jūnija Eiropas vēlēšanās</w:t>
      </w:r>
      <w:r w:rsidRPr="009A6C14">
        <w:t xml:space="preserve">; tā kā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t xml:space="preserve"> inkriminētā nodarījuma izdarīšanas laikā nebija Eiropas Parlamenta deputāts;</w:t>
      </w:r>
    </w:p>
    <w:p w14:paraId="567CD50A" w14:textId="109E24DC" w:rsidR="00492F9A" w:rsidRPr="009A6C14" w:rsidRDefault="00492F9A" w:rsidP="00AB61E7">
      <w:pPr>
        <w:pStyle w:val="NormalHanging12a"/>
      </w:pPr>
      <w:r w:rsidRPr="009A6C14">
        <w:t>D.</w:t>
      </w:r>
      <w:r w:rsidRPr="009A6C14">
        <w:tab/>
        <w:t xml:space="preserve">tā kā inkriminētais nodarījums un tam sekojošais pieprasījums atcelt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t xml:space="preserve"> imunitāti nav saistīti nedz ar viedokli, ko viņš kā Eiropas Parlamenta deputāts ir paudis, nedz balsojumu, ko viņš veicis, pildot savus pienākumus saskaņā ar Protokola Nr. 7 par privilēģijām un imunitāti Eiropas Savienībā 8. pantu;</w:t>
      </w:r>
    </w:p>
    <w:p w14:paraId="0E05C2A4" w14:textId="695DCE89" w:rsidR="00492F9A" w:rsidRPr="009A6C14" w:rsidRDefault="00492F9A" w:rsidP="00AB61E7">
      <w:pPr>
        <w:pStyle w:val="NormalHanging12a"/>
      </w:pPr>
      <w:r w:rsidRPr="009A6C14">
        <w:t>E.</w:t>
      </w:r>
      <w:r w:rsidRPr="009A6C14">
        <w:tab/>
        <w:t>tā kā saskaņā ar Protokola Nr. 7 par privilēģijām un imunitāti Eiropas Savienībā 9. panta a) punktu Eiropas Parlamenta locekļiem savā valstī ir imunitāte, ko piešķir attiecīgās valsts parlamenta locekļiem;</w:t>
      </w:r>
    </w:p>
    <w:p w14:paraId="0E08D789" w14:textId="77777777" w:rsidR="00492F9A" w:rsidRPr="009A6C14" w:rsidRDefault="00492F9A" w:rsidP="00AB61E7">
      <w:pPr>
        <w:pStyle w:val="NormalHanging12a"/>
      </w:pPr>
      <w:r w:rsidRPr="009A6C14">
        <w:t>F.</w:t>
      </w:r>
      <w:r w:rsidRPr="009A6C14">
        <w:tab/>
        <w:t xml:space="preserve">tā kā saskaņā ar Polijas Konstitūcijas 105. panta 2. un 5. punktu, sākot no vēlēšanu rezultātu pasludināšanas dienas un līdz attiecīgā deputāta mandāta termiņa beigām, viņu bez Polijas Republikas </w:t>
      </w:r>
      <w:proofErr w:type="spellStart"/>
      <w:r w:rsidRPr="009A6C14">
        <w:t>Sejma</w:t>
      </w:r>
      <w:proofErr w:type="spellEnd"/>
      <w:r w:rsidRPr="009A6C14">
        <w:t xml:space="preserve"> piekrišanas pie kriminālatbildības nesauc un bez minētās piekrišanas nedz aiztur, nedz apcietina, izņemot gadījumus, kuros viņš tiek pieķerts noziedzīga nodarījuma izdarīšanas brīdī un kuros viņa aizturēšana ir nepieciešama, lai nodrošinātu procesuālo darbību pienācīgu veikšanu;</w:t>
      </w:r>
    </w:p>
    <w:p w14:paraId="044160F7" w14:textId="77777777" w:rsidR="00492F9A" w:rsidRPr="009A6C14" w:rsidRDefault="00492F9A" w:rsidP="00AB61E7">
      <w:pPr>
        <w:pStyle w:val="NormalHanging12a"/>
      </w:pPr>
      <w:r w:rsidRPr="009A6C14">
        <w:t>G.</w:t>
      </w:r>
      <w:r w:rsidRPr="009A6C14">
        <w:tab/>
        <w:t>tā kā parlamentārās imunitātes mērķis ir aizsargāt Parlamentu un tā deputātus pret tiesvedību, kas tiek ierosināta par darbībām, kuras ir veiktas, pildot parlamentāros pienākumus, un kuras atrauti no šiem pienākumiem skatīt nevar;</w:t>
      </w:r>
    </w:p>
    <w:p w14:paraId="5B318E10" w14:textId="77777777" w:rsidR="00492F9A" w:rsidRPr="009A6C14" w:rsidRDefault="00492F9A" w:rsidP="00AB61E7">
      <w:pPr>
        <w:pStyle w:val="NormalHanging12a"/>
      </w:pPr>
      <w:r w:rsidRPr="009A6C14">
        <w:t>H.</w:t>
      </w:r>
      <w:r w:rsidRPr="009A6C14">
        <w:tab/>
        <w:t>tā kā saskaņā ar Parlamenta Reglamenta 5. panta 2. punktu deputāta imunitāte nav deputāta personiska privilēģija, bet gan visa Parlamenta un tā deputātu neatkarības garantija;</w:t>
      </w:r>
    </w:p>
    <w:p w14:paraId="1723EDB5" w14:textId="4EC95C2C" w:rsidR="00492F9A" w:rsidRPr="009A6C14" w:rsidRDefault="00492F9A" w:rsidP="00AB61E7">
      <w:pPr>
        <w:pStyle w:val="NormalHanging12a"/>
      </w:pPr>
      <w:r w:rsidRPr="009A6C14">
        <w:t>I.</w:t>
      </w:r>
      <w:r w:rsidRPr="009A6C14">
        <w:tab/>
        <w:t xml:space="preserve">tā kā šajā lietā Parlamentam nav pierādījumu par </w:t>
      </w:r>
      <w:proofErr w:type="spellStart"/>
      <w:r w:rsidRPr="009A6C14">
        <w:rPr>
          <w:i/>
        </w:rPr>
        <w:t>fumus</w:t>
      </w:r>
      <w:proofErr w:type="spellEnd"/>
      <w:r w:rsidRPr="009A6C14">
        <w:rPr>
          <w:i/>
        </w:rPr>
        <w:t xml:space="preserve"> </w:t>
      </w:r>
      <w:proofErr w:type="spellStart"/>
      <w:r w:rsidRPr="009A6C14">
        <w:rPr>
          <w:i/>
        </w:rPr>
        <w:t>persecutionis</w:t>
      </w:r>
      <w:proofErr w:type="spellEnd"/>
      <w:r w:rsidRPr="009A6C14">
        <w:t xml:space="preserve">, proti, par faktiskiem apstākļiem, kas norādītu uz to, ka attiecīgais kriminālprocess ir ierosināts, lai kaitētu attiecīgā </w:t>
      </w:r>
      <w:r w:rsidR="009F0FD0" w:rsidRPr="009A6C14">
        <w:t xml:space="preserve">deputāta politiskajai darbībai kā </w:t>
      </w:r>
      <w:r w:rsidRPr="009A6C14">
        <w:t>Eiropas Parlamenta deputāta</w:t>
      </w:r>
      <w:r w:rsidR="009F0FD0" w:rsidRPr="009A6C14">
        <w:t>m</w:t>
      </w:r>
      <w:r w:rsidRPr="009A6C14">
        <w:t>;</w:t>
      </w:r>
    </w:p>
    <w:p w14:paraId="5862EFD3" w14:textId="77777777" w:rsidR="00492F9A" w:rsidRPr="009A6C14" w:rsidRDefault="00492F9A" w:rsidP="00AB61E7">
      <w:pPr>
        <w:pStyle w:val="NormalHanging12a"/>
      </w:pPr>
      <w:r w:rsidRPr="009A6C14">
        <w:t>J.</w:t>
      </w:r>
      <w:r w:rsidRPr="009A6C14">
        <w:tab/>
        <w:t xml:space="preserve">tā kā, no vienas puses, Parlaments nevar tikt pielīdzināts tiesai un, no otras puses, </w:t>
      </w:r>
      <w:r w:rsidRPr="009A6C14">
        <w:lastRenderedPageBreak/>
        <w:t>deputāts imunitātes atcelšanas procedūras kontekstā nevar tikt uzskatīts par apsūdzēto</w:t>
      </w:r>
      <w:r w:rsidRPr="009A6C14">
        <w:rPr>
          <w:vertAlign w:val="superscript"/>
        </w:rPr>
        <w:footnoteReference w:id="2"/>
      </w:r>
      <w:r w:rsidRPr="009A6C14">
        <w:t>,</w:t>
      </w:r>
    </w:p>
    <w:p w14:paraId="66975EE5" w14:textId="77777777" w:rsidR="00492F9A" w:rsidRPr="009A6C14" w:rsidRDefault="00492F9A" w:rsidP="00AB61E7">
      <w:pPr>
        <w:pStyle w:val="NormalHanging12a"/>
      </w:pPr>
      <w:r w:rsidRPr="009A6C14">
        <w:t>1.</w:t>
      </w:r>
      <w:r w:rsidRPr="009A6C14">
        <w:tab/>
        <w:t xml:space="preserve">nolemj atcelt </w:t>
      </w:r>
      <w:proofErr w:type="spellStart"/>
      <w:r w:rsidRPr="009A6C14">
        <w:rPr>
          <w:i/>
        </w:rPr>
        <w:t>Maciej</w:t>
      </w:r>
      <w:proofErr w:type="spellEnd"/>
      <w:r w:rsidRPr="009A6C14">
        <w:rPr>
          <w:i/>
        </w:rPr>
        <w:t xml:space="preserve"> </w:t>
      </w:r>
      <w:proofErr w:type="spellStart"/>
      <w:r w:rsidRPr="009A6C14">
        <w:rPr>
          <w:i/>
        </w:rPr>
        <w:t>Wąsik</w:t>
      </w:r>
      <w:proofErr w:type="spellEnd"/>
      <w:r w:rsidRPr="009A6C14">
        <w:t xml:space="preserve"> imunitāti;</w:t>
      </w:r>
    </w:p>
    <w:p w14:paraId="582070F3" w14:textId="77777777" w:rsidR="00E365E1" w:rsidRPr="009A6C14" w:rsidRDefault="00492F9A" w:rsidP="00AB61E7">
      <w:pPr>
        <w:pStyle w:val="NormalHanging12a"/>
      </w:pPr>
      <w:r w:rsidRPr="009A6C14">
        <w:t>2.</w:t>
      </w:r>
      <w:r w:rsidRPr="009A6C14">
        <w:tab/>
        <w:t xml:space="preserve">uzdod priekšsēdētājai šo lēmumu un atbildīgās komitejas ziņojumu nekavējoties nosūtīt Polijas Republikas kompetentajām iestādēm un </w:t>
      </w:r>
      <w:proofErr w:type="spellStart"/>
      <w:r w:rsidRPr="009A6C14">
        <w:rPr>
          <w:i/>
          <w:iCs/>
        </w:rPr>
        <w:t>Maciej</w:t>
      </w:r>
      <w:proofErr w:type="spellEnd"/>
      <w:r w:rsidRPr="009A6C14">
        <w:rPr>
          <w:i/>
          <w:iCs/>
        </w:rPr>
        <w:t xml:space="preserve"> </w:t>
      </w:r>
      <w:proofErr w:type="spellStart"/>
      <w:r w:rsidRPr="009A6C14">
        <w:rPr>
          <w:i/>
          <w:iCs/>
        </w:rPr>
        <w:t>Wąsik</w:t>
      </w:r>
      <w:proofErr w:type="spellEnd"/>
      <w:r w:rsidRPr="009A6C14">
        <w:t>.</w:t>
      </w:r>
    </w:p>
    <w:sectPr w:rsidR="00E365E1" w:rsidRPr="009A6C14" w:rsidSect="00923FB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F2691" w14:textId="77777777" w:rsidR="002A6568" w:rsidRPr="00923FBF" w:rsidRDefault="002A6568">
      <w:r w:rsidRPr="00923FBF">
        <w:separator/>
      </w:r>
    </w:p>
  </w:endnote>
  <w:endnote w:type="continuationSeparator" w:id="0">
    <w:p w14:paraId="428F2D5C" w14:textId="77777777" w:rsidR="002A6568" w:rsidRPr="00923FBF" w:rsidRDefault="002A6568">
      <w:r w:rsidRPr="00923F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9B3E1" w14:textId="77777777" w:rsidR="00064002" w:rsidRPr="00923F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6B78" w14:textId="77777777" w:rsidR="00064002" w:rsidRPr="00923F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3B3A5" w14:textId="77777777" w:rsidR="00064002" w:rsidRPr="00923F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55763" w14:textId="77777777" w:rsidR="002A6568" w:rsidRPr="00923FBF" w:rsidRDefault="002A6568">
      <w:r w:rsidRPr="00923FBF">
        <w:separator/>
      </w:r>
    </w:p>
  </w:footnote>
  <w:footnote w:type="continuationSeparator" w:id="0">
    <w:p w14:paraId="7A458F67" w14:textId="77777777" w:rsidR="002A6568" w:rsidRPr="00923FBF" w:rsidRDefault="002A6568">
      <w:r w:rsidRPr="00923FBF">
        <w:continuationSeparator/>
      </w:r>
    </w:p>
  </w:footnote>
  <w:footnote w:id="1">
    <w:p w14:paraId="04FE83CF" w14:textId="7F7D3D00" w:rsidR="00492F9A" w:rsidRPr="00923FBF" w:rsidRDefault="00492F9A" w:rsidP="00042C38">
      <w:pPr>
        <w:pStyle w:val="FootnoteText"/>
        <w:ind w:left="567" w:hanging="567"/>
        <w:rPr>
          <w:sz w:val="24"/>
          <w:lang w:val="lv-LV"/>
        </w:rPr>
      </w:pPr>
      <w:r w:rsidRPr="00923FBF">
        <w:rPr>
          <w:rStyle w:val="FootnoteReference"/>
          <w:sz w:val="24"/>
          <w:lang w:val="lv-LV"/>
        </w:rPr>
        <w:footnoteRef/>
      </w:r>
      <w:r w:rsidR="00923FBF" w:rsidRPr="00923FBF">
        <w:rPr>
          <w:sz w:val="24"/>
          <w:lang w:val="lv-LV"/>
        </w:rPr>
        <w:t xml:space="preserve"> </w:t>
      </w:r>
      <w:r w:rsidR="00923FBF" w:rsidRPr="00923FBF">
        <w:rPr>
          <w:sz w:val="24"/>
          <w:lang w:val="lv-LV"/>
        </w:rPr>
        <w:tab/>
      </w:r>
      <w:r w:rsidRPr="00923FBF">
        <w:rPr>
          <w:sz w:val="24"/>
          <w:lang w:val="lv-LV"/>
        </w:rPr>
        <w:t xml:space="preserve">Tiesas 2008. gada 21. oktobra spriedums, </w:t>
      </w:r>
      <w:proofErr w:type="spellStart"/>
      <w:r w:rsidRPr="00923FBF">
        <w:rPr>
          <w:i/>
          <w:sz w:val="24"/>
          <w:lang w:val="lv-LV"/>
        </w:rPr>
        <w:t>Marra</w:t>
      </w:r>
      <w:proofErr w:type="spellEnd"/>
      <w:r w:rsidRPr="00923FBF">
        <w:rPr>
          <w:i/>
          <w:sz w:val="24"/>
          <w:lang w:val="lv-LV"/>
        </w:rPr>
        <w:t>/</w:t>
      </w:r>
      <w:proofErr w:type="spellStart"/>
      <w:r w:rsidRPr="00923FBF">
        <w:rPr>
          <w:i/>
          <w:sz w:val="24"/>
          <w:lang w:val="lv-LV"/>
        </w:rPr>
        <w:t>De</w:t>
      </w:r>
      <w:proofErr w:type="spellEnd"/>
      <w:r w:rsidRPr="00923FBF">
        <w:rPr>
          <w:i/>
          <w:sz w:val="24"/>
          <w:lang w:val="lv-LV"/>
        </w:rPr>
        <w:t xml:space="preserve"> Gregorio</w:t>
      </w:r>
      <w:r w:rsidRPr="00923FBF">
        <w:rPr>
          <w:sz w:val="24"/>
          <w:lang w:val="lv-LV"/>
        </w:rPr>
        <w:t xml:space="preserve"> un </w:t>
      </w:r>
      <w:proofErr w:type="spellStart"/>
      <w:r w:rsidRPr="00923FBF">
        <w:rPr>
          <w:i/>
          <w:sz w:val="24"/>
          <w:lang w:val="lv-LV"/>
        </w:rPr>
        <w:t>Clemente</w:t>
      </w:r>
      <w:proofErr w:type="spellEnd"/>
      <w:r w:rsidRPr="00923FBF">
        <w:rPr>
          <w:sz w:val="24"/>
          <w:lang w:val="lv-LV"/>
        </w:rPr>
        <w:t xml:space="preserve">, C-200/07 un C-201/07, ECLI:EU:C:2008:579; Tiesas 2010. gada 19. marta spriedums, </w:t>
      </w:r>
      <w:proofErr w:type="spellStart"/>
      <w:r w:rsidRPr="00923FBF">
        <w:rPr>
          <w:i/>
          <w:sz w:val="24"/>
          <w:lang w:val="lv-LV"/>
        </w:rPr>
        <w:t>Gollnisch</w:t>
      </w:r>
      <w:proofErr w:type="spellEnd"/>
      <w:r w:rsidRPr="00923FBF">
        <w:rPr>
          <w:sz w:val="24"/>
          <w:lang w:val="lv-LV"/>
        </w:rPr>
        <w:t xml:space="preserve">/Parlaments, T-42/06, ECLI:EU:T:2010:102; Tiesas 2011. gada 6. septembra spriedums, </w:t>
      </w:r>
      <w:proofErr w:type="spellStart"/>
      <w:r w:rsidRPr="00923FBF">
        <w:rPr>
          <w:i/>
          <w:sz w:val="24"/>
          <w:lang w:val="lv-LV"/>
        </w:rPr>
        <w:t>Patriciello</w:t>
      </w:r>
      <w:proofErr w:type="spellEnd"/>
      <w:r w:rsidRPr="00923FBF">
        <w:rPr>
          <w:sz w:val="24"/>
          <w:lang w:val="lv-LV"/>
        </w:rPr>
        <w:t xml:space="preserve">, C-163/10, ECLI: EU:C:2011:543; Vispārējās tiesas 2013. gada 17. janvāra spriedums, </w:t>
      </w:r>
      <w:proofErr w:type="spellStart"/>
      <w:r w:rsidRPr="00923FBF">
        <w:rPr>
          <w:i/>
          <w:sz w:val="24"/>
          <w:lang w:val="lv-LV"/>
        </w:rPr>
        <w:t>Gollnisch</w:t>
      </w:r>
      <w:proofErr w:type="spellEnd"/>
      <w:r w:rsidRPr="00923FBF">
        <w:rPr>
          <w:sz w:val="24"/>
          <w:lang w:val="lv-LV"/>
        </w:rPr>
        <w:t xml:space="preserve">/Parlaments, T-346/11 un T-347/11, ECLI:EU:T:2013:23. Tiesas 2019. gada 19. decembra spriedums, </w:t>
      </w:r>
      <w:proofErr w:type="spellStart"/>
      <w:r w:rsidRPr="00923FBF">
        <w:rPr>
          <w:i/>
          <w:sz w:val="24"/>
          <w:lang w:val="lv-LV"/>
        </w:rPr>
        <w:t>Junqueras</w:t>
      </w:r>
      <w:proofErr w:type="spellEnd"/>
      <w:r w:rsidRPr="00923FBF">
        <w:rPr>
          <w:i/>
          <w:sz w:val="24"/>
          <w:lang w:val="lv-LV"/>
        </w:rPr>
        <w:t xml:space="preserve"> Vies</w:t>
      </w:r>
      <w:r w:rsidRPr="00923FBF">
        <w:rPr>
          <w:sz w:val="24"/>
          <w:lang w:val="lv-LV"/>
        </w:rPr>
        <w:t xml:space="preserve">, C-502/19, ECLI:EU:C:2019:1115; Vispārējās tiesas 2023. gada 5. jūlija spriedums, </w:t>
      </w:r>
      <w:proofErr w:type="spellStart"/>
      <w:r w:rsidRPr="00923FBF">
        <w:rPr>
          <w:i/>
          <w:sz w:val="24"/>
          <w:lang w:val="lv-LV"/>
        </w:rPr>
        <w:t>Puigdemont</w:t>
      </w:r>
      <w:proofErr w:type="spellEnd"/>
      <w:r w:rsidRPr="00923FBF">
        <w:rPr>
          <w:i/>
          <w:sz w:val="24"/>
          <w:lang w:val="lv-LV"/>
        </w:rPr>
        <w:t xml:space="preserve"> i </w:t>
      </w:r>
      <w:proofErr w:type="spellStart"/>
      <w:r w:rsidRPr="00923FBF">
        <w:rPr>
          <w:i/>
          <w:sz w:val="24"/>
          <w:lang w:val="lv-LV"/>
        </w:rPr>
        <w:t>Casamajó</w:t>
      </w:r>
      <w:proofErr w:type="spellEnd"/>
      <w:r w:rsidRPr="00923FBF">
        <w:rPr>
          <w:sz w:val="24"/>
          <w:lang w:val="lv-LV"/>
        </w:rPr>
        <w:t xml:space="preserve"> u.c./Parlaments, T-272/21/P, ECLI:EU:T:2023:373.</w:t>
      </w:r>
    </w:p>
  </w:footnote>
  <w:footnote w:id="2">
    <w:p w14:paraId="33134111" w14:textId="77777777" w:rsidR="00492F9A" w:rsidRPr="00923FBF" w:rsidRDefault="00492F9A" w:rsidP="00923FBF">
      <w:pPr>
        <w:pStyle w:val="FootnoteText"/>
        <w:ind w:left="567" w:hanging="567"/>
        <w:rPr>
          <w:sz w:val="24"/>
          <w:lang w:val="lv-LV"/>
        </w:rPr>
      </w:pPr>
      <w:r w:rsidRPr="00923FBF">
        <w:rPr>
          <w:rStyle w:val="FootnoteReference"/>
          <w:sz w:val="24"/>
          <w:lang w:val="lv-LV"/>
        </w:rPr>
        <w:footnoteRef/>
      </w:r>
      <w:r w:rsidR="00923FBF" w:rsidRPr="00923FBF">
        <w:rPr>
          <w:sz w:val="24"/>
          <w:lang w:val="lv-LV"/>
        </w:rPr>
        <w:t xml:space="preserve"> </w:t>
      </w:r>
      <w:r w:rsidR="00923FBF" w:rsidRPr="00923FBF">
        <w:rPr>
          <w:sz w:val="24"/>
          <w:lang w:val="lv-LV"/>
        </w:rPr>
        <w:tab/>
      </w:r>
      <w:r w:rsidRPr="00923FBF">
        <w:rPr>
          <w:sz w:val="24"/>
          <w:lang w:val="lv-LV"/>
        </w:rPr>
        <w:t xml:space="preserve">Vispārējās tiesas 2019. gada 30. aprīļa spriedums, </w:t>
      </w:r>
      <w:proofErr w:type="spellStart"/>
      <w:r w:rsidRPr="00923FBF">
        <w:rPr>
          <w:i/>
          <w:sz w:val="24"/>
          <w:lang w:val="lv-LV"/>
        </w:rPr>
        <w:t>Briois</w:t>
      </w:r>
      <w:proofErr w:type="spellEnd"/>
      <w:r w:rsidRPr="00923FBF">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2FB4A" w14:textId="77777777" w:rsidR="00064002" w:rsidRPr="00923F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A602C" w14:textId="77777777" w:rsidR="00064002" w:rsidRPr="00923F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C8313" w14:textId="77777777" w:rsidR="00064002" w:rsidRPr="00923F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LV"/>
    <w:docVar w:name="dvnumam" w:val="0"/>
    <w:docVar w:name="dvpe" w:val="766.695"/>
    <w:docVar w:name="dvrapporteur" w:val="Referents: "/>
    <w:docVar w:name="dvtitre" w:val="Eiropas Parlamenta 2025. gada XX. XXX lēmums par pieprasījumu atcelt Maciej Wąsik imunitāti(2024/2043(IMM))"/>
  </w:docVars>
  <w:rsids>
    <w:rsidRoot w:val="002A6568"/>
    <w:rsid w:val="00002272"/>
    <w:rsid w:val="00042C38"/>
    <w:rsid w:val="00064002"/>
    <w:rsid w:val="000677B9"/>
    <w:rsid w:val="000831BA"/>
    <w:rsid w:val="000A42CC"/>
    <w:rsid w:val="000E7DD9"/>
    <w:rsid w:val="0010095E"/>
    <w:rsid w:val="00125B37"/>
    <w:rsid w:val="00187494"/>
    <w:rsid w:val="001F32AE"/>
    <w:rsid w:val="002767FF"/>
    <w:rsid w:val="002A6568"/>
    <w:rsid w:val="002B18FE"/>
    <w:rsid w:val="002B5493"/>
    <w:rsid w:val="00343214"/>
    <w:rsid w:val="00361C00"/>
    <w:rsid w:val="00395FA1"/>
    <w:rsid w:val="003E15D4"/>
    <w:rsid w:val="00411CCE"/>
    <w:rsid w:val="0041666E"/>
    <w:rsid w:val="00421060"/>
    <w:rsid w:val="00471C19"/>
    <w:rsid w:val="004867E3"/>
    <w:rsid w:val="00492F9A"/>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FBF"/>
    <w:rsid w:val="00930C23"/>
    <w:rsid w:val="0093193B"/>
    <w:rsid w:val="009509D8"/>
    <w:rsid w:val="00950B64"/>
    <w:rsid w:val="00981893"/>
    <w:rsid w:val="009A6C14"/>
    <w:rsid w:val="009F0FD0"/>
    <w:rsid w:val="00A1687D"/>
    <w:rsid w:val="00A43E52"/>
    <w:rsid w:val="00A4678D"/>
    <w:rsid w:val="00A778C7"/>
    <w:rsid w:val="00AB441E"/>
    <w:rsid w:val="00AB61E7"/>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565"/>
    <w:rsid w:val="00E30A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CAD2E"/>
  <w15:chartTrackingRefBased/>
  <w15:docId w15:val="{8321564F-9172-49E4-9F33-5C2185E5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2F9A"/>
    <w:rPr>
      <w:b/>
    </w:rPr>
  </w:style>
  <w:style w:type="paragraph" w:customStyle="1" w:styleId="NormalHanging12a">
    <w:name w:val="NormalHanging12a"/>
    <w:basedOn w:val="Normal"/>
    <w:rsid w:val="00492F9A"/>
    <w:pPr>
      <w:spacing w:after="240"/>
      <w:ind w:left="567" w:hanging="567"/>
    </w:pPr>
  </w:style>
  <w:style w:type="paragraph" w:customStyle="1" w:styleId="EPComma">
    <w:name w:val="EPComma"/>
    <w:basedOn w:val="Normal"/>
    <w:rsid w:val="00492F9A"/>
    <w:pPr>
      <w:spacing w:before="480" w:after="240"/>
    </w:pPr>
  </w:style>
  <w:style w:type="character" w:styleId="CommentReference">
    <w:name w:val="annotation reference"/>
    <w:basedOn w:val="DefaultParagraphFont"/>
    <w:rsid w:val="00AB61E7"/>
    <w:rPr>
      <w:sz w:val="16"/>
      <w:szCs w:val="16"/>
    </w:rPr>
  </w:style>
  <w:style w:type="paragraph" w:styleId="CommentText">
    <w:name w:val="annotation text"/>
    <w:basedOn w:val="Normal"/>
    <w:link w:val="CommentTextChar"/>
    <w:rsid w:val="00AB61E7"/>
    <w:rPr>
      <w:sz w:val="20"/>
    </w:rPr>
  </w:style>
  <w:style w:type="character" w:customStyle="1" w:styleId="CommentTextChar">
    <w:name w:val="Comment Text Char"/>
    <w:basedOn w:val="DefaultParagraphFont"/>
    <w:link w:val="CommentText"/>
    <w:rsid w:val="00AB61E7"/>
    <w:rPr>
      <w:lang w:val="lv-LV"/>
    </w:rPr>
  </w:style>
  <w:style w:type="paragraph" w:styleId="CommentSubject">
    <w:name w:val="annotation subject"/>
    <w:basedOn w:val="CommentText"/>
    <w:next w:val="CommentText"/>
    <w:link w:val="CommentSubjectChar"/>
    <w:rsid w:val="00AB61E7"/>
    <w:rPr>
      <w:b/>
      <w:bCs/>
    </w:rPr>
  </w:style>
  <w:style w:type="character" w:customStyle="1" w:styleId="CommentSubjectChar">
    <w:name w:val="Comment Subject Char"/>
    <w:basedOn w:val="CommentTextChar"/>
    <w:link w:val="CommentSubject"/>
    <w:rsid w:val="00AB61E7"/>
    <w:rPr>
      <w:b/>
      <w:bCs/>
      <w:lang w:val="lv-LV"/>
    </w:rPr>
  </w:style>
  <w:style w:type="paragraph" w:styleId="BalloonText">
    <w:name w:val="Balloon Text"/>
    <w:basedOn w:val="Normal"/>
    <w:link w:val="BalloonTextChar"/>
    <w:rsid w:val="00AB61E7"/>
    <w:rPr>
      <w:rFonts w:ascii="Segoe UI" w:hAnsi="Segoe UI" w:cs="Segoe UI"/>
      <w:sz w:val="18"/>
      <w:szCs w:val="18"/>
    </w:rPr>
  </w:style>
  <w:style w:type="character" w:customStyle="1" w:styleId="BalloonTextChar">
    <w:name w:val="Balloon Text Char"/>
    <w:basedOn w:val="DefaultParagraphFont"/>
    <w:link w:val="BalloonText"/>
    <w:rsid w:val="00AB61E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46E7A-A971-420B-83B5-1EA3A6C2D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655</Words>
  <Characters>4144</Characters>
  <Application>Microsoft Office Word</Application>
  <DocSecurity>0</DocSecurity>
  <Lines>159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2025-05-05T12:50:00Z</dcterms:created>
  <dcterms:modified xsi:type="dcterms:W3CDTF">2025-05-05T12:50:00Z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A10-0031/2025</vt:lpwstr>
  </property>
  <property fmtid="{D5CDD505-2E9C-101B-9397-08002B2CF9AE}" pid="4" name="&lt;Type&gt;">
    <vt:lpwstr>RR</vt:lpwstr>
  </property>
</Properties>
</file>