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A0B" w:rsidTr="0010095E">
        <w:trPr>
          <w:trHeight w:hRule="exact" w:val="1418"/>
        </w:trPr>
        <w:tc>
          <w:tcPr>
            <w:tcW w:w="6804" w:type="dxa"/>
            <w:shd w:val="clear" w:color="auto" w:fill="auto"/>
            <w:vAlign w:val="center"/>
          </w:tcPr>
          <w:p w:rsidR="00751A4A" w:rsidRPr="008A3A0B" w:rsidRDefault="007D3374" w:rsidP="0010095E">
            <w:pPr>
              <w:pStyle w:val="EPName"/>
            </w:pPr>
            <w:r w:rsidRPr="008A3A0B">
              <w:t>Parlamentul European</w:t>
            </w:r>
          </w:p>
          <w:p w:rsidR="00751A4A" w:rsidRPr="008A3A0B" w:rsidRDefault="005F1B17" w:rsidP="005F1B17">
            <w:pPr>
              <w:pStyle w:val="EPTerm"/>
              <w:rPr>
                <w:rStyle w:val="HideTWBExt"/>
                <w:noProof w:val="0"/>
                <w:vanish w:val="0"/>
                <w:color w:val="auto"/>
              </w:rPr>
            </w:pPr>
            <w:r w:rsidRPr="008A3A0B">
              <w:t>2024</w:t>
            </w:r>
            <w:r w:rsidR="00817416" w:rsidRPr="008A3A0B">
              <w:t>-202</w:t>
            </w:r>
            <w:r w:rsidRPr="008A3A0B">
              <w:t>9</w:t>
            </w:r>
          </w:p>
        </w:tc>
        <w:tc>
          <w:tcPr>
            <w:tcW w:w="2268" w:type="dxa"/>
            <w:shd w:val="clear" w:color="auto" w:fill="auto"/>
          </w:tcPr>
          <w:p w:rsidR="00751A4A" w:rsidRPr="008A3A0B" w:rsidRDefault="00187494" w:rsidP="0010095E">
            <w:pPr>
              <w:pStyle w:val="EPLogo"/>
            </w:pPr>
            <w:r w:rsidRPr="008A3A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3A0B" w:rsidRDefault="00D058B8" w:rsidP="004C5D52">
      <w:pPr>
        <w:pStyle w:val="LineTop"/>
      </w:pPr>
    </w:p>
    <w:p w:rsidR="00680577" w:rsidRPr="008A3A0B" w:rsidRDefault="007D3374" w:rsidP="00680577">
      <w:pPr>
        <w:pStyle w:val="EPBodyTA1"/>
      </w:pPr>
      <w:r w:rsidRPr="008A3A0B">
        <w:t>TEXTE ADOPTATE</w:t>
      </w:r>
    </w:p>
    <w:p w:rsidR="00D058B8" w:rsidRPr="008A3A0B" w:rsidRDefault="00D058B8" w:rsidP="00D058B8">
      <w:pPr>
        <w:pStyle w:val="LineBottom"/>
      </w:pPr>
    </w:p>
    <w:p w:rsidR="007D3374" w:rsidRPr="008A3A0B" w:rsidRDefault="007D3374" w:rsidP="007D3374">
      <w:pPr>
        <w:pStyle w:val="ATHeading1"/>
      </w:pPr>
      <w:bookmarkStart w:id="0" w:name="TANumber"/>
      <w:r w:rsidRPr="008A3A0B">
        <w:t>P10_TA(2025)00</w:t>
      </w:r>
      <w:bookmarkEnd w:id="0"/>
      <w:r w:rsidR="009E1861">
        <w:t>42</w:t>
      </w:r>
      <w:bookmarkStart w:id="1" w:name="_GoBack"/>
      <w:bookmarkEnd w:id="1"/>
    </w:p>
    <w:p w:rsidR="007D3374" w:rsidRPr="008A3A0B" w:rsidRDefault="007D3374" w:rsidP="007D3374">
      <w:pPr>
        <w:pStyle w:val="ATHeading2"/>
      </w:pPr>
      <w:bookmarkStart w:id="2" w:name="title"/>
      <w:r w:rsidRPr="008A3A0B">
        <w:t xml:space="preserve">Cerere de ridicare a imunității </w:t>
      </w:r>
      <w:r w:rsidR="00AF2ADD" w:rsidRPr="00AF2ADD">
        <w:t>deputatului</w:t>
      </w:r>
      <w:r w:rsidRPr="008A3A0B">
        <w:t xml:space="preserve"> Maciej Wąsik</w:t>
      </w:r>
      <w:bookmarkEnd w:id="2"/>
    </w:p>
    <w:p w:rsidR="007D3374" w:rsidRPr="008A3A0B" w:rsidRDefault="007D3374" w:rsidP="007D3374">
      <w:pPr>
        <w:rPr>
          <w:i/>
          <w:vanish/>
        </w:rPr>
      </w:pPr>
      <w:r w:rsidRPr="008A3A0B">
        <w:rPr>
          <w:i/>
        </w:rPr>
        <w:fldChar w:fldCharType="begin"/>
      </w:r>
      <w:r w:rsidRPr="008A3A0B">
        <w:rPr>
          <w:i/>
        </w:rPr>
        <w:instrText xml:space="preserve"> TC"(</w:instrText>
      </w:r>
      <w:bookmarkStart w:id="3" w:name="DocNumber"/>
      <w:r w:rsidRPr="008A3A0B">
        <w:rPr>
          <w:i/>
        </w:rPr>
        <w:instrText>A10-0031/2025</w:instrText>
      </w:r>
      <w:bookmarkEnd w:id="3"/>
      <w:r w:rsidRPr="008A3A0B">
        <w:rPr>
          <w:i/>
        </w:rPr>
        <w:instrText xml:space="preserve"> - Raportor: Mario Furore)"\l3 \n&gt; \* MERGEFORMAT </w:instrText>
      </w:r>
      <w:r w:rsidRPr="008A3A0B">
        <w:rPr>
          <w:i/>
        </w:rPr>
        <w:fldChar w:fldCharType="end"/>
      </w:r>
    </w:p>
    <w:p w:rsidR="007D3374" w:rsidRPr="008A3A0B" w:rsidRDefault="007D3374" w:rsidP="007D3374">
      <w:pPr>
        <w:rPr>
          <w:vanish/>
        </w:rPr>
      </w:pPr>
      <w:bookmarkStart w:id="4" w:name="Commission"/>
      <w:r w:rsidRPr="008A3A0B">
        <w:rPr>
          <w:vanish/>
        </w:rPr>
        <w:t>Comisia pentru afaceri juridice</w:t>
      </w:r>
      <w:bookmarkEnd w:id="4"/>
    </w:p>
    <w:p w:rsidR="007D3374" w:rsidRPr="008A3A0B" w:rsidRDefault="007D3374" w:rsidP="007D3374">
      <w:pPr>
        <w:rPr>
          <w:vanish/>
        </w:rPr>
      </w:pPr>
      <w:bookmarkStart w:id="5" w:name="PE"/>
      <w:r w:rsidRPr="008A3A0B">
        <w:rPr>
          <w:vanish/>
        </w:rPr>
        <w:t>PE766.695</w:t>
      </w:r>
      <w:bookmarkEnd w:id="5"/>
    </w:p>
    <w:p w:rsidR="007D3374" w:rsidRPr="008A3A0B" w:rsidRDefault="00C466DE" w:rsidP="00715373">
      <w:pPr>
        <w:pStyle w:val="ATHeading3"/>
      </w:pPr>
      <w:bookmarkStart w:id="6" w:name="Sujet"/>
      <w:r>
        <w:t>Decizia</w:t>
      </w:r>
      <w:r w:rsidR="007D3374" w:rsidRPr="008A3A0B">
        <w:t xml:space="preserve"> Parlamentului European din 1 aprilie 2025 </w:t>
      </w:r>
      <w:r>
        <w:t>privind</w:t>
      </w:r>
      <w:r w:rsidR="007D3374" w:rsidRPr="008A3A0B">
        <w:t xml:space="preserve"> cererea de ridicare a imunității deputatului Maciej Wąsik</w:t>
      </w:r>
      <w:bookmarkEnd w:id="6"/>
      <w:r w:rsidR="007D3374" w:rsidRPr="008A3A0B">
        <w:t xml:space="preserve"> </w:t>
      </w:r>
      <w:bookmarkStart w:id="7" w:name="References"/>
      <w:r w:rsidR="007D3374" w:rsidRPr="008A3A0B">
        <w:t>(2024/2043(IMM))</w:t>
      </w:r>
      <w:bookmarkEnd w:id="7"/>
    </w:p>
    <w:p w:rsidR="002E55EE" w:rsidRPr="008A3A0B" w:rsidRDefault="002E55EE" w:rsidP="002E55EE">
      <w:pPr>
        <w:pStyle w:val="EPComma"/>
      </w:pPr>
      <w:bookmarkStart w:id="8" w:name="TextBodyBegin"/>
      <w:bookmarkEnd w:id="8"/>
      <w:r w:rsidRPr="008A3A0B">
        <w:rPr>
          <w:i/>
        </w:rPr>
        <w:t>Parlamentul European</w:t>
      </w:r>
      <w:r w:rsidRPr="008A3A0B">
        <w:t>,</w:t>
      </w:r>
    </w:p>
    <w:p w:rsidR="002E55EE" w:rsidRPr="008A3A0B" w:rsidRDefault="002E55EE" w:rsidP="009E1861">
      <w:pPr>
        <w:pStyle w:val="NormalHanging12a"/>
      </w:pPr>
      <w:r w:rsidRPr="008A3A0B">
        <w:t>–</w:t>
      </w:r>
      <w:r w:rsidRPr="008A3A0B">
        <w:tab/>
        <w:t>având în vedere cererea de ridicare a imunității deputatului Maciej Wąsik, depusă de Procurorul General al Republicii Polone</w:t>
      </w:r>
      <w:r w:rsidR="00715373">
        <w:t xml:space="preserve"> </w:t>
      </w:r>
      <w:r w:rsidR="00715373" w:rsidRPr="00715373">
        <w:t>la 29 iulie 2024</w:t>
      </w:r>
      <w:r w:rsidRPr="008A3A0B">
        <w:t>, prin care s-a transmis o cerere formulată de Parchetul Regional din Varșovia în legătură cu o procedură penală inițiată împotriva lui Maciej Wąsik și comunicată în ședința plenară din 16 septembrie 2024,</w:t>
      </w:r>
    </w:p>
    <w:p w:rsidR="002E55EE" w:rsidRPr="008A3A0B" w:rsidRDefault="002E55EE" w:rsidP="009E1861">
      <w:pPr>
        <w:pStyle w:val="NormalHanging12a"/>
      </w:pPr>
      <w:r w:rsidRPr="008A3A0B">
        <w:t>–</w:t>
      </w:r>
      <w:r w:rsidRPr="008A3A0B">
        <w:tab/>
        <w:t xml:space="preserve">având în vedere audierea deputatului Maciej Wąsik </w:t>
      </w:r>
      <w:r w:rsidR="000E1C2D">
        <w:t>la</w:t>
      </w:r>
      <w:r w:rsidRPr="008A3A0B">
        <w:t xml:space="preserve"> 18 februarie 2025, în conformitate cu articolul 9 alineatul (6) din Regulamentul său de procedură, și având în vedere documentele prezentate de acesta,</w:t>
      </w:r>
    </w:p>
    <w:p w:rsidR="002E55EE" w:rsidRPr="008A3A0B" w:rsidRDefault="002E55EE" w:rsidP="009E1861">
      <w:pPr>
        <w:pStyle w:val="NormalHanging12a"/>
      </w:pPr>
      <w:r w:rsidRPr="008A3A0B">
        <w:t>–</w:t>
      </w:r>
      <w:r w:rsidRPr="008A3A0B">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2E55EE" w:rsidRPr="008A3A0B" w:rsidRDefault="002E55EE" w:rsidP="009E1861">
      <w:pPr>
        <w:pStyle w:val="NormalHanging12a"/>
      </w:pPr>
      <w:r w:rsidRPr="008A3A0B">
        <w:t>–</w:t>
      </w:r>
      <w:r w:rsidRPr="008A3A0B">
        <w:tab/>
        <w:t>având în vedere hotărârile Curții de Justiție a Uniunii Europene din 21 octombrie 2008, 19 martie 2010, 6 septembrie 2011, 17 ianuarie 2013, 19 decembrie 2019 și 5 iulie 2023</w:t>
      </w:r>
      <w:r w:rsidRPr="008A3A0B">
        <w:rPr>
          <w:rStyle w:val="FootnoteReference"/>
          <w:color w:val="000000"/>
        </w:rPr>
        <w:footnoteReference w:id="1"/>
      </w:r>
      <w:r w:rsidRPr="008A3A0B">
        <w:t>,</w:t>
      </w:r>
    </w:p>
    <w:p w:rsidR="002E55EE" w:rsidRPr="008A3A0B" w:rsidRDefault="002E55EE" w:rsidP="009E1861">
      <w:pPr>
        <w:pStyle w:val="NormalHanging12a"/>
      </w:pPr>
      <w:r w:rsidRPr="008A3A0B">
        <w:t>–</w:t>
      </w:r>
      <w:r w:rsidRPr="008A3A0B">
        <w:tab/>
        <w:t>având în vedere articolul 105 alineatele (2) și (5) din Constituția Republicii Polone,</w:t>
      </w:r>
    </w:p>
    <w:p w:rsidR="002E55EE" w:rsidRPr="008A3A0B" w:rsidRDefault="002E55EE" w:rsidP="009E1861">
      <w:pPr>
        <w:pStyle w:val="NormalHanging12a"/>
      </w:pPr>
      <w:r w:rsidRPr="008A3A0B">
        <w:t>–</w:t>
      </w:r>
      <w:r w:rsidRPr="008A3A0B">
        <w:tab/>
        <w:t xml:space="preserve">având în vedere articolul 5 alineatul (2), articolul 6 alineatul (1) și articolul 9 din </w:t>
      </w:r>
      <w:r w:rsidRPr="008A3A0B">
        <w:lastRenderedPageBreak/>
        <w:t>Regulamentul său de procedură,</w:t>
      </w:r>
    </w:p>
    <w:p w:rsidR="002E55EE" w:rsidRPr="008A3A0B" w:rsidRDefault="002E55EE" w:rsidP="009E1861">
      <w:pPr>
        <w:pStyle w:val="NormalHanging12a"/>
      </w:pPr>
      <w:r w:rsidRPr="008A3A0B">
        <w:t>–</w:t>
      </w:r>
      <w:r w:rsidRPr="008A3A0B">
        <w:tab/>
        <w:t>având în vedere raportul Comisiei pentru afaceri juridice (A10-0031/2025),</w:t>
      </w:r>
    </w:p>
    <w:p w:rsidR="002E55EE" w:rsidRPr="008A3A0B" w:rsidRDefault="002E55EE" w:rsidP="009E1861">
      <w:pPr>
        <w:pStyle w:val="NormalHanging12a"/>
      </w:pPr>
      <w:r w:rsidRPr="008A3A0B">
        <w:t>A.</w:t>
      </w:r>
      <w:r w:rsidRPr="008A3A0B">
        <w:tab/>
        <w:t>întrucât, prin scrisoarea din 29 iulie 2024, Procurorul General al Poloniei a transmis o cerere de ridicare a imunității deputatului Maciej Wąsik, formulată de Parchetul Regional din Varșovia, în legătură cu presupuse infracțiuni care sunt prevăzute la articolul 244 din Codul penal polonez coroborat cu articolul 12 din acest cod;</w:t>
      </w:r>
    </w:p>
    <w:p w:rsidR="002E55EE" w:rsidRPr="008A3A0B" w:rsidRDefault="002E55EE" w:rsidP="009E1861">
      <w:pPr>
        <w:pStyle w:val="NormalHanging12a"/>
      </w:pPr>
      <w:r w:rsidRPr="008A3A0B">
        <w:rPr>
          <w:shd w:val="clear" w:color="auto" w:fill="FFFFFF"/>
        </w:rPr>
        <w:t>B.</w:t>
      </w:r>
      <w:r w:rsidRPr="008A3A0B">
        <w:rPr>
          <w:shd w:val="clear" w:color="auto" w:fill="FFFFFF"/>
        </w:rPr>
        <w:tab/>
      </w:r>
      <w:r w:rsidRPr="008A3A0B">
        <w:t>întrucât în cerere</w:t>
      </w:r>
      <w:r w:rsidR="00D86512">
        <w:t>a respectivă</w:t>
      </w:r>
      <w:r w:rsidRPr="008A3A0B">
        <w:t xml:space="preserve"> se precizează că acțiunile pe care se presupune că Maciej Wąsik le-ar fi întreprins la 21 și 28 decembrie 2023 la Varșovia, cu premeditare și la intervale scurte de timp, au încălcat interdicția de a ocupa o funcție publică timp de cinci ani, care </w:t>
      </w:r>
      <w:r w:rsidR="00715373">
        <w:t xml:space="preserve">îi fusese </w:t>
      </w:r>
      <w:r w:rsidRPr="008A3A0B">
        <w:t>impusă prin hotărârea judecătorească definitivă și obligatorie pronunțată la 20 decembrie 2023 de Tribunalul Regional din Varșovia, în măsura în care Maciej Wąsik a îndeplinit sarcini legate de funcția de membru al Seimului (camera inferioară a Parlamentului Poloniei) Republicii Polone prin participarea la sesiunea Seimului din 21 decembrie 2023, care a inclus exercitarea votului în cadrul unor proceduri de votare, precum și prin participarea la o reuniune organizată de Comisia pentru administrație și afaceri interne a Seimului la 28 decembrie 2023; întrucât, potrivit articolului 244 din Codul penal polonez coroborat cu articolul 12 din acest cod, presupusele acțiuni constituie o infracțiune;</w:t>
      </w:r>
    </w:p>
    <w:p w:rsidR="002E55EE" w:rsidRPr="008A3A0B" w:rsidRDefault="002E55EE" w:rsidP="009E1861">
      <w:pPr>
        <w:pStyle w:val="NormalHanging12a"/>
      </w:pPr>
      <w:r w:rsidRPr="008A3A0B">
        <w:t>C.</w:t>
      </w:r>
      <w:r w:rsidRPr="008A3A0B">
        <w:tab/>
        <w:t xml:space="preserve">întrucât acuzațiile de mai sus împotriva deputatului Maciej Wąsik au fost formulate la 18 aprilie 2024; </w:t>
      </w:r>
      <w:r w:rsidRPr="008A3A0B">
        <w:rPr>
          <w:shd w:val="clear" w:color="auto" w:fill="FFFFFF"/>
        </w:rPr>
        <w:t xml:space="preserve">întrucât </w:t>
      </w:r>
      <w:r w:rsidRPr="008A3A0B">
        <w:t>Maciej Wąsik</w:t>
      </w:r>
      <w:r w:rsidRPr="008A3A0B">
        <w:rPr>
          <w:shd w:val="clear" w:color="auto" w:fill="FFFFFF"/>
        </w:rPr>
        <w:t xml:space="preserve"> a fost ales în Parlamentul European la alegerile europene din iunie 2024</w:t>
      </w:r>
      <w:r w:rsidRPr="008A3A0B">
        <w:t>; întrucât</w:t>
      </w:r>
      <w:r w:rsidRPr="008A3A0B">
        <w:rPr>
          <w:shd w:val="clear" w:color="auto" w:fill="FFFFFF"/>
        </w:rPr>
        <w:t xml:space="preserve"> </w:t>
      </w:r>
      <w:r w:rsidRPr="008A3A0B">
        <w:t>Maciej Wąsik</w:t>
      </w:r>
      <w:r w:rsidRPr="008A3A0B">
        <w:rPr>
          <w:shd w:val="clear" w:color="auto" w:fill="FFFFFF"/>
        </w:rPr>
        <w:t xml:space="preserve"> nu era deputat în Parlamentul European la data săvârșirii infracțiunii de care este acuzat;</w:t>
      </w:r>
    </w:p>
    <w:p w:rsidR="002E55EE" w:rsidRPr="008A3A0B" w:rsidRDefault="002E55EE" w:rsidP="009E1861">
      <w:pPr>
        <w:pStyle w:val="NormalHanging12a"/>
      </w:pPr>
      <w:r w:rsidRPr="008A3A0B">
        <w:t>D.</w:t>
      </w:r>
      <w:r w:rsidRPr="008A3A0B">
        <w:tab/>
        <w:t>întrucât presupusa infracțiune și cererea subsecventă de ridicare a imunității acestuia nu au legătură cu o opinie exprimată sau cu un vot exprimat de Maciej Wąsik în cadrul exercitării funcțiilor sale în sensul articolului 8 din Protocolul nr. 7 privind privilegiile și imunitățile Uniunii Europene;</w:t>
      </w:r>
    </w:p>
    <w:p w:rsidR="002E55EE" w:rsidRPr="008A3A0B" w:rsidRDefault="002E55EE" w:rsidP="009E1861">
      <w:pPr>
        <w:pStyle w:val="NormalHanging12a"/>
      </w:pPr>
      <w:r w:rsidRPr="008A3A0B">
        <w:t>E.</w:t>
      </w:r>
      <w:r w:rsidRPr="008A3A0B">
        <w:tab/>
        <w:t>întrucât, în conformitate cu articolul 9 primul paragraf litera (a) din Protocolul nr. 7 privind privilegiile și imunitățile Uniunii Europene, deputații în Parlamentul European beneficiază, pe teritoriul național, de imunitățile recunoscute membrilor parlamentului propriei țări;</w:t>
      </w:r>
    </w:p>
    <w:p w:rsidR="002E55EE" w:rsidRPr="008A3A0B" w:rsidRDefault="002E55EE" w:rsidP="009E1861">
      <w:pPr>
        <w:pStyle w:val="NormalHanging12a"/>
      </w:pPr>
      <w:r w:rsidRPr="008A3A0B">
        <w:t>F.</w:t>
      </w:r>
      <w:r w:rsidRPr="008A3A0B">
        <w:tab/>
        <w:t>întrucât, în conformitate cu articolul 105 alineatele (2) și (5) din Constituția Poloniei, din ziua anunțării rezultatelor alegerilor până în ziua expirării mandatului său, un deputat nu poate fi tras la răspundere penală fără consimțământul Seimului Republicii Polone și nu poate fi nici reținut, nici arestat fără consimțământul Seimului, cu excepția cazurilor în care a fost surprins în flagrant delict și în care reținerea sa este necesară pentru a se asigura desfășurarea corectă a procedurilor;</w:t>
      </w:r>
    </w:p>
    <w:p w:rsidR="002E55EE" w:rsidRPr="008A3A0B" w:rsidRDefault="002E55EE" w:rsidP="009E1861">
      <w:pPr>
        <w:pStyle w:val="NormalHanging12a"/>
      </w:pPr>
      <w:r w:rsidRPr="008A3A0B">
        <w:t>G.</w:t>
      </w:r>
      <w:r w:rsidRPr="008A3A0B">
        <w:tab/>
        <w:t>întrucât scopul imunității parlamentare este acela de a proteja Parlamentul și pe deputații săi de proceduri judiciare inițiate în legătură cu activități desfășurate în cadrul exercitării funcțiilor parlamentare și care nu pot fi disociate de aceste funcții;</w:t>
      </w:r>
    </w:p>
    <w:p w:rsidR="002E55EE" w:rsidRPr="008A3A0B" w:rsidRDefault="002E55EE" w:rsidP="009E1861">
      <w:pPr>
        <w:pStyle w:val="NormalHanging12a"/>
      </w:pPr>
      <w:r w:rsidRPr="008A3A0B">
        <w:t>H.</w:t>
      </w:r>
      <w:r w:rsidRPr="008A3A0B">
        <w:tab/>
        <w:t xml:space="preserve">întrucât, în conformitate cu articolul 5 alineatul (2) din Regulamentul său de procedură, </w:t>
      </w:r>
      <w:r w:rsidR="00715373">
        <w:t>i</w:t>
      </w:r>
      <w:r w:rsidR="00715373" w:rsidRPr="00715373">
        <w:t>munitatea parlamentară nu este un privilegiu personal al deputaților, ci o garanție pentru independența Parlamentului în ansamblu și a membrilor săi</w:t>
      </w:r>
      <w:r w:rsidRPr="008A3A0B">
        <w:t>;</w:t>
      </w:r>
    </w:p>
    <w:p w:rsidR="002E55EE" w:rsidRPr="008A3A0B" w:rsidRDefault="002E55EE" w:rsidP="009E1861">
      <w:pPr>
        <w:pStyle w:val="NormalHanging12a"/>
      </w:pPr>
      <w:r w:rsidRPr="008A3A0B">
        <w:lastRenderedPageBreak/>
        <w:t>I.</w:t>
      </w:r>
      <w:r w:rsidRPr="008A3A0B">
        <w:tab/>
        <w:t xml:space="preserve">întrucât, în acest caz, Parlamentul nu a </w:t>
      </w:r>
      <w:r w:rsidR="00F1254B" w:rsidRPr="00F1254B">
        <w:t>putut stabili existența unui</w:t>
      </w:r>
      <w:r w:rsidRPr="008A3A0B">
        <w:t xml:space="preserve"> </w:t>
      </w:r>
      <w:r w:rsidRPr="008A3A0B">
        <w:rPr>
          <w:i/>
        </w:rPr>
        <w:t>fumus persecutionis</w:t>
      </w:r>
      <w:r w:rsidRPr="008A3A0B">
        <w:t xml:space="preserve">, </w:t>
      </w:r>
      <w:r w:rsidR="00F1254B" w:rsidRPr="00F1254B">
        <w:t>și anume</w:t>
      </w:r>
      <w:r w:rsidR="00907F56">
        <w:t xml:space="preserve"> a unor</w:t>
      </w:r>
      <w:r w:rsidRPr="008A3A0B">
        <w:t xml:space="preserve"> elemente de fapt din care să rezulte că procedura judiciară în cauză a fost inițiată cu intenția de a submina activitatea politică a deputatului în calitatea sa de deputat în Parlamentul European;</w:t>
      </w:r>
    </w:p>
    <w:p w:rsidR="002E55EE" w:rsidRPr="008A3A0B" w:rsidRDefault="002E55EE" w:rsidP="009E1861">
      <w:pPr>
        <w:pStyle w:val="NormalHanging12a"/>
      </w:pPr>
      <w:r w:rsidRPr="008A3A0B">
        <w:t>J.</w:t>
      </w:r>
      <w:r w:rsidRPr="008A3A0B">
        <w:tab/>
        <w:t>întrucât, pe de o parte, Parlamentul nu poate fi asimilat unei instanțe judecătorești și, pe de altă parte, în contextul unei proceduri de ridicare a imunității, deputatul în cauză nu poate fi considerat „persoană acuzată”</w:t>
      </w:r>
      <w:r w:rsidRPr="008A3A0B">
        <w:rPr>
          <w:vertAlign w:val="superscript"/>
        </w:rPr>
        <w:footnoteReference w:id="2"/>
      </w:r>
      <w:r w:rsidRPr="008A3A0B">
        <w:t>,</w:t>
      </w:r>
    </w:p>
    <w:p w:rsidR="002E55EE" w:rsidRPr="008A3A0B" w:rsidRDefault="002E55EE" w:rsidP="009E1861">
      <w:pPr>
        <w:pStyle w:val="NormalHanging12a"/>
      </w:pPr>
      <w:r w:rsidRPr="008A3A0B">
        <w:t>1.</w:t>
      </w:r>
      <w:r w:rsidRPr="008A3A0B">
        <w:tab/>
        <w:t>hotărăște să ridice imunitatea deputatului Maciej Wąsik;</w:t>
      </w:r>
    </w:p>
    <w:p w:rsidR="00E365E1" w:rsidRPr="008A3A0B" w:rsidRDefault="002E55EE" w:rsidP="0042306C">
      <w:pPr>
        <w:ind w:left="567" w:hanging="567"/>
      </w:pPr>
      <w:r w:rsidRPr="008A3A0B">
        <w:t>2.</w:t>
      </w:r>
      <w:r w:rsidRPr="008A3A0B">
        <w:tab/>
        <w:t>încredințează Președintei sarcina de a transmite imediat prezenta decizie, precum și raportul comisiei competente, autorităților competente ale Republicii Polone și deputatului Maciej Wąsik.</w:t>
      </w:r>
    </w:p>
    <w:sectPr w:rsidR="00E365E1" w:rsidRPr="008A3A0B" w:rsidSect="008A3A0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374" w:rsidRPr="008A3A0B" w:rsidRDefault="007D3374">
      <w:r w:rsidRPr="008A3A0B">
        <w:separator/>
      </w:r>
    </w:p>
  </w:endnote>
  <w:endnote w:type="continuationSeparator" w:id="0">
    <w:p w:rsidR="007D3374" w:rsidRPr="008A3A0B" w:rsidRDefault="007D3374">
      <w:r w:rsidRPr="008A3A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A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A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A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374" w:rsidRPr="008A3A0B" w:rsidRDefault="007D3374">
      <w:r w:rsidRPr="008A3A0B">
        <w:separator/>
      </w:r>
    </w:p>
  </w:footnote>
  <w:footnote w:type="continuationSeparator" w:id="0">
    <w:p w:rsidR="007D3374" w:rsidRPr="008A3A0B" w:rsidRDefault="007D3374">
      <w:r w:rsidRPr="008A3A0B">
        <w:continuationSeparator/>
      </w:r>
    </w:p>
  </w:footnote>
  <w:footnote w:id="1">
    <w:p w:rsidR="002E55EE" w:rsidRPr="008A3A0B" w:rsidRDefault="002E55EE" w:rsidP="008A3A0B">
      <w:pPr>
        <w:pStyle w:val="FootnoteText"/>
        <w:ind w:left="567" w:hanging="567"/>
        <w:rPr>
          <w:sz w:val="24"/>
          <w:lang w:val="ro-RO"/>
        </w:rPr>
      </w:pPr>
      <w:r w:rsidRPr="008A3A0B">
        <w:rPr>
          <w:rStyle w:val="FootnoteReference"/>
          <w:sz w:val="24"/>
          <w:lang w:val="ro-RO"/>
        </w:rPr>
        <w:footnoteRef/>
      </w:r>
      <w:r w:rsidR="008A3A0B" w:rsidRPr="008A3A0B">
        <w:rPr>
          <w:sz w:val="24"/>
          <w:lang w:val="ro-RO"/>
        </w:rPr>
        <w:t xml:space="preserve"> </w:t>
      </w:r>
      <w:r w:rsidR="008A3A0B" w:rsidRPr="008A3A0B">
        <w:rPr>
          <w:sz w:val="24"/>
          <w:lang w:val="ro-RO"/>
        </w:rPr>
        <w:tab/>
      </w:r>
      <w:r w:rsidRPr="008A3A0B">
        <w:rPr>
          <w:sz w:val="24"/>
          <w:lang w:val="ro-RO"/>
        </w:rPr>
        <w:t>Hotărârea Curții de Justiție din 21 octombrie 2008, Marra/De Gregorio și Clemente, C-200/07 și C-201/07, ECLI:EU:C:2008:579, Hotărârea Tribunalului din 19 martie 2010, Gollnisch/Parlamentul, T-42/06, ECLI:EU:T:2010:102, Hotărârea Curții de Justiție din 6 septembrie 2011, Patriciello, C-163/10, ECLI: EU:C:2011:543, Hotărârea Tribunalului din 17 ianuarie 2013, Gollnisch/Parlamentul, T-346/11 și T-347/11, ECLI:EU:T:2013:23, Hotărârea Curții de Justiție din 19 decembrie 2019, Junqueras Vies, C-502/19, ECLI:EU:C:2019:1115, Hotărârea Tribunalului din 5 iulie 2023, Puigdemont i Casamajó și alții/Parlamentul, T-272/21, ECLI:EU:T:2023:373.</w:t>
      </w:r>
    </w:p>
  </w:footnote>
  <w:footnote w:id="2">
    <w:p w:rsidR="002E55EE" w:rsidRPr="008A3A0B" w:rsidRDefault="002E55EE" w:rsidP="008A3A0B">
      <w:pPr>
        <w:pStyle w:val="FootnoteText"/>
        <w:ind w:left="567" w:hanging="567"/>
        <w:rPr>
          <w:sz w:val="24"/>
          <w:lang w:val="ro-RO"/>
        </w:rPr>
      </w:pPr>
      <w:r w:rsidRPr="008A3A0B">
        <w:rPr>
          <w:rStyle w:val="FootnoteReference"/>
          <w:sz w:val="24"/>
          <w:lang w:val="ro-RO"/>
        </w:rPr>
        <w:footnoteRef/>
      </w:r>
      <w:r w:rsidR="008A3A0B" w:rsidRPr="008A3A0B">
        <w:rPr>
          <w:sz w:val="24"/>
          <w:lang w:val="ro-RO"/>
        </w:rPr>
        <w:t xml:space="preserve"> </w:t>
      </w:r>
      <w:r w:rsidR="008A3A0B" w:rsidRPr="008A3A0B">
        <w:rPr>
          <w:sz w:val="24"/>
          <w:lang w:val="ro-RO"/>
        </w:rPr>
        <w:tab/>
      </w:r>
      <w:r w:rsidRPr="008A3A0B">
        <w:rPr>
          <w:sz w:val="24"/>
          <w:lang w:val="ro-RO"/>
        </w:rPr>
        <w:t>Hotărârea Tribunalului din 30 aprilie 2019, Briois/Parlamentul,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A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A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3A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RO"/>
    <w:docVar w:name="dvnumam" w:val="0"/>
    <w:docVar w:name="dvpe" w:val="766.695"/>
    <w:docVar w:name="dvrapporteur" w:val="Raportor: "/>
    <w:docVar w:name="dvtitre" w:val="Rezoluția Parlamentului European din 1 aprilie 2025 referitoare la cererea de ridicare a imunității deputatului Maciej Wąsik(2024/2043(IMM))"/>
  </w:docVars>
  <w:rsids>
    <w:rsidRoot w:val="007D3374"/>
    <w:rsid w:val="00002272"/>
    <w:rsid w:val="00064002"/>
    <w:rsid w:val="000677B9"/>
    <w:rsid w:val="000831BA"/>
    <w:rsid w:val="000A42CC"/>
    <w:rsid w:val="000E1C2D"/>
    <w:rsid w:val="000E7DD9"/>
    <w:rsid w:val="0010095E"/>
    <w:rsid w:val="00125B37"/>
    <w:rsid w:val="00187494"/>
    <w:rsid w:val="001F32AE"/>
    <w:rsid w:val="002767FF"/>
    <w:rsid w:val="002B18FE"/>
    <w:rsid w:val="002B5493"/>
    <w:rsid w:val="002E55EE"/>
    <w:rsid w:val="00343214"/>
    <w:rsid w:val="00361C00"/>
    <w:rsid w:val="00395FA1"/>
    <w:rsid w:val="003E15D4"/>
    <w:rsid w:val="00411CCE"/>
    <w:rsid w:val="0041666E"/>
    <w:rsid w:val="00421060"/>
    <w:rsid w:val="0042306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5373"/>
    <w:rsid w:val="00731ADD"/>
    <w:rsid w:val="00734777"/>
    <w:rsid w:val="00747932"/>
    <w:rsid w:val="00751A4A"/>
    <w:rsid w:val="00756632"/>
    <w:rsid w:val="00762C74"/>
    <w:rsid w:val="00786EC0"/>
    <w:rsid w:val="007D1690"/>
    <w:rsid w:val="007D3374"/>
    <w:rsid w:val="007E22AD"/>
    <w:rsid w:val="00817416"/>
    <w:rsid w:val="00842779"/>
    <w:rsid w:val="00865F67"/>
    <w:rsid w:val="00881A7B"/>
    <w:rsid w:val="008840E5"/>
    <w:rsid w:val="00887B3E"/>
    <w:rsid w:val="008A3A0B"/>
    <w:rsid w:val="008C2AC6"/>
    <w:rsid w:val="00907F56"/>
    <w:rsid w:val="00930C23"/>
    <w:rsid w:val="0093193B"/>
    <w:rsid w:val="009509D8"/>
    <w:rsid w:val="00950B64"/>
    <w:rsid w:val="00981893"/>
    <w:rsid w:val="009E1861"/>
    <w:rsid w:val="00A1687D"/>
    <w:rsid w:val="00A43E52"/>
    <w:rsid w:val="00A4678D"/>
    <w:rsid w:val="00A778C7"/>
    <w:rsid w:val="00AB441E"/>
    <w:rsid w:val="00AB6293"/>
    <w:rsid w:val="00AE0928"/>
    <w:rsid w:val="00AF2ADD"/>
    <w:rsid w:val="00AF3B82"/>
    <w:rsid w:val="00B12E95"/>
    <w:rsid w:val="00B22876"/>
    <w:rsid w:val="00B558F0"/>
    <w:rsid w:val="00BD48FE"/>
    <w:rsid w:val="00BD7BD8"/>
    <w:rsid w:val="00BE6ADC"/>
    <w:rsid w:val="00C05BFE"/>
    <w:rsid w:val="00C23CD4"/>
    <w:rsid w:val="00C466DE"/>
    <w:rsid w:val="00C61C0C"/>
    <w:rsid w:val="00C941CB"/>
    <w:rsid w:val="00CC2357"/>
    <w:rsid w:val="00CF071A"/>
    <w:rsid w:val="00D058B8"/>
    <w:rsid w:val="00D56C11"/>
    <w:rsid w:val="00D834A0"/>
    <w:rsid w:val="00D86512"/>
    <w:rsid w:val="00D872DF"/>
    <w:rsid w:val="00D91E21"/>
    <w:rsid w:val="00DA7FCD"/>
    <w:rsid w:val="00E365E1"/>
    <w:rsid w:val="00E820A4"/>
    <w:rsid w:val="00EB006A"/>
    <w:rsid w:val="00EB4772"/>
    <w:rsid w:val="00ED169E"/>
    <w:rsid w:val="00ED4235"/>
    <w:rsid w:val="00F04346"/>
    <w:rsid w:val="00F075DC"/>
    <w:rsid w:val="00F1254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6DE52"/>
  <w15:chartTrackingRefBased/>
  <w15:docId w15:val="{06DE555E-8336-4EAE-B7A1-C7EAA39BB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2E55EE"/>
    <w:pPr>
      <w:keepNext/>
      <w:spacing w:after="480"/>
      <w:jc w:val="center"/>
    </w:pPr>
    <w:rPr>
      <w:rFonts w:ascii="Arial" w:hAnsi="Arial" w:cs="Arial"/>
      <w:b/>
    </w:rPr>
  </w:style>
  <w:style w:type="paragraph" w:customStyle="1" w:styleId="NormalHanging12a">
    <w:name w:val="NormalHanging12a"/>
    <w:basedOn w:val="Normal"/>
    <w:rsid w:val="002E55EE"/>
    <w:pPr>
      <w:spacing w:after="240"/>
      <w:ind w:left="567" w:hanging="567"/>
    </w:pPr>
  </w:style>
  <w:style w:type="paragraph" w:customStyle="1" w:styleId="EPComma">
    <w:name w:val="EPComma"/>
    <w:basedOn w:val="Normal"/>
    <w:rsid w:val="002E55EE"/>
    <w:pPr>
      <w:spacing w:before="480" w:after="240"/>
    </w:pPr>
  </w:style>
  <w:style w:type="paragraph" w:styleId="BalloonText">
    <w:name w:val="Balloon Text"/>
    <w:basedOn w:val="Normal"/>
    <w:link w:val="BalloonTextChar"/>
    <w:rsid w:val="00715373"/>
    <w:rPr>
      <w:rFonts w:ascii="Segoe UI" w:hAnsi="Segoe UI" w:cs="Segoe UI"/>
      <w:sz w:val="18"/>
      <w:szCs w:val="18"/>
    </w:rPr>
  </w:style>
  <w:style w:type="character" w:customStyle="1" w:styleId="BalloonTextChar">
    <w:name w:val="Balloon Text Char"/>
    <w:basedOn w:val="DefaultParagraphFont"/>
    <w:link w:val="BalloonText"/>
    <w:rsid w:val="0071537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28167-D08D-42D4-B2BB-E41348B28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830</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2025-04-01T10:31:00Z</dcterms:created>
  <dcterms:modified xsi:type="dcterms:W3CDTF">2025-04-01T10:31:00Z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A10-0031/2025</vt:lpwstr>
  </property>
  <property fmtid="{D5CDD505-2E9C-101B-9397-08002B2CF9AE}" pid="4" name="&lt;Type&gt;">
    <vt:lpwstr>RR</vt:lpwstr>
  </property>
</Properties>
</file>