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6120" w14:paraId="355A4FDD" w14:textId="77777777" w:rsidTr="0010095E">
        <w:trPr>
          <w:trHeight w:hRule="exact" w:val="1418"/>
        </w:trPr>
        <w:tc>
          <w:tcPr>
            <w:tcW w:w="6804" w:type="dxa"/>
            <w:shd w:val="clear" w:color="auto" w:fill="auto"/>
            <w:vAlign w:val="center"/>
          </w:tcPr>
          <w:p w14:paraId="04F03905" w14:textId="77777777" w:rsidR="00751A4A" w:rsidRPr="009F6120" w:rsidRDefault="007D6AE5" w:rsidP="0010095E">
            <w:pPr>
              <w:pStyle w:val="EPName"/>
            </w:pPr>
            <w:r w:rsidRPr="009F6120">
              <w:t>Europa-Parlamentet</w:t>
            </w:r>
          </w:p>
          <w:p w14:paraId="0EC83ABA" w14:textId="77777777" w:rsidR="00751A4A" w:rsidRPr="009F6120" w:rsidRDefault="005F1B17" w:rsidP="005F1B17">
            <w:pPr>
              <w:pStyle w:val="EPTerm"/>
              <w:rPr>
                <w:rStyle w:val="HideTWBExt"/>
                <w:noProof w:val="0"/>
                <w:vanish w:val="0"/>
                <w:color w:val="auto"/>
              </w:rPr>
            </w:pPr>
            <w:r w:rsidRPr="009F6120">
              <w:t>2024</w:t>
            </w:r>
            <w:r w:rsidR="00817416" w:rsidRPr="009F6120">
              <w:t>-202</w:t>
            </w:r>
            <w:r w:rsidRPr="009F6120">
              <w:t>9</w:t>
            </w:r>
          </w:p>
        </w:tc>
        <w:tc>
          <w:tcPr>
            <w:tcW w:w="2268" w:type="dxa"/>
            <w:shd w:val="clear" w:color="auto" w:fill="auto"/>
          </w:tcPr>
          <w:p w14:paraId="3281B71B" w14:textId="77777777" w:rsidR="00751A4A" w:rsidRPr="009F6120" w:rsidRDefault="00187494" w:rsidP="0010095E">
            <w:pPr>
              <w:pStyle w:val="EPLogo"/>
            </w:pPr>
            <w:r w:rsidRPr="009F6120">
              <w:rPr>
                <w:noProof/>
                <w:lang w:eastAsia="da-DK"/>
              </w:rPr>
              <w:drawing>
                <wp:inline distT="0" distB="0" distL="0" distR="0" wp14:anchorId="3AB63234" wp14:editId="7AB0D0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B6AEF2" w14:textId="77777777" w:rsidR="00D058B8" w:rsidRPr="009F6120" w:rsidRDefault="00D058B8" w:rsidP="004C5D52">
      <w:pPr>
        <w:pStyle w:val="LineTop"/>
      </w:pPr>
    </w:p>
    <w:p w14:paraId="4F6255B3" w14:textId="77777777" w:rsidR="00680577" w:rsidRPr="009F6120" w:rsidRDefault="007D6AE5" w:rsidP="00680577">
      <w:pPr>
        <w:pStyle w:val="EPBodyTA1"/>
      </w:pPr>
      <w:r w:rsidRPr="009F6120">
        <w:t>VEDTAGNE TEKSTER</w:t>
      </w:r>
    </w:p>
    <w:p w14:paraId="0A7EA16D" w14:textId="77777777" w:rsidR="00D058B8" w:rsidRPr="009F6120" w:rsidRDefault="00D058B8" w:rsidP="00D058B8">
      <w:pPr>
        <w:pStyle w:val="LineBottom"/>
      </w:pPr>
    </w:p>
    <w:p w14:paraId="37038D91" w14:textId="6EF28B02" w:rsidR="007D6AE5" w:rsidRPr="009F6120" w:rsidRDefault="007D6AE5" w:rsidP="007D6AE5">
      <w:pPr>
        <w:pStyle w:val="ATHeading1"/>
      </w:pPr>
      <w:bookmarkStart w:id="0" w:name="TANumber"/>
      <w:r w:rsidRPr="009F6120">
        <w:t>P10_TA(2025)00</w:t>
      </w:r>
      <w:bookmarkEnd w:id="0"/>
      <w:r w:rsidR="00946CB9">
        <w:t>43</w:t>
      </w:r>
    </w:p>
    <w:p w14:paraId="1E5ACBA5" w14:textId="77777777" w:rsidR="007D6AE5" w:rsidRPr="009F6120" w:rsidRDefault="000E27CF" w:rsidP="007D6AE5">
      <w:pPr>
        <w:pStyle w:val="ATHeading2"/>
      </w:pPr>
      <w:r>
        <w:t>A</w:t>
      </w:r>
      <w:r w:rsidRPr="009F6120">
        <w:t>nmodning om ophævelse af Mariusz Kamińskis immunitet</w:t>
      </w:r>
    </w:p>
    <w:p w14:paraId="1C4335DC" w14:textId="77777777" w:rsidR="007D6AE5" w:rsidRPr="009F6120" w:rsidRDefault="007D6AE5" w:rsidP="007D6AE5">
      <w:pPr>
        <w:rPr>
          <w:i/>
          <w:vanish/>
        </w:rPr>
      </w:pPr>
      <w:r w:rsidRPr="009F6120">
        <w:rPr>
          <w:i/>
        </w:rPr>
        <w:fldChar w:fldCharType="begin"/>
      </w:r>
      <w:r w:rsidRPr="009F6120">
        <w:rPr>
          <w:i/>
        </w:rPr>
        <w:instrText xml:space="preserve"> TC"(</w:instrText>
      </w:r>
      <w:bookmarkStart w:id="1" w:name="DocNumber"/>
      <w:r w:rsidRPr="009F6120">
        <w:rPr>
          <w:i/>
        </w:rPr>
        <w:instrText>A10-0032/2025</w:instrText>
      </w:r>
      <w:bookmarkEnd w:id="1"/>
      <w:r w:rsidRPr="009F6120">
        <w:rPr>
          <w:i/>
        </w:rPr>
        <w:instrText xml:space="preserve"> - Ordfører: Mario Furore)"\l3 \n&gt; \* MERGEFORMAT </w:instrText>
      </w:r>
      <w:r w:rsidRPr="009F6120">
        <w:rPr>
          <w:i/>
        </w:rPr>
        <w:fldChar w:fldCharType="end"/>
      </w:r>
    </w:p>
    <w:p w14:paraId="5976063F" w14:textId="77777777" w:rsidR="007D6AE5" w:rsidRPr="009F6120" w:rsidRDefault="007D6AE5" w:rsidP="007D6AE5">
      <w:pPr>
        <w:rPr>
          <w:vanish/>
        </w:rPr>
      </w:pPr>
      <w:bookmarkStart w:id="2" w:name="Commission"/>
      <w:r w:rsidRPr="009F6120">
        <w:rPr>
          <w:vanish/>
        </w:rPr>
        <w:t>Retsudvalget</w:t>
      </w:r>
      <w:bookmarkEnd w:id="2"/>
    </w:p>
    <w:p w14:paraId="1FDA8A1D" w14:textId="77777777" w:rsidR="007D6AE5" w:rsidRPr="009F6120" w:rsidRDefault="007D6AE5" w:rsidP="007D6AE5">
      <w:pPr>
        <w:rPr>
          <w:vanish/>
        </w:rPr>
      </w:pPr>
      <w:bookmarkStart w:id="3" w:name="PE"/>
      <w:r w:rsidRPr="009F6120">
        <w:rPr>
          <w:vanish/>
        </w:rPr>
        <w:t>PE766.697</w:t>
      </w:r>
      <w:bookmarkEnd w:id="3"/>
    </w:p>
    <w:p w14:paraId="1DF12B3E" w14:textId="05F879C4" w:rsidR="007D6AE5" w:rsidRPr="009F6120" w:rsidRDefault="007D6AE5" w:rsidP="007D6AE5">
      <w:pPr>
        <w:pStyle w:val="ATHeading3"/>
      </w:pPr>
      <w:bookmarkStart w:id="4" w:name="Sujet"/>
      <w:r w:rsidRPr="009F6120">
        <w:t xml:space="preserve">Europa-Parlamentets afgørelse af </w:t>
      </w:r>
      <w:r w:rsidR="002E6577">
        <w:t>1</w:t>
      </w:r>
      <w:r w:rsidRPr="009F6120">
        <w:t>.</w:t>
      </w:r>
      <w:r w:rsidR="000E27CF">
        <w:t xml:space="preserve"> april</w:t>
      </w:r>
      <w:r w:rsidRPr="009F6120">
        <w:t xml:space="preserve"> 2025 om anmodning om ophævelse af Mariusz Kamińskis immunitet</w:t>
      </w:r>
      <w:bookmarkEnd w:id="4"/>
      <w:r w:rsidRPr="009F6120">
        <w:t xml:space="preserve"> </w:t>
      </w:r>
      <w:bookmarkStart w:id="5" w:name="References"/>
      <w:r w:rsidRPr="009F6120">
        <w:t>(2024/2046(IMM))</w:t>
      </w:r>
      <w:bookmarkEnd w:id="5"/>
    </w:p>
    <w:p w14:paraId="48149F8C" w14:textId="77777777" w:rsidR="004173AD" w:rsidRPr="009F6120" w:rsidRDefault="004173AD" w:rsidP="004173AD">
      <w:pPr>
        <w:pStyle w:val="EPComma"/>
      </w:pPr>
      <w:bookmarkStart w:id="6" w:name="TextBodyBegin"/>
      <w:bookmarkEnd w:id="6"/>
      <w:r w:rsidRPr="009F6120">
        <w:rPr>
          <w:i/>
        </w:rPr>
        <w:t>Europa-Parlamentet</w:t>
      </w:r>
      <w:r w:rsidRPr="009F6120">
        <w:t>,</w:t>
      </w:r>
    </w:p>
    <w:p w14:paraId="5A399646" w14:textId="45887162" w:rsidR="004173AD" w:rsidRPr="009F6120" w:rsidRDefault="004173AD" w:rsidP="004173AD">
      <w:pPr>
        <w:pStyle w:val="NormalHanging12a"/>
      </w:pPr>
      <w:r w:rsidRPr="009F6120">
        <w:t>–</w:t>
      </w:r>
      <w:r w:rsidRPr="009F6120">
        <w:tab/>
        <w:t xml:space="preserve">der henviser til anmodning </w:t>
      </w:r>
      <w:r w:rsidR="00A20A75" w:rsidRPr="009F6120">
        <w:t xml:space="preserve">af 29. juli 2024 </w:t>
      </w:r>
      <w:r w:rsidRPr="009F6120">
        <w:t>om ophævelse af Mariusz Kamińskis immunitet fra den polske statsadvokatur med fremsendelse af en anmodning indgivet af den regionale anklagemyndighed i Warszawa i forbindelse med en straffesag mod Mariusz Kamiński</w:t>
      </w:r>
      <w:r w:rsidR="00C94334">
        <w:t>,</w:t>
      </w:r>
      <w:r w:rsidRPr="009F6120">
        <w:t xml:space="preserve"> og </w:t>
      </w:r>
      <w:r w:rsidR="00A20A75">
        <w:t xml:space="preserve">hvorom der blev givet meddelelse </w:t>
      </w:r>
      <w:r w:rsidRPr="009F6120">
        <w:t>på plenarmødet den 16. september 2024,</w:t>
      </w:r>
    </w:p>
    <w:p w14:paraId="6E46E227" w14:textId="1E729851" w:rsidR="004173AD" w:rsidRPr="009F6120" w:rsidRDefault="004173AD" w:rsidP="004173AD">
      <w:pPr>
        <w:pStyle w:val="NormalHanging12a"/>
      </w:pPr>
      <w:r w:rsidRPr="009F6120">
        <w:t>–</w:t>
      </w:r>
      <w:r w:rsidRPr="009F6120">
        <w:tab/>
        <w:t>der har hørt Mariusz Kamiński den 30. januar 2025, jf. forretningsordenens artikel 9, stk. 6, og der henviser til de dokument</w:t>
      </w:r>
      <w:r w:rsidR="006213B3">
        <w:t>er</w:t>
      </w:r>
      <w:r w:rsidRPr="009F6120">
        <w:t>, som han fremlagde,</w:t>
      </w:r>
    </w:p>
    <w:p w14:paraId="305EF37F" w14:textId="77777777" w:rsidR="004173AD" w:rsidRPr="009F6120" w:rsidRDefault="004173AD" w:rsidP="004173AD">
      <w:pPr>
        <w:pStyle w:val="NormalHanging12a"/>
      </w:pPr>
      <w:r w:rsidRPr="009F6120">
        <w:t>–</w:t>
      </w:r>
      <w:r w:rsidRPr="009F6120">
        <w:tab/>
        <w:t>der henviser til artikel 8 og 9 i protokol nr. 7 vedrørende Den Europæiske Unions privilegier og immuniteter samt artikel 6, stk. 2, i akten af 20. september 1976 om almindelige direkte valg af medlemmerne af Europa-Parlamentet,</w:t>
      </w:r>
    </w:p>
    <w:p w14:paraId="45B01665" w14:textId="77777777" w:rsidR="004173AD" w:rsidRPr="009F6120" w:rsidRDefault="004173AD" w:rsidP="004173AD">
      <w:pPr>
        <w:pStyle w:val="NormalHanging12a"/>
      </w:pPr>
      <w:r w:rsidRPr="009F6120">
        <w:t>–</w:t>
      </w:r>
      <w:r w:rsidRPr="009F6120">
        <w:tab/>
        <w:t>der henviser til de domme, som Den Europæiske Unions Domstol har afsagt den 21. oktober 2008, 19. marts 2010, 6. september 2011, 17. januar 2013, 19. december 2019 og 5. juli 2023</w:t>
      </w:r>
      <w:r w:rsidRPr="009F6120">
        <w:rPr>
          <w:rStyle w:val="FootnoteReference"/>
          <w:color w:val="000000"/>
        </w:rPr>
        <w:footnoteReference w:id="1"/>
      </w:r>
      <w:r w:rsidRPr="009F6120">
        <w:t>,</w:t>
      </w:r>
    </w:p>
    <w:p w14:paraId="0F57F091" w14:textId="77777777" w:rsidR="004173AD" w:rsidRPr="009F6120" w:rsidRDefault="004173AD" w:rsidP="004173AD">
      <w:pPr>
        <w:pStyle w:val="NormalHanging12a"/>
      </w:pPr>
      <w:r w:rsidRPr="009F6120">
        <w:t>–</w:t>
      </w:r>
      <w:r w:rsidRPr="009F6120">
        <w:tab/>
        <w:t>der henviser til artikel 105, stk. 2 og 5, i Republikken Polens forfatning,</w:t>
      </w:r>
    </w:p>
    <w:p w14:paraId="3BB4B647" w14:textId="77777777" w:rsidR="004173AD" w:rsidRPr="009F6120" w:rsidRDefault="004173AD" w:rsidP="004173AD">
      <w:pPr>
        <w:pStyle w:val="NormalHanging12a"/>
      </w:pPr>
      <w:r w:rsidRPr="009F6120">
        <w:t>–</w:t>
      </w:r>
      <w:r w:rsidRPr="009F6120">
        <w:tab/>
        <w:t>der henviser til forretningsordenens artikel 5, stk. 2, artikel 6, stk. 1, og artikel 9,</w:t>
      </w:r>
    </w:p>
    <w:p w14:paraId="1EC1A633" w14:textId="77777777" w:rsidR="004173AD" w:rsidRPr="009F6120" w:rsidRDefault="004173AD" w:rsidP="004173AD">
      <w:pPr>
        <w:pStyle w:val="NormalHanging12a"/>
      </w:pPr>
      <w:r w:rsidRPr="009F6120">
        <w:lastRenderedPageBreak/>
        <w:t>–</w:t>
      </w:r>
      <w:r w:rsidRPr="009F6120">
        <w:tab/>
        <w:t>der henviser til betænkning fra Retsudvalget (A10-0032/2025),</w:t>
      </w:r>
    </w:p>
    <w:p w14:paraId="0611B54B" w14:textId="77777777" w:rsidR="004173AD" w:rsidRPr="009F6120" w:rsidRDefault="004173AD" w:rsidP="004173AD">
      <w:pPr>
        <w:pStyle w:val="NormalHanging12a"/>
      </w:pPr>
      <w:r w:rsidRPr="009F6120">
        <w:t>A.</w:t>
      </w:r>
      <w:r w:rsidRPr="009F6120">
        <w:tab/>
        <w:t>der henviser til, at den polske statsadvokatur ved skrivelse af 29. juli 2024 fremsendte en anmodning fra den regionale anklagemyndighed i Warszawa om ophævelse af Mariusz Kamińskis immunitet i forbindelse med angivelige lovovertrædelser i henhold til artikel 244 i den polske straffelov sammenholdt med lovens artikel 12;</w:t>
      </w:r>
    </w:p>
    <w:p w14:paraId="7064ABA6" w14:textId="77777777" w:rsidR="004173AD" w:rsidRPr="009F6120" w:rsidRDefault="004173AD" w:rsidP="004173AD">
      <w:pPr>
        <w:pStyle w:val="NormalHanging12a"/>
      </w:pPr>
      <w:r w:rsidRPr="009F6120">
        <w:rPr>
          <w:shd w:val="clear" w:color="auto" w:fill="FFFFFF"/>
        </w:rPr>
        <w:t>B.</w:t>
      </w:r>
      <w:r w:rsidRPr="009F6120">
        <w:rPr>
          <w:shd w:val="clear" w:color="auto" w:fill="FFFFFF"/>
        </w:rPr>
        <w:tab/>
      </w:r>
      <w:r w:rsidRPr="009F6120">
        <w:t>der henviser til, at det i anmodningen anføres, at de handlinger, som Mariusz Kamiński angiveligt foretog den 21. og 28. december 2023 i Warszawa, med forsæt og med korte mellemrum, var i strid med det femårige forbud mod at bestride et offentligt embede, der var blevet pålagt ved en endelig og bindende dom afsagt den 20. december 2023 af den regionale domstol i Warszawa, for så vidt som Mariusz Kamiński varetog hvervet som medlem af den polske Sejm (det polske parlaments underhus) ved at deltage i mødet i Sejm den 21. december 2023, hvor han bl.a. deltog i afstemninger, og ved at deltage i et møde i Sejms udvalg for administration og indre anliggender den 28. december 2023; der henviser til, at de angivne handlinger udgør en lovovertrædelse i henhold til artikel 244 i den polske straffelov, sammenholdt med lovens artikel 12;</w:t>
      </w:r>
    </w:p>
    <w:p w14:paraId="611A025A" w14:textId="1F417BDF" w:rsidR="004173AD" w:rsidRPr="009F6120" w:rsidRDefault="004173AD" w:rsidP="004173AD">
      <w:pPr>
        <w:pStyle w:val="NormalHanging12a"/>
      </w:pPr>
      <w:r w:rsidRPr="009F6120">
        <w:t>C.</w:t>
      </w:r>
      <w:r w:rsidRPr="009F6120">
        <w:tab/>
        <w:t>der henviser til, at der blev rejst tiltale mod Mariusz Kamiński den 18. april 2024; der henviser til, at Mariusz Kamiński blev valgt til Europa-Parlamentet ved valget til Europa-Parlamentet i juni 2024;</w:t>
      </w:r>
      <w:r w:rsidR="003240A3">
        <w:t xml:space="preserve"> </w:t>
      </w:r>
      <w:r w:rsidR="003240A3" w:rsidRPr="009F6120">
        <w:t xml:space="preserve">der henviser til, at Mariusz Kamiński ikke var medlem af Europa-Parlamentet på tidspunktet for den </w:t>
      </w:r>
      <w:r w:rsidR="005D1D08">
        <w:t>påståede</w:t>
      </w:r>
      <w:r w:rsidR="003240A3" w:rsidRPr="009F6120">
        <w:t xml:space="preserve"> lovovertrædelse;</w:t>
      </w:r>
    </w:p>
    <w:p w14:paraId="4F55BBA9" w14:textId="3B80D306" w:rsidR="004173AD" w:rsidRPr="009F6120" w:rsidRDefault="003240A3" w:rsidP="004173AD">
      <w:pPr>
        <w:pStyle w:val="NormalHanging12a"/>
      </w:pPr>
      <w:r>
        <w:t>D</w:t>
      </w:r>
      <w:r w:rsidR="004173AD" w:rsidRPr="009F6120">
        <w:t>.</w:t>
      </w:r>
      <w:r w:rsidR="004173AD" w:rsidRPr="009F6120">
        <w:tab/>
        <w:t xml:space="preserve">der henviser til, at den </w:t>
      </w:r>
      <w:r w:rsidR="005D1D08">
        <w:t>påståede</w:t>
      </w:r>
      <w:r w:rsidR="005D1D08" w:rsidRPr="009F6120">
        <w:t xml:space="preserve"> </w:t>
      </w:r>
      <w:r w:rsidR="004173AD" w:rsidRPr="009F6120">
        <w:t xml:space="preserve">lovovertrædelse og den efterfølgende anmodning om ophævelse af hans immunitet ikke </w:t>
      </w:r>
      <w:r w:rsidR="005D1D08">
        <w:t>vedrører</w:t>
      </w:r>
      <w:r w:rsidR="004173AD" w:rsidRPr="009F6120">
        <w:t xml:space="preserve"> en meningstilkendegivelse eller en stemme afgivet af Mariusz Kamiński under udøvelsen af hans hverv, </w:t>
      </w:r>
      <w:r w:rsidR="002E6577" w:rsidRPr="006F4643">
        <w:t>som omhandlet i</w:t>
      </w:r>
      <w:r w:rsidR="004173AD" w:rsidRPr="009F6120">
        <w:t xml:space="preserve"> artikel 8 i protokol nr. 7 vedrørende Den Europæiske Unions privilegier og immuniteter;</w:t>
      </w:r>
    </w:p>
    <w:p w14:paraId="270D1ABD" w14:textId="582C52F0" w:rsidR="004173AD" w:rsidRPr="009F6120" w:rsidRDefault="003240A3" w:rsidP="004173AD">
      <w:pPr>
        <w:pStyle w:val="NormalHanging12a"/>
      </w:pPr>
      <w:r>
        <w:t>E</w:t>
      </w:r>
      <w:r w:rsidR="004173AD" w:rsidRPr="009F6120">
        <w:t>.</w:t>
      </w:r>
      <w:r w:rsidR="004173AD" w:rsidRPr="009F6120">
        <w:tab/>
        <w:t>der henviser til, at artikel 9, stk. 1, litra a), i protokol nr. 7 vedrørende Den Europæiske Unions privilegier og immuniteter fastsætter, at Europa-Parlamentets medlemmer på deres eget lands område nyder de immuniteter, der tilstås medlemmerne af deres lands lovgivende forsamling;</w:t>
      </w:r>
    </w:p>
    <w:p w14:paraId="3CC77E0E" w14:textId="37769F26" w:rsidR="004173AD" w:rsidRPr="009F6120" w:rsidRDefault="003240A3" w:rsidP="004173AD">
      <w:pPr>
        <w:pStyle w:val="NormalHanging12a"/>
      </w:pPr>
      <w:r>
        <w:t>F</w:t>
      </w:r>
      <w:r w:rsidR="004173AD" w:rsidRPr="009F6120">
        <w:t>.</w:t>
      </w:r>
      <w:r w:rsidR="004173AD" w:rsidRPr="009F6120">
        <w:tab/>
        <w:t>der henviser til, at det fastslås i den polske forfatnings artikel 105, stk. 2 og 5, at et parlamentsmedlem fra datoen for meddelelsen af valgresultatet indtil datoen for udløbet af sit mandat ikke kan strafforfølges uden samtykke fra den polske Sejm, og at medlemmet hverken må tilbageholdes eller anholdes uden samtykke fra Sejm, medmindre vedkommende er pågrebet på fersk gerning, og en tilbageholdelse er nødvendig for at sikre en korrekt behandling af sagen;</w:t>
      </w:r>
    </w:p>
    <w:p w14:paraId="4C3BBE2B" w14:textId="5CC4461A" w:rsidR="004173AD" w:rsidRPr="009F6120" w:rsidRDefault="003240A3" w:rsidP="004173AD">
      <w:pPr>
        <w:pStyle w:val="NormalHanging12a"/>
      </w:pPr>
      <w:r>
        <w:t>G</w:t>
      </w:r>
      <w:r w:rsidR="004173AD" w:rsidRPr="009F6120">
        <w:t>.</w:t>
      </w:r>
      <w:r w:rsidR="004173AD" w:rsidRPr="009F6120">
        <w:tab/>
        <w:t>der henviser til, at formålet med parlamentarisk immunitet er at beskytte Parlamentet og dets medlemmer mod retsforfølgning i relation til aktiviteter, der udføres under udøvelsen af det parlamentariske hverv, og som ikke kan adskilles fra dette hverv;</w:t>
      </w:r>
    </w:p>
    <w:p w14:paraId="2AFB64B8" w14:textId="70C2305B" w:rsidR="004173AD" w:rsidRPr="009F6120" w:rsidRDefault="003240A3" w:rsidP="004173AD">
      <w:pPr>
        <w:pStyle w:val="NormalHanging12a"/>
      </w:pPr>
      <w:r>
        <w:t>H</w:t>
      </w:r>
      <w:r w:rsidR="004173AD" w:rsidRPr="009F6120">
        <w:t>.</w:t>
      </w:r>
      <w:r w:rsidR="004173AD" w:rsidRPr="009F6120">
        <w:tab/>
        <w:t>der henviser til, at parlamentarisk immunitet i henhold til forretningsordenens artikel 5, stk. 2, ikke er et medlems personlige privilegium, men derimod en garanti for Parlamentets uafhængighed som helhed og for dets medlemmers uafhængighed</w:t>
      </w:r>
      <w:bookmarkStart w:id="7" w:name="_GoBack"/>
      <w:bookmarkEnd w:id="7"/>
      <w:r w:rsidR="004173AD" w:rsidRPr="009F6120">
        <w:t>;</w:t>
      </w:r>
    </w:p>
    <w:p w14:paraId="0953AC4E" w14:textId="64C5F5E3" w:rsidR="004173AD" w:rsidRPr="009F6120" w:rsidRDefault="003240A3" w:rsidP="004173AD">
      <w:pPr>
        <w:pStyle w:val="NormalHanging12a"/>
      </w:pPr>
      <w:r>
        <w:t>I</w:t>
      </w:r>
      <w:r w:rsidR="004173AD" w:rsidRPr="009F6120">
        <w:t>.</w:t>
      </w:r>
      <w:r w:rsidR="004173AD" w:rsidRPr="009F6120">
        <w:tab/>
        <w:t xml:space="preserve">der henviser til, at Parlamentet i den foreliggende sag ikke har fundet noget bevis på fumus persecutionis, dvs. faktiske omstændigheder, der antyder, at den pågældende retssag er blevet indledt med det formål at skade medlemmets politiske virksomhed i </w:t>
      </w:r>
      <w:r w:rsidR="004173AD" w:rsidRPr="009F6120">
        <w:lastRenderedPageBreak/>
        <w:t>dennes egenskab af medlem af Europa-Parlamentet;</w:t>
      </w:r>
    </w:p>
    <w:p w14:paraId="6A05EE6C" w14:textId="1976F5C9" w:rsidR="004173AD" w:rsidRPr="009F6120" w:rsidRDefault="003240A3" w:rsidP="004173AD">
      <w:pPr>
        <w:pStyle w:val="NormalHanging12a"/>
      </w:pPr>
      <w:r>
        <w:t>J</w:t>
      </w:r>
      <w:r w:rsidR="004173AD" w:rsidRPr="009F6120">
        <w:t>.</w:t>
      </w:r>
      <w:r w:rsidR="004173AD" w:rsidRPr="009F6120">
        <w:tab/>
        <w:t>der henviser til, at Parlamentet på den ene side ikke kan sidestilles med en domstol, og at medlemmet på den anden side i forbindelse med en procedure om ophævelse af immunitet ikke kan betragtes som en "anklaget"</w:t>
      </w:r>
      <w:r w:rsidR="004173AD" w:rsidRPr="009F6120">
        <w:rPr>
          <w:vertAlign w:val="superscript"/>
        </w:rPr>
        <w:footnoteReference w:id="2"/>
      </w:r>
      <w:r w:rsidR="004173AD" w:rsidRPr="009F6120">
        <w:t>;</w:t>
      </w:r>
    </w:p>
    <w:p w14:paraId="00988705" w14:textId="77777777" w:rsidR="004173AD" w:rsidRPr="009F6120" w:rsidRDefault="004173AD" w:rsidP="004173AD">
      <w:pPr>
        <w:pStyle w:val="NormalHanging12a"/>
      </w:pPr>
      <w:r w:rsidRPr="009F6120">
        <w:t>1.</w:t>
      </w:r>
      <w:r w:rsidRPr="009F6120">
        <w:tab/>
        <w:t>vedtager at ophæve Mariusz Kamińskis immunitet;</w:t>
      </w:r>
    </w:p>
    <w:p w14:paraId="76807FDD" w14:textId="77777777" w:rsidR="00E365E1" w:rsidRPr="009F6120" w:rsidRDefault="004173AD" w:rsidP="000E27CF">
      <w:pPr>
        <w:ind w:left="567" w:hanging="567"/>
      </w:pPr>
      <w:r w:rsidRPr="009F6120">
        <w:t>2.</w:t>
      </w:r>
      <w:r w:rsidRPr="009F6120">
        <w:tab/>
        <w:t>pålægger sin formand straks at sende denne afgørelse og det kompetente udvalgs betænkning til Republikken Polens kompetente myndigheder og Mariusz Kamiński.</w:t>
      </w:r>
    </w:p>
    <w:sectPr w:rsidR="00E365E1" w:rsidRPr="009F6120" w:rsidSect="009F612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B3473F" w14:textId="77777777" w:rsidR="007D6AE5" w:rsidRPr="009F6120" w:rsidRDefault="007D6AE5">
      <w:r w:rsidRPr="009F6120">
        <w:separator/>
      </w:r>
    </w:p>
  </w:endnote>
  <w:endnote w:type="continuationSeparator" w:id="0">
    <w:p w14:paraId="50B0A628" w14:textId="77777777" w:rsidR="007D6AE5" w:rsidRPr="009F6120" w:rsidRDefault="007D6AE5">
      <w:r w:rsidRPr="009F61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D5582" w14:textId="77777777" w:rsidR="00064002" w:rsidRPr="009F61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15F49" w14:textId="77777777" w:rsidR="00064002" w:rsidRPr="009F61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AE262" w14:textId="77777777" w:rsidR="00064002" w:rsidRPr="009F61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85108D" w14:textId="77777777" w:rsidR="007D6AE5" w:rsidRPr="009F6120" w:rsidRDefault="007D6AE5">
      <w:r w:rsidRPr="009F6120">
        <w:separator/>
      </w:r>
    </w:p>
  </w:footnote>
  <w:footnote w:type="continuationSeparator" w:id="0">
    <w:p w14:paraId="0DBBAAE8" w14:textId="77777777" w:rsidR="007D6AE5" w:rsidRPr="009F6120" w:rsidRDefault="007D6AE5">
      <w:r w:rsidRPr="009F6120">
        <w:continuationSeparator/>
      </w:r>
    </w:p>
  </w:footnote>
  <w:footnote w:id="1">
    <w:p w14:paraId="169C2883" w14:textId="77777777" w:rsidR="004173AD" w:rsidRPr="009F6120" w:rsidRDefault="004173AD" w:rsidP="009F6120">
      <w:pPr>
        <w:pStyle w:val="FootnoteText"/>
        <w:ind w:left="567" w:hanging="567"/>
        <w:rPr>
          <w:sz w:val="24"/>
          <w:lang w:val="da-DK"/>
        </w:rPr>
      </w:pPr>
      <w:r w:rsidRPr="009F6120">
        <w:rPr>
          <w:rStyle w:val="FootnoteReference"/>
          <w:sz w:val="24"/>
          <w:lang w:val="da-DK"/>
        </w:rPr>
        <w:footnoteRef/>
      </w:r>
      <w:r w:rsidR="009F6120" w:rsidRPr="009F6120">
        <w:rPr>
          <w:sz w:val="24"/>
          <w:lang w:val="da-DK"/>
        </w:rPr>
        <w:t xml:space="preserve"> </w:t>
      </w:r>
      <w:r w:rsidR="009F6120" w:rsidRPr="009F6120">
        <w:rPr>
          <w:sz w:val="24"/>
          <w:lang w:val="da-DK"/>
        </w:rPr>
        <w:tab/>
      </w:r>
      <w:r w:rsidRPr="009F6120">
        <w:rPr>
          <w:sz w:val="24"/>
          <w:lang w:val="da-DK"/>
        </w:rPr>
        <w:t xml:space="preserve">Domstolens dom af 21. oktober 2008, </w:t>
      </w:r>
      <w:r w:rsidRPr="009F6120">
        <w:rPr>
          <w:i/>
          <w:iCs/>
          <w:sz w:val="24"/>
          <w:lang w:val="da-DK"/>
        </w:rPr>
        <w:t>Marra mod De Gregorio og Clemente</w:t>
      </w:r>
      <w:r w:rsidRPr="009F6120">
        <w:rPr>
          <w:sz w:val="24"/>
          <w:lang w:val="da-DK"/>
        </w:rPr>
        <w:t xml:space="preserve">, C-200/07 og C-201/07, ECLI:EU:C:2008:579; Rettens dom af 19. marts 2010, </w:t>
      </w:r>
      <w:r w:rsidRPr="009F6120">
        <w:rPr>
          <w:i/>
          <w:iCs/>
          <w:sz w:val="24"/>
          <w:lang w:val="da-DK"/>
        </w:rPr>
        <w:t>Gollnisch mod Parlamentet</w:t>
      </w:r>
      <w:r w:rsidRPr="009F6120">
        <w:rPr>
          <w:sz w:val="24"/>
          <w:lang w:val="da-DK"/>
        </w:rPr>
        <w:t xml:space="preserve">, T-42/06, ECLI:EU:T:2010:102; Domstolens dom af 6. september 2011, </w:t>
      </w:r>
      <w:r w:rsidRPr="009F6120">
        <w:rPr>
          <w:i/>
          <w:iCs/>
          <w:sz w:val="24"/>
          <w:lang w:val="da-DK"/>
        </w:rPr>
        <w:t>Patriciello</w:t>
      </w:r>
      <w:r w:rsidRPr="009F6120">
        <w:rPr>
          <w:sz w:val="24"/>
          <w:lang w:val="da-DK"/>
        </w:rPr>
        <w:t xml:space="preserve">, C-163/163, ECLI: EU:C:2011:543; Rettens dom af 17. januar 2013, </w:t>
      </w:r>
      <w:r w:rsidRPr="009F6120">
        <w:rPr>
          <w:i/>
          <w:iCs/>
          <w:sz w:val="24"/>
          <w:lang w:val="da-DK"/>
        </w:rPr>
        <w:t>Gollnisch mod Parlamentet</w:t>
      </w:r>
      <w:r w:rsidRPr="009F6120">
        <w:rPr>
          <w:sz w:val="24"/>
          <w:lang w:val="da-DK"/>
        </w:rPr>
        <w:t xml:space="preserve">, sag T-346/11 og sag T-347/11, ECLI:EU:T:2013:23; Domstolens dom af 19. december 2019, </w:t>
      </w:r>
      <w:r w:rsidRPr="009F6120">
        <w:rPr>
          <w:i/>
          <w:iCs/>
          <w:sz w:val="24"/>
          <w:lang w:val="da-DK"/>
        </w:rPr>
        <w:t>Junqueras Vies</w:t>
      </w:r>
      <w:r w:rsidRPr="009F6120">
        <w:rPr>
          <w:sz w:val="24"/>
          <w:lang w:val="da-DK"/>
        </w:rPr>
        <w:t xml:space="preserve">, saga C-502/19, ECLI:EU:C:2019:1115; Rettens dom af 5. juli 2023, </w:t>
      </w:r>
      <w:r w:rsidRPr="009F6120">
        <w:rPr>
          <w:i/>
          <w:iCs/>
          <w:sz w:val="24"/>
          <w:lang w:val="da-DK"/>
        </w:rPr>
        <w:t>Puigdemont i Casamajó m.fl. mod Parlamentet</w:t>
      </w:r>
      <w:r w:rsidRPr="009F6120">
        <w:rPr>
          <w:sz w:val="24"/>
          <w:lang w:val="da-DK"/>
        </w:rPr>
        <w:t>, T-272/21, ECLI:EU:T:2023:373.</w:t>
      </w:r>
    </w:p>
  </w:footnote>
  <w:footnote w:id="2">
    <w:p w14:paraId="7FCAF8B6" w14:textId="77777777" w:rsidR="004173AD" w:rsidRPr="009F6120" w:rsidRDefault="004173AD" w:rsidP="009F6120">
      <w:pPr>
        <w:pStyle w:val="FootnoteText"/>
        <w:ind w:left="567" w:hanging="567"/>
        <w:rPr>
          <w:sz w:val="24"/>
          <w:lang w:val="da-DK"/>
        </w:rPr>
      </w:pPr>
      <w:r w:rsidRPr="009F6120">
        <w:rPr>
          <w:rStyle w:val="FootnoteReference"/>
          <w:sz w:val="24"/>
          <w:lang w:val="da-DK"/>
        </w:rPr>
        <w:footnoteRef/>
      </w:r>
      <w:r w:rsidR="009F6120" w:rsidRPr="009F6120">
        <w:rPr>
          <w:sz w:val="24"/>
          <w:lang w:val="da-DK"/>
        </w:rPr>
        <w:t xml:space="preserve"> </w:t>
      </w:r>
      <w:r w:rsidR="009F6120" w:rsidRPr="009F6120">
        <w:rPr>
          <w:sz w:val="24"/>
          <w:lang w:val="da-DK"/>
        </w:rPr>
        <w:tab/>
      </w:r>
      <w:r w:rsidRPr="009F6120">
        <w:rPr>
          <w:sz w:val="24"/>
          <w:lang w:val="da-DK"/>
        </w:rPr>
        <w:t xml:space="preserve">Rettens dom af 30. april 2019, </w:t>
      </w:r>
      <w:r w:rsidRPr="009F6120">
        <w:rPr>
          <w:i/>
          <w:iCs/>
          <w:sz w:val="24"/>
          <w:lang w:val="da-DK"/>
        </w:rPr>
        <w:t>Briois mod Parlamentet</w:t>
      </w:r>
      <w:r w:rsidRPr="009F6120">
        <w:rPr>
          <w:sz w:val="24"/>
          <w:lang w:val="da-DK"/>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1B901" w14:textId="77777777" w:rsidR="00064002" w:rsidRPr="009F61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96A9C" w14:textId="77777777" w:rsidR="00064002" w:rsidRPr="009F61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EBA60" w14:textId="77777777" w:rsidR="00064002" w:rsidRPr="009F61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5"/>
    <w:docVar w:name="dvlangue" w:val="DA"/>
    <w:docVar w:name="dvnumam" w:val="0"/>
    <w:docVar w:name="dvpe" w:val="766.697"/>
    <w:docVar w:name="dvrapporteur" w:val="Ordfører: "/>
    <w:docVar w:name="dvtitre" w:val="Europa-Parlamentets afgørelse af xx.xx 2025 om anmodning om ophævelse af Mariusz Kamińskis immunitet(2024/2046(IMM))"/>
  </w:docVars>
  <w:rsids>
    <w:rsidRoot w:val="007D6AE5"/>
    <w:rsid w:val="00002272"/>
    <w:rsid w:val="00064002"/>
    <w:rsid w:val="000677B9"/>
    <w:rsid w:val="000831BA"/>
    <w:rsid w:val="000A42CC"/>
    <w:rsid w:val="000E27CF"/>
    <w:rsid w:val="000E7DD9"/>
    <w:rsid w:val="0010095E"/>
    <w:rsid w:val="00125B37"/>
    <w:rsid w:val="00187494"/>
    <w:rsid w:val="001F32AE"/>
    <w:rsid w:val="002767FF"/>
    <w:rsid w:val="002B18FE"/>
    <w:rsid w:val="002B5493"/>
    <w:rsid w:val="002E6577"/>
    <w:rsid w:val="003240A3"/>
    <w:rsid w:val="00343214"/>
    <w:rsid w:val="00361C00"/>
    <w:rsid w:val="00395FA1"/>
    <w:rsid w:val="003E15D4"/>
    <w:rsid w:val="00411CCE"/>
    <w:rsid w:val="0041666E"/>
    <w:rsid w:val="004173AD"/>
    <w:rsid w:val="00421060"/>
    <w:rsid w:val="00471C19"/>
    <w:rsid w:val="004867E3"/>
    <w:rsid w:val="00494A28"/>
    <w:rsid w:val="004C0004"/>
    <w:rsid w:val="004C5D52"/>
    <w:rsid w:val="004C7012"/>
    <w:rsid w:val="0050519A"/>
    <w:rsid w:val="005072A1"/>
    <w:rsid w:val="00514517"/>
    <w:rsid w:val="00545827"/>
    <w:rsid w:val="00560270"/>
    <w:rsid w:val="005C2568"/>
    <w:rsid w:val="005D1D08"/>
    <w:rsid w:val="005F1B17"/>
    <w:rsid w:val="006037C0"/>
    <w:rsid w:val="006213B3"/>
    <w:rsid w:val="006631B6"/>
    <w:rsid w:val="00680577"/>
    <w:rsid w:val="006F4643"/>
    <w:rsid w:val="006F74FA"/>
    <w:rsid w:val="00731ADD"/>
    <w:rsid w:val="00734777"/>
    <w:rsid w:val="00747932"/>
    <w:rsid w:val="00751A4A"/>
    <w:rsid w:val="00756632"/>
    <w:rsid w:val="00762C74"/>
    <w:rsid w:val="00786EC0"/>
    <w:rsid w:val="007D1690"/>
    <w:rsid w:val="007D6AE5"/>
    <w:rsid w:val="007E22AD"/>
    <w:rsid w:val="00817416"/>
    <w:rsid w:val="00842779"/>
    <w:rsid w:val="00865F67"/>
    <w:rsid w:val="00881A7B"/>
    <w:rsid w:val="008840E5"/>
    <w:rsid w:val="00887B3E"/>
    <w:rsid w:val="008C2AC6"/>
    <w:rsid w:val="00930C23"/>
    <w:rsid w:val="0093193B"/>
    <w:rsid w:val="00946CB9"/>
    <w:rsid w:val="009509D8"/>
    <w:rsid w:val="00950B64"/>
    <w:rsid w:val="00981893"/>
    <w:rsid w:val="009F6120"/>
    <w:rsid w:val="00A1687D"/>
    <w:rsid w:val="00A20A75"/>
    <w:rsid w:val="00A43E52"/>
    <w:rsid w:val="00A4678D"/>
    <w:rsid w:val="00A778C7"/>
    <w:rsid w:val="00AB441E"/>
    <w:rsid w:val="00AB6293"/>
    <w:rsid w:val="00AE0928"/>
    <w:rsid w:val="00AF3B82"/>
    <w:rsid w:val="00AF70A8"/>
    <w:rsid w:val="00B12E95"/>
    <w:rsid w:val="00B22876"/>
    <w:rsid w:val="00B558F0"/>
    <w:rsid w:val="00BD48FE"/>
    <w:rsid w:val="00BD7BD8"/>
    <w:rsid w:val="00BE6ADC"/>
    <w:rsid w:val="00C05BFE"/>
    <w:rsid w:val="00C23CD4"/>
    <w:rsid w:val="00C325DA"/>
    <w:rsid w:val="00C61C0C"/>
    <w:rsid w:val="00C941CB"/>
    <w:rsid w:val="00C94334"/>
    <w:rsid w:val="00CC2357"/>
    <w:rsid w:val="00CF071A"/>
    <w:rsid w:val="00D058B8"/>
    <w:rsid w:val="00D56C11"/>
    <w:rsid w:val="00D834A0"/>
    <w:rsid w:val="00D872DF"/>
    <w:rsid w:val="00D91E21"/>
    <w:rsid w:val="00DA7FCD"/>
    <w:rsid w:val="00E365E1"/>
    <w:rsid w:val="00E820A4"/>
    <w:rsid w:val="00EB006A"/>
    <w:rsid w:val="00EB4772"/>
    <w:rsid w:val="00EC5899"/>
    <w:rsid w:val="00ED169E"/>
    <w:rsid w:val="00ED4235"/>
    <w:rsid w:val="00F04346"/>
    <w:rsid w:val="00F075DC"/>
    <w:rsid w:val="00F149E9"/>
    <w:rsid w:val="00F5134D"/>
    <w:rsid w:val="00F74202"/>
    <w:rsid w:val="00F87713"/>
    <w:rsid w:val="00F9255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906F9"/>
  <w15:chartTrackingRefBased/>
  <w15:docId w15:val="{568C2CB9-78A8-43B0-A041-B40765A21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173AD"/>
    <w:pPr>
      <w:spacing w:after="240"/>
      <w:ind w:left="567" w:hanging="567"/>
    </w:pPr>
  </w:style>
  <w:style w:type="paragraph" w:customStyle="1" w:styleId="EPComma">
    <w:name w:val="EPComma"/>
    <w:basedOn w:val="Normal"/>
    <w:rsid w:val="004173AD"/>
    <w:pPr>
      <w:spacing w:before="480" w:after="240"/>
    </w:pPr>
  </w:style>
  <w:style w:type="character" w:styleId="CommentReference">
    <w:name w:val="annotation reference"/>
    <w:basedOn w:val="DefaultParagraphFont"/>
    <w:rsid w:val="00A20A75"/>
    <w:rPr>
      <w:sz w:val="16"/>
      <w:szCs w:val="16"/>
    </w:rPr>
  </w:style>
  <w:style w:type="paragraph" w:styleId="CommentText">
    <w:name w:val="annotation text"/>
    <w:basedOn w:val="Normal"/>
    <w:link w:val="CommentTextChar"/>
    <w:rsid w:val="00A20A75"/>
    <w:rPr>
      <w:sz w:val="20"/>
    </w:rPr>
  </w:style>
  <w:style w:type="character" w:customStyle="1" w:styleId="CommentTextChar">
    <w:name w:val="Comment Text Char"/>
    <w:basedOn w:val="DefaultParagraphFont"/>
    <w:link w:val="CommentText"/>
    <w:rsid w:val="00A20A75"/>
    <w:rPr>
      <w:lang w:val="da-DK"/>
    </w:rPr>
  </w:style>
  <w:style w:type="paragraph" w:styleId="CommentSubject">
    <w:name w:val="annotation subject"/>
    <w:basedOn w:val="CommentText"/>
    <w:next w:val="CommentText"/>
    <w:link w:val="CommentSubjectChar"/>
    <w:rsid w:val="00A20A75"/>
    <w:rPr>
      <w:b/>
      <w:bCs/>
    </w:rPr>
  </w:style>
  <w:style w:type="character" w:customStyle="1" w:styleId="CommentSubjectChar">
    <w:name w:val="Comment Subject Char"/>
    <w:basedOn w:val="CommentTextChar"/>
    <w:link w:val="CommentSubject"/>
    <w:rsid w:val="00A20A75"/>
    <w:rPr>
      <w:b/>
      <w:bCs/>
      <w:lang w:val="da-DK"/>
    </w:rPr>
  </w:style>
  <w:style w:type="paragraph" w:styleId="BalloonText">
    <w:name w:val="Balloon Text"/>
    <w:basedOn w:val="Normal"/>
    <w:link w:val="BalloonTextChar"/>
    <w:rsid w:val="00A20A75"/>
    <w:rPr>
      <w:rFonts w:ascii="Segoe UI" w:hAnsi="Segoe UI" w:cs="Segoe UI"/>
      <w:sz w:val="18"/>
      <w:szCs w:val="18"/>
    </w:rPr>
  </w:style>
  <w:style w:type="character" w:customStyle="1" w:styleId="BalloonTextChar">
    <w:name w:val="Balloon Text Char"/>
    <w:basedOn w:val="DefaultParagraphFont"/>
    <w:link w:val="BalloonText"/>
    <w:rsid w:val="00A20A75"/>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A0675-A6A5-45AB-B8EA-A0C583083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799</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5</cp:revision>
  <cp:lastPrinted>2004-11-19T15:42:00Z</cp:lastPrinted>
  <dcterms:created xsi:type="dcterms:W3CDTF">2025-03-27T16:36:00Z</dcterms:created>
  <dcterms:modified xsi:type="dcterms:W3CDTF">2025-04-01T10:19:00Z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A10-0032/2025</vt:lpwstr>
  </property>
  <property fmtid="{D5CDD505-2E9C-101B-9397-08002B2CF9AE}" pid="4" name="&lt;Type&gt;">
    <vt:lpwstr>RR</vt:lpwstr>
  </property>
</Properties>
</file>