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7378" w14:paraId="45CABF0F" w14:textId="77777777" w:rsidTr="0010095E">
        <w:trPr>
          <w:trHeight w:hRule="exact" w:val="1418"/>
        </w:trPr>
        <w:tc>
          <w:tcPr>
            <w:tcW w:w="6804" w:type="dxa"/>
            <w:shd w:val="clear" w:color="auto" w:fill="auto"/>
            <w:vAlign w:val="center"/>
          </w:tcPr>
          <w:p w14:paraId="5FF3322C" w14:textId="77777777" w:rsidR="00751A4A" w:rsidRPr="00737378" w:rsidRDefault="00E277F2" w:rsidP="0010095E">
            <w:pPr>
              <w:pStyle w:val="EPName"/>
            </w:pPr>
            <w:r w:rsidRPr="00737378">
              <w:t>Parlamento Europeo</w:t>
            </w:r>
          </w:p>
          <w:p w14:paraId="0FD8BAFF" w14:textId="77777777" w:rsidR="00751A4A" w:rsidRPr="00737378" w:rsidRDefault="005F1B17" w:rsidP="005F1B17">
            <w:pPr>
              <w:pStyle w:val="EPTerm"/>
              <w:rPr>
                <w:rStyle w:val="HideTWBExt"/>
                <w:noProof w:val="0"/>
                <w:vanish w:val="0"/>
                <w:color w:val="auto"/>
              </w:rPr>
            </w:pPr>
            <w:r w:rsidRPr="00737378">
              <w:t>2024</w:t>
            </w:r>
            <w:r w:rsidR="00817416" w:rsidRPr="00737378">
              <w:t>-202</w:t>
            </w:r>
            <w:r w:rsidRPr="00737378">
              <w:t>9</w:t>
            </w:r>
          </w:p>
        </w:tc>
        <w:tc>
          <w:tcPr>
            <w:tcW w:w="2268" w:type="dxa"/>
            <w:shd w:val="clear" w:color="auto" w:fill="auto"/>
          </w:tcPr>
          <w:p w14:paraId="088A8987" w14:textId="77777777" w:rsidR="00751A4A" w:rsidRPr="00737378" w:rsidRDefault="00187494" w:rsidP="0010095E">
            <w:pPr>
              <w:pStyle w:val="EPLogo"/>
            </w:pPr>
            <w:r w:rsidRPr="00737378">
              <w:rPr>
                <w:noProof/>
                <w:lang w:val="en-GB"/>
              </w:rPr>
              <w:drawing>
                <wp:inline distT="0" distB="0" distL="0" distR="0" wp14:anchorId="31FDF295" wp14:editId="764FFB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107313" w14:textId="77777777" w:rsidR="00D058B8" w:rsidRPr="00737378" w:rsidRDefault="00D058B8" w:rsidP="004C5D52">
      <w:pPr>
        <w:pStyle w:val="LineTop"/>
      </w:pPr>
    </w:p>
    <w:p w14:paraId="281B6477" w14:textId="77777777" w:rsidR="00680577" w:rsidRPr="00737378" w:rsidRDefault="00E277F2" w:rsidP="00680577">
      <w:pPr>
        <w:pStyle w:val="EPBodyTA1"/>
      </w:pPr>
      <w:r w:rsidRPr="00737378">
        <w:t>TEXTOS APROBADOS</w:t>
      </w:r>
    </w:p>
    <w:p w14:paraId="3DE9E46D" w14:textId="77777777" w:rsidR="00D058B8" w:rsidRPr="00737378" w:rsidRDefault="00D058B8" w:rsidP="00D058B8">
      <w:pPr>
        <w:pStyle w:val="LineBottom"/>
      </w:pPr>
    </w:p>
    <w:p w14:paraId="50ECF01B" w14:textId="1DB844F2" w:rsidR="00E277F2" w:rsidRPr="00737378" w:rsidRDefault="00E277F2" w:rsidP="00E277F2">
      <w:pPr>
        <w:pStyle w:val="ATHeading1"/>
      </w:pPr>
      <w:bookmarkStart w:id="0" w:name="TANumber"/>
      <w:r w:rsidRPr="00737378">
        <w:t>P10_</w:t>
      </w:r>
      <w:proofErr w:type="gramStart"/>
      <w:r w:rsidRPr="00737378">
        <w:t>TA(</w:t>
      </w:r>
      <w:proofErr w:type="gramEnd"/>
      <w:r w:rsidRPr="00737378">
        <w:t>2025)00</w:t>
      </w:r>
      <w:r w:rsidR="007857ED" w:rsidRPr="00737378">
        <w:t>43</w:t>
      </w:r>
      <w:bookmarkEnd w:id="0"/>
    </w:p>
    <w:p w14:paraId="2CC412BA" w14:textId="77777777" w:rsidR="00E277F2" w:rsidRPr="00737378" w:rsidRDefault="00FC0C94" w:rsidP="00E277F2">
      <w:pPr>
        <w:pStyle w:val="ATHeading2"/>
      </w:pPr>
      <w:bookmarkStart w:id="1" w:name="title"/>
      <w:r w:rsidRPr="00737378">
        <w:t xml:space="preserve">Suplicatorio de suspensión de la inmunidad de </w:t>
      </w:r>
      <w:proofErr w:type="spellStart"/>
      <w:r w:rsidRPr="00737378">
        <w:t>Mariusz</w:t>
      </w:r>
      <w:proofErr w:type="spellEnd"/>
      <w:r w:rsidRPr="00737378">
        <w:t xml:space="preserve"> </w:t>
      </w:r>
      <w:proofErr w:type="spellStart"/>
      <w:r w:rsidRPr="00737378">
        <w:t>Kamiński</w:t>
      </w:r>
      <w:bookmarkEnd w:id="1"/>
      <w:proofErr w:type="spellEnd"/>
    </w:p>
    <w:p w14:paraId="790F3804" w14:textId="77777777" w:rsidR="00E277F2" w:rsidRPr="00737378" w:rsidRDefault="00E277F2" w:rsidP="00E277F2">
      <w:pPr>
        <w:rPr>
          <w:i/>
          <w:vanish/>
        </w:rPr>
      </w:pPr>
      <w:r w:rsidRPr="00737378">
        <w:rPr>
          <w:i/>
        </w:rPr>
        <w:fldChar w:fldCharType="begin"/>
      </w:r>
      <w:r w:rsidRPr="00737378">
        <w:rPr>
          <w:i/>
        </w:rPr>
        <w:instrText xml:space="preserve"> TC"(</w:instrText>
      </w:r>
      <w:bookmarkStart w:id="2" w:name="DocNumber"/>
      <w:r w:rsidRPr="00737378">
        <w:rPr>
          <w:i/>
        </w:rPr>
        <w:instrText>A10-0032/2025</w:instrText>
      </w:r>
      <w:bookmarkEnd w:id="2"/>
      <w:r w:rsidRPr="00737378">
        <w:rPr>
          <w:i/>
        </w:rPr>
        <w:instrText xml:space="preserve"> - Ponente: Mario </w:instrText>
      </w:r>
      <w:proofErr w:type="spellStart"/>
      <w:r w:rsidRPr="00737378">
        <w:rPr>
          <w:i/>
        </w:rPr>
        <w:instrText>Furore</w:instrText>
      </w:r>
      <w:proofErr w:type="spellEnd"/>
      <w:r w:rsidRPr="00737378">
        <w:rPr>
          <w:i/>
        </w:rPr>
        <w:instrText xml:space="preserve">)"\l3 \n&gt; \* MERGEFORMAT </w:instrText>
      </w:r>
      <w:r w:rsidRPr="00737378">
        <w:rPr>
          <w:i/>
        </w:rPr>
        <w:fldChar w:fldCharType="end"/>
      </w:r>
    </w:p>
    <w:p w14:paraId="57E4F879" w14:textId="77777777" w:rsidR="00E277F2" w:rsidRPr="00737378" w:rsidRDefault="00E277F2" w:rsidP="00E277F2">
      <w:pPr>
        <w:rPr>
          <w:vanish/>
        </w:rPr>
      </w:pPr>
      <w:bookmarkStart w:id="3" w:name="Commission"/>
      <w:r w:rsidRPr="00737378">
        <w:rPr>
          <w:vanish/>
        </w:rPr>
        <w:t>Comisión de Asuntos Jurídicos</w:t>
      </w:r>
      <w:bookmarkEnd w:id="3"/>
    </w:p>
    <w:p w14:paraId="061D2017" w14:textId="77777777" w:rsidR="00E277F2" w:rsidRPr="00737378" w:rsidRDefault="00E277F2" w:rsidP="00E277F2">
      <w:pPr>
        <w:rPr>
          <w:vanish/>
        </w:rPr>
      </w:pPr>
      <w:bookmarkStart w:id="4" w:name="PE"/>
      <w:r w:rsidRPr="00737378">
        <w:rPr>
          <w:vanish/>
        </w:rPr>
        <w:t>PE766.697</w:t>
      </w:r>
      <w:bookmarkEnd w:id="4"/>
    </w:p>
    <w:p w14:paraId="2664B593" w14:textId="77777777" w:rsidR="00E277F2" w:rsidRPr="00737378" w:rsidRDefault="00E277F2" w:rsidP="00E277F2">
      <w:pPr>
        <w:pStyle w:val="ATHeading3"/>
      </w:pPr>
      <w:bookmarkStart w:id="5" w:name="Sujet"/>
      <w:r w:rsidRPr="00737378">
        <w:t xml:space="preserve">Decisión del Parlamento Europeo, de 1 de abril de 2025, sobre el suplicatorio de suspensión de la inmunidad de </w:t>
      </w:r>
      <w:proofErr w:type="spellStart"/>
      <w:r w:rsidRPr="00737378">
        <w:t>Mariusz</w:t>
      </w:r>
      <w:proofErr w:type="spellEnd"/>
      <w:r w:rsidRPr="00737378">
        <w:t xml:space="preserve"> </w:t>
      </w:r>
      <w:proofErr w:type="spellStart"/>
      <w:r w:rsidRPr="00737378">
        <w:t>Kamiński</w:t>
      </w:r>
      <w:bookmarkEnd w:id="5"/>
      <w:proofErr w:type="spellEnd"/>
      <w:r w:rsidRPr="00737378">
        <w:t xml:space="preserve"> </w:t>
      </w:r>
      <w:bookmarkStart w:id="6" w:name="References"/>
      <w:r w:rsidRPr="00737378">
        <w:t>(2024/2046(IMM))</w:t>
      </w:r>
      <w:bookmarkEnd w:id="6"/>
    </w:p>
    <w:p w14:paraId="00968A1E" w14:textId="77777777" w:rsidR="00E277F2" w:rsidRPr="00737378" w:rsidRDefault="00E277F2" w:rsidP="00E277F2"/>
    <w:p w14:paraId="2A3D5FD7" w14:textId="77777777" w:rsidR="00F05F8C" w:rsidRPr="00737378" w:rsidRDefault="00F05F8C" w:rsidP="00FF6886">
      <w:pPr>
        <w:pStyle w:val="EPComma"/>
        <w:spacing w:before="120"/>
      </w:pPr>
      <w:bookmarkStart w:id="7" w:name="TextBodyBegin"/>
      <w:bookmarkEnd w:id="7"/>
      <w:r w:rsidRPr="00737378">
        <w:rPr>
          <w:i/>
          <w:iCs/>
        </w:rPr>
        <w:t>El Parlamento Europeo</w:t>
      </w:r>
      <w:r w:rsidRPr="00737378">
        <w:t>,</w:t>
      </w:r>
    </w:p>
    <w:p w14:paraId="0F9284C4" w14:textId="16DF589D" w:rsidR="00F05F8C" w:rsidRPr="00737378" w:rsidRDefault="00F05F8C" w:rsidP="00F05F8C">
      <w:pPr>
        <w:pStyle w:val="NormalHanging12a"/>
      </w:pPr>
      <w:r w:rsidRPr="00737378">
        <w:t>–</w:t>
      </w:r>
      <w:r w:rsidRPr="00737378">
        <w:tab/>
        <w:t xml:space="preserve">Visto el suplicatorio de suspensión de la inmunidad de </w:t>
      </w:r>
      <w:proofErr w:type="spellStart"/>
      <w:r w:rsidRPr="00737378">
        <w:t>Mariusz</w:t>
      </w:r>
      <w:proofErr w:type="spellEnd"/>
      <w:r w:rsidRPr="00737378">
        <w:t xml:space="preserve"> </w:t>
      </w:r>
      <w:proofErr w:type="spellStart"/>
      <w:r w:rsidRPr="00737378">
        <w:t>Kamiński</w:t>
      </w:r>
      <w:proofErr w:type="spellEnd"/>
      <w:r w:rsidRPr="00737378">
        <w:t xml:space="preserve">, </w:t>
      </w:r>
      <w:r w:rsidR="0004549A" w:rsidRPr="00737378">
        <w:t xml:space="preserve">recibido del </w:t>
      </w:r>
      <w:r w:rsidRPr="00737378">
        <w:t xml:space="preserve">fiscal general de la República de Polonia, </w:t>
      </w:r>
      <w:r w:rsidR="0004549A" w:rsidRPr="00737378">
        <w:t xml:space="preserve">con fecha de 29 de julio de 2024, </w:t>
      </w:r>
      <w:r w:rsidRPr="00737378">
        <w:t xml:space="preserve">por el que se </w:t>
      </w:r>
      <w:r w:rsidR="0004549A" w:rsidRPr="00737378">
        <w:t xml:space="preserve">transmite </w:t>
      </w:r>
      <w:r w:rsidRPr="00737378">
        <w:t xml:space="preserve">un suplicatorio presentado por la Fiscalía Regional de Varsovia en relación con un procedimiento penal incoado contra </w:t>
      </w:r>
      <w:proofErr w:type="spellStart"/>
      <w:r w:rsidRPr="00737378">
        <w:t>Mariusz</w:t>
      </w:r>
      <w:proofErr w:type="spellEnd"/>
      <w:r w:rsidRPr="00737378">
        <w:t xml:space="preserve"> </w:t>
      </w:r>
      <w:proofErr w:type="spellStart"/>
      <w:r w:rsidRPr="00737378">
        <w:t>Kamiński</w:t>
      </w:r>
      <w:proofErr w:type="spellEnd"/>
      <w:r w:rsidRPr="00737378">
        <w:t xml:space="preserve"> y comunicado al Pleno el 16 de septiembre de 2024,</w:t>
      </w:r>
    </w:p>
    <w:p w14:paraId="02FC0107" w14:textId="59B537B3" w:rsidR="00F05F8C" w:rsidRPr="00737378" w:rsidRDefault="00F05F8C" w:rsidP="00F05F8C">
      <w:pPr>
        <w:pStyle w:val="NormalHanging12a"/>
      </w:pPr>
      <w:r w:rsidRPr="00737378">
        <w:t>–</w:t>
      </w:r>
      <w:r w:rsidRPr="00737378">
        <w:tab/>
        <w:t xml:space="preserve">Previa audiencia a </w:t>
      </w:r>
      <w:proofErr w:type="spellStart"/>
      <w:r w:rsidRPr="00737378">
        <w:t>Mariusz</w:t>
      </w:r>
      <w:proofErr w:type="spellEnd"/>
      <w:r w:rsidRPr="00737378">
        <w:t xml:space="preserve"> </w:t>
      </w:r>
      <w:proofErr w:type="spellStart"/>
      <w:r w:rsidRPr="00737378">
        <w:t>Kamiński</w:t>
      </w:r>
      <w:proofErr w:type="spellEnd"/>
      <w:r w:rsidRPr="00737378">
        <w:t xml:space="preserve"> el 30 de enero de 2025, de conformidad con el artículo 9, apartado 6, de su Reglamento interno, y visto</w:t>
      </w:r>
      <w:r w:rsidR="009723F2" w:rsidRPr="00737378">
        <w:t>s</w:t>
      </w:r>
      <w:r w:rsidRPr="00737378">
        <w:t xml:space="preserve"> l</w:t>
      </w:r>
      <w:r w:rsidR="009723F2" w:rsidRPr="00737378">
        <w:t>os</w:t>
      </w:r>
      <w:r w:rsidRPr="00737378">
        <w:t xml:space="preserve"> documento</w:t>
      </w:r>
      <w:r w:rsidR="009723F2" w:rsidRPr="00737378">
        <w:t>s</w:t>
      </w:r>
      <w:r w:rsidRPr="00737378">
        <w:t xml:space="preserve"> por él aportado</w:t>
      </w:r>
      <w:r w:rsidR="009723F2" w:rsidRPr="00737378">
        <w:t>s</w:t>
      </w:r>
      <w:r w:rsidRPr="00737378">
        <w:t>,</w:t>
      </w:r>
    </w:p>
    <w:p w14:paraId="18C00CA6" w14:textId="77777777" w:rsidR="00F05F8C" w:rsidRPr="00737378" w:rsidRDefault="00F05F8C" w:rsidP="00F05F8C">
      <w:pPr>
        <w:pStyle w:val="NormalHanging12a"/>
      </w:pPr>
      <w:r w:rsidRPr="00737378">
        <w:t>–</w:t>
      </w:r>
      <w:r w:rsidRPr="00737378">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1AB206C0" w14:textId="77777777" w:rsidR="00F05F8C" w:rsidRPr="00737378" w:rsidRDefault="00F05F8C" w:rsidP="00F05F8C">
      <w:pPr>
        <w:pStyle w:val="NormalHanging12a"/>
      </w:pPr>
      <w:r w:rsidRPr="00737378">
        <w:t>–</w:t>
      </w:r>
      <w:r w:rsidRPr="00737378">
        <w:tab/>
        <w:t>Vistas las sentencias del Tribunal de Justicia de la Unión Europea de 21 de octubre de 2008, 19 de marzo de 2010, 6 de septiembre de 2011, 17 de enero de 2013, 19 de diciembre de 2019 y 5 de julio de 2023</w:t>
      </w:r>
      <w:r w:rsidRPr="00737378">
        <w:rPr>
          <w:rStyle w:val="FootnoteReference"/>
          <w:color w:val="000000"/>
        </w:rPr>
        <w:footnoteReference w:id="1"/>
      </w:r>
      <w:r w:rsidRPr="00737378">
        <w:t>,</w:t>
      </w:r>
    </w:p>
    <w:p w14:paraId="3AB9BCB1" w14:textId="77777777" w:rsidR="00F05F8C" w:rsidRPr="00737378" w:rsidRDefault="00F05F8C" w:rsidP="00F05F8C">
      <w:pPr>
        <w:pStyle w:val="NormalHanging12a"/>
      </w:pPr>
      <w:r w:rsidRPr="00737378">
        <w:lastRenderedPageBreak/>
        <w:t>–</w:t>
      </w:r>
      <w:r w:rsidRPr="00737378">
        <w:tab/>
        <w:t>Visto el artículo 105, apartados 2 y 5, de la Constitución de la República de Polonia,</w:t>
      </w:r>
    </w:p>
    <w:p w14:paraId="0288B8B2" w14:textId="77777777" w:rsidR="00F05F8C" w:rsidRPr="00737378" w:rsidRDefault="00F05F8C" w:rsidP="00F05F8C">
      <w:pPr>
        <w:pStyle w:val="NormalHanging12a"/>
      </w:pPr>
      <w:r w:rsidRPr="00737378">
        <w:t>–</w:t>
      </w:r>
      <w:r w:rsidRPr="00737378">
        <w:tab/>
        <w:t>Vistos el artículo 5, apartado 2, el artículo 6, apartado 1, y el artículo 9 de su Reglamento interno,</w:t>
      </w:r>
    </w:p>
    <w:p w14:paraId="52222D20" w14:textId="77777777" w:rsidR="00F05F8C" w:rsidRPr="00737378" w:rsidRDefault="00F05F8C" w:rsidP="00F05F8C">
      <w:pPr>
        <w:pStyle w:val="NormalHanging12a"/>
      </w:pPr>
      <w:r w:rsidRPr="00737378">
        <w:t>–</w:t>
      </w:r>
      <w:r w:rsidRPr="00737378">
        <w:tab/>
        <w:t>Visto el informe de la Comisión de Asuntos Jurídicos (A10</w:t>
      </w:r>
      <w:r w:rsidRPr="00737378">
        <w:noBreakHyphen/>
        <w:t>0032/2025),</w:t>
      </w:r>
    </w:p>
    <w:p w14:paraId="042A01C4" w14:textId="39A42529" w:rsidR="00F05F8C" w:rsidRPr="00737378" w:rsidRDefault="00F05F8C" w:rsidP="00F05F8C">
      <w:pPr>
        <w:pStyle w:val="NormalHanging12a"/>
      </w:pPr>
      <w:r w:rsidRPr="00737378">
        <w:t>A.</w:t>
      </w:r>
      <w:r w:rsidRPr="00737378">
        <w:tab/>
        <w:t xml:space="preserve">Considerando que, mediante carta de 29 de julio de 2024, el fiscal general de Polonia </w:t>
      </w:r>
      <w:r w:rsidR="0004549A" w:rsidRPr="00737378">
        <w:t xml:space="preserve">transmitió </w:t>
      </w:r>
      <w:r w:rsidRPr="00737378">
        <w:t xml:space="preserve">un suplicatorio de suspensión de la inmunidad de </w:t>
      </w:r>
      <w:proofErr w:type="spellStart"/>
      <w:r w:rsidRPr="00737378">
        <w:t>Mariusz</w:t>
      </w:r>
      <w:proofErr w:type="spellEnd"/>
      <w:r w:rsidRPr="00737378">
        <w:t xml:space="preserve"> </w:t>
      </w:r>
      <w:proofErr w:type="spellStart"/>
      <w:r w:rsidRPr="00737378">
        <w:t>Kamiński</w:t>
      </w:r>
      <w:proofErr w:type="spellEnd"/>
      <w:r w:rsidRPr="00737378">
        <w:t xml:space="preserve">, </w:t>
      </w:r>
      <w:r w:rsidR="0004549A" w:rsidRPr="00737378">
        <w:t xml:space="preserve">formulado </w:t>
      </w:r>
      <w:r w:rsidRPr="00737378">
        <w:t>por la Fiscalía Regional de Varsovia, en relación con la supuesta comisión de delitos tipificados en el artículo 244 del Código Penal polaco, en relación con el artículo 12 de dicho Código;</w:t>
      </w:r>
    </w:p>
    <w:p w14:paraId="5A927E37" w14:textId="77777777" w:rsidR="00F05F8C" w:rsidRPr="00737378" w:rsidRDefault="00F05F8C" w:rsidP="00F05F8C">
      <w:pPr>
        <w:pStyle w:val="NormalHanging12a"/>
      </w:pPr>
      <w:r w:rsidRPr="00737378">
        <w:rPr>
          <w:shd w:val="clear" w:color="auto" w:fill="FFFFFF"/>
        </w:rPr>
        <w:t>B.</w:t>
      </w:r>
      <w:r w:rsidRPr="00737378">
        <w:rPr>
          <w:shd w:val="clear" w:color="auto" w:fill="FFFFFF"/>
        </w:rPr>
        <w:tab/>
      </w:r>
      <w:r w:rsidRPr="00737378">
        <w:t xml:space="preserve">Considerando que en el suplicatorio se indica que mediante los actos que supuestamente llevó a cabo </w:t>
      </w:r>
      <w:proofErr w:type="spellStart"/>
      <w:r w:rsidRPr="00737378">
        <w:t>Mariusz</w:t>
      </w:r>
      <w:proofErr w:type="spellEnd"/>
      <w:r w:rsidRPr="00737378">
        <w:t xml:space="preserve"> </w:t>
      </w:r>
      <w:proofErr w:type="spellStart"/>
      <w:r w:rsidRPr="00737378">
        <w:t>Kamiński</w:t>
      </w:r>
      <w:proofErr w:type="spellEnd"/>
      <w:r w:rsidRPr="00737378">
        <w:t xml:space="preserve"> los días 21 y 28 de diciembre de 2023 en Varsovia, siguiendo un plan preconcebido y en un breve espacio de tiempo, incumplió la pena de inhabilitación de cinco años para el ejercicio de cargo público impuesta por sentencia firme y vinculante dictada el 20 de diciembre de 2023 por el Tribunal Regional de Varsovia, en la medida en que </w:t>
      </w:r>
      <w:proofErr w:type="spellStart"/>
      <w:r w:rsidRPr="00737378">
        <w:t>Mari</w:t>
      </w:r>
      <w:bookmarkStart w:id="8" w:name="_GoBack"/>
      <w:bookmarkEnd w:id="8"/>
      <w:r w:rsidRPr="00737378">
        <w:t>usz</w:t>
      </w:r>
      <w:proofErr w:type="spellEnd"/>
      <w:r w:rsidRPr="00737378">
        <w:t xml:space="preserve"> </w:t>
      </w:r>
      <w:proofErr w:type="spellStart"/>
      <w:r w:rsidRPr="00737378">
        <w:t>Kamiński</w:t>
      </w:r>
      <w:proofErr w:type="spellEnd"/>
      <w:r w:rsidRPr="00737378">
        <w:t xml:space="preserve"> ejerció las funciones de diputado al </w:t>
      </w:r>
      <w:proofErr w:type="spellStart"/>
      <w:r w:rsidRPr="00737378">
        <w:t>Sejm</w:t>
      </w:r>
      <w:proofErr w:type="spellEnd"/>
      <w:r w:rsidRPr="00737378">
        <w:t xml:space="preserve"> (la Cámara Baja del Parlamento polaco) de la República de Polonia al participar en la sesión de dicha Cámara celebrada el 21 de diciembre de 2023, así como en unas votaciones, y en la medida en que también participó en una reunión de la Comisión de Administración y Asuntos Internos del </w:t>
      </w:r>
      <w:proofErr w:type="spellStart"/>
      <w:r w:rsidRPr="00737378">
        <w:t>Sejm</w:t>
      </w:r>
      <w:proofErr w:type="spellEnd"/>
      <w:r w:rsidRPr="00737378">
        <w:t xml:space="preserve"> el 28 de diciembre de 2023; que la supuesta comisión de estos actos es constitutiva de un delito tipificado en el artículo 244 del Código Penal polaco en relación con el artículo 12 de dicho Código;</w:t>
      </w:r>
    </w:p>
    <w:p w14:paraId="596FF147" w14:textId="0B083B14" w:rsidR="00F05F8C" w:rsidRPr="00737378" w:rsidRDefault="00F05F8C" w:rsidP="00FC0C94">
      <w:pPr>
        <w:pStyle w:val="NormalHanging12a"/>
      </w:pPr>
      <w:r w:rsidRPr="00737378">
        <w:t>C.</w:t>
      </w:r>
      <w:r w:rsidRPr="00737378">
        <w:tab/>
        <w:t xml:space="preserve">Considerando que el 18 de abril de 2024 se presentaron los mencionados cargos contra </w:t>
      </w:r>
      <w:proofErr w:type="spellStart"/>
      <w:r w:rsidRPr="00737378">
        <w:t>Mariusz</w:t>
      </w:r>
      <w:proofErr w:type="spellEnd"/>
      <w:r w:rsidRPr="00737378">
        <w:t xml:space="preserve"> </w:t>
      </w:r>
      <w:proofErr w:type="spellStart"/>
      <w:r w:rsidRPr="00737378">
        <w:t>Kamiński</w:t>
      </w:r>
      <w:proofErr w:type="spellEnd"/>
      <w:r w:rsidRPr="00737378">
        <w:t xml:space="preserve">; que </w:t>
      </w:r>
      <w:proofErr w:type="spellStart"/>
      <w:r w:rsidRPr="00737378">
        <w:t>Mariusz</w:t>
      </w:r>
      <w:proofErr w:type="spellEnd"/>
      <w:r w:rsidRPr="00737378">
        <w:t xml:space="preserve"> </w:t>
      </w:r>
      <w:proofErr w:type="spellStart"/>
      <w:r w:rsidRPr="00737378">
        <w:t>Kamiński</w:t>
      </w:r>
      <w:proofErr w:type="spellEnd"/>
      <w:r w:rsidRPr="00737378">
        <w:t xml:space="preserve"> fue elegido diputado al Parlamento Europeo en las elecciones europeas de junio de 2024;</w:t>
      </w:r>
      <w:r w:rsidR="00FC0C94" w:rsidRPr="00737378">
        <w:t xml:space="preserve"> c</w:t>
      </w:r>
      <w:r w:rsidRPr="00737378">
        <w:t xml:space="preserve">onsiderando que </w:t>
      </w:r>
      <w:proofErr w:type="spellStart"/>
      <w:r w:rsidRPr="00737378">
        <w:t>Mariusz</w:t>
      </w:r>
      <w:proofErr w:type="spellEnd"/>
      <w:r w:rsidRPr="00737378">
        <w:t xml:space="preserve"> </w:t>
      </w:r>
      <w:proofErr w:type="spellStart"/>
      <w:r w:rsidRPr="00737378">
        <w:t>Kamiński</w:t>
      </w:r>
      <w:proofErr w:type="spellEnd"/>
      <w:r w:rsidRPr="00737378">
        <w:t xml:space="preserve"> no era diputado al Parlamento Europeo en el momento de la comisión del presunto delito;</w:t>
      </w:r>
    </w:p>
    <w:p w14:paraId="36882156" w14:textId="55CF14C7" w:rsidR="00F05F8C" w:rsidRPr="00737378" w:rsidRDefault="00FC0C94" w:rsidP="00F05F8C">
      <w:pPr>
        <w:pStyle w:val="NormalHanging12a"/>
      </w:pPr>
      <w:r w:rsidRPr="00737378">
        <w:t>D</w:t>
      </w:r>
      <w:r w:rsidR="00F05F8C" w:rsidRPr="00737378">
        <w:t>.</w:t>
      </w:r>
      <w:r w:rsidR="00F05F8C" w:rsidRPr="00737378">
        <w:tab/>
        <w:t>Considerando que el presunto delito y el consiguiente suplicatorio de suspensión de la inmunidad no tienen relación con una opinión expresada o un voto emitido en el ejercicio de sus funciones en el sentido del artículo 8 del Protocolo n.º 7 sobre los privilegios y las inmunidades de la Unión Europea;</w:t>
      </w:r>
    </w:p>
    <w:p w14:paraId="1F73B357" w14:textId="045CFE13" w:rsidR="00F05F8C" w:rsidRPr="00737378" w:rsidRDefault="00FC0C94" w:rsidP="00F05F8C">
      <w:pPr>
        <w:pStyle w:val="NormalHanging12a"/>
      </w:pPr>
      <w:r w:rsidRPr="00737378">
        <w:t>E</w:t>
      </w:r>
      <w:r w:rsidR="00F05F8C" w:rsidRPr="00737378">
        <w:t>.</w:t>
      </w:r>
      <w:r w:rsidR="00F05F8C" w:rsidRPr="00737378">
        <w:tab/>
        <w:t>Considerando que el artículo 9, párrafo primero, letra a)</w:t>
      </w:r>
      <w:r w:rsidR="0004549A" w:rsidRPr="00737378">
        <w:t>,</w:t>
      </w:r>
      <w:r w:rsidR="00F05F8C" w:rsidRPr="00737378">
        <w:t xml:space="preserve"> del Protocolo n.º 7 sobre los privilegios y las inmunidades de la Unión Europea dispone que los miembros del Parlamento Europeo gozarán, en su propio territorio nacional, de las inmunidades reconocidas a los miembros del Parlamento de su país;</w:t>
      </w:r>
    </w:p>
    <w:p w14:paraId="34B3D4F1" w14:textId="7E8BC1F7" w:rsidR="00F05F8C" w:rsidRPr="00737378" w:rsidRDefault="00FC0C94" w:rsidP="00F05F8C">
      <w:pPr>
        <w:pStyle w:val="NormalHanging12a"/>
      </w:pPr>
      <w:r w:rsidRPr="00737378">
        <w:t>F</w:t>
      </w:r>
      <w:r w:rsidR="00F05F8C" w:rsidRPr="00737378">
        <w:t>.</w:t>
      </w:r>
      <w:r w:rsidR="00F05F8C" w:rsidRPr="00737378">
        <w:tab/>
        <w:t xml:space="preserve">Considerando que, de conformidad con el artículo 105, apartados 2 y 5, de la Constitución polaca, desde el día en que se anuncian los resultados de las elecciones hasta la fecha de expiración de su mandato, un diputado no puede ser procesado penalmente sin el consentimiento del </w:t>
      </w:r>
      <w:proofErr w:type="spellStart"/>
      <w:r w:rsidR="00F05F8C" w:rsidRPr="00737378">
        <w:t>Sejm</w:t>
      </w:r>
      <w:proofErr w:type="spellEnd"/>
      <w:r w:rsidR="00F05F8C" w:rsidRPr="00737378">
        <w:t xml:space="preserve"> de la República de Polonia y no puede ser detenido ni privado de libertad sin el consentimiento del </w:t>
      </w:r>
      <w:proofErr w:type="spellStart"/>
      <w:r w:rsidR="00F05F8C" w:rsidRPr="00737378">
        <w:t>Sejm</w:t>
      </w:r>
      <w:proofErr w:type="spellEnd"/>
      <w:r w:rsidR="00F05F8C" w:rsidRPr="00737378">
        <w:t>, excepto en el caso de que haya sido detenido en flagrante delito y de que la privación de libertad sea necesaria para garantizar la correcta tramitación del procedimiento;</w:t>
      </w:r>
    </w:p>
    <w:p w14:paraId="71FCEE33" w14:textId="529D213B" w:rsidR="00F05F8C" w:rsidRPr="00737378" w:rsidRDefault="00FC0C94" w:rsidP="00F05F8C">
      <w:pPr>
        <w:pStyle w:val="NormalHanging12a"/>
      </w:pPr>
      <w:r w:rsidRPr="00737378">
        <w:t>G</w:t>
      </w:r>
      <w:r w:rsidR="00F05F8C" w:rsidRPr="00737378">
        <w:t>.</w:t>
      </w:r>
      <w:r w:rsidR="00F05F8C" w:rsidRPr="00737378">
        <w:tab/>
        <w:t xml:space="preserve">Considerando que la inmunidad parlamentaria tiene como finalidad proteger al Parlamento y a sus diputados frente a los procedimientos judiciales relacionados con las </w:t>
      </w:r>
      <w:r w:rsidR="00F05F8C" w:rsidRPr="00737378">
        <w:lastRenderedPageBreak/>
        <w:t>actividades desempeñadas en el ejercicio de sus obligaciones parlamentarias y que no pueden desvincularse de estas;</w:t>
      </w:r>
    </w:p>
    <w:p w14:paraId="0F4B13C4" w14:textId="7110C20D" w:rsidR="00F05F8C" w:rsidRPr="00737378" w:rsidRDefault="00FC0C94" w:rsidP="00F05F8C">
      <w:pPr>
        <w:pStyle w:val="NormalHanging12a"/>
      </w:pPr>
      <w:r w:rsidRPr="00737378">
        <w:t>H</w:t>
      </w:r>
      <w:r w:rsidR="00F05F8C" w:rsidRPr="00737378">
        <w:t>.</w:t>
      </w:r>
      <w:r w:rsidR="00F05F8C" w:rsidRPr="00737378">
        <w:tab/>
        <w:t>Considerando que, de conformidad con el artículo 5, apartado 2, de su Reglamento interno, la inmunidad parlamentaria no es un privilegio personal del diputado, sino una garantía de independencia del Parlamento en su conjunto y de sus diputados;</w:t>
      </w:r>
    </w:p>
    <w:p w14:paraId="4E41F5C8" w14:textId="2AF162F6" w:rsidR="00F05F8C" w:rsidRPr="00737378" w:rsidRDefault="00FC0C94" w:rsidP="00F05F8C">
      <w:pPr>
        <w:pStyle w:val="NormalHanging12a"/>
      </w:pPr>
      <w:r w:rsidRPr="00737378">
        <w:t>I</w:t>
      </w:r>
      <w:r w:rsidR="00F05F8C" w:rsidRPr="00737378">
        <w:t>.</w:t>
      </w:r>
      <w:r w:rsidR="00F05F8C" w:rsidRPr="00737378">
        <w:tab/>
        <w:t xml:space="preserve">Considerando que, en este caso, el Parlamento no ha podido determinar la existencia de </w:t>
      </w:r>
      <w:proofErr w:type="spellStart"/>
      <w:r w:rsidR="00F05F8C" w:rsidRPr="00737378">
        <w:rPr>
          <w:i/>
          <w:iCs/>
        </w:rPr>
        <w:t>fumus</w:t>
      </w:r>
      <w:proofErr w:type="spellEnd"/>
      <w:r w:rsidR="00F05F8C" w:rsidRPr="00737378">
        <w:rPr>
          <w:i/>
          <w:iCs/>
        </w:rPr>
        <w:t xml:space="preserve"> </w:t>
      </w:r>
      <w:proofErr w:type="spellStart"/>
      <w:r w:rsidR="00F05F8C" w:rsidRPr="00737378">
        <w:rPr>
          <w:i/>
          <w:iCs/>
        </w:rPr>
        <w:t>persecutionis</w:t>
      </w:r>
      <w:proofErr w:type="spellEnd"/>
      <w:r w:rsidR="00F05F8C" w:rsidRPr="00737378">
        <w:t xml:space="preserve">, a saber, de elementos de hecho que indiquen que la actuación judicial en cuestión se inició con la intención de causar un perjuicio a la actividad política del diputado </w:t>
      </w:r>
      <w:r w:rsidR="0004549A" w:rsidRPr="00737378">
        <w:t xml:space="preserve">en su calidad de miembro </w:t>
      </w:r>
      <w:r w:rsidR="00F05F8C" w:rsidRPr="00737378">
        <w:t>del Parlamento Europeo;</w:t>
      </w:r>
    </w:p>
    <w:p w14:paraId="537EE09B" w14:textId="096E4320" w:rsidR="00F05F8C" w:rsidRPr="00737378" w:rsidRDefault="00FC0C94" w:rsidP="00F05F8C">
      <w:pPr>
        <w:pStyle w:val="NormalHanging12a"/>
        <w:widowControl/>
      </w:pPr>
      <w:r w:rsidRPr="00737378">
        <w:t>J</w:t>
      </w:r>
      <w:r w:rsidR="00F05F8C" w:rsidRPr="00737378">
        <w:t>.</w:t>
      </w:r>
      <w:r w:rsidR="00F05F8C" w:rsidRPr="00737378">
        <w:tab/>
        <w:t>Considerando, por un lado, que el Parlamento no puede equipararse a un órgano jurisdiccional y, por otro, que el diputado, en el contexto de un procedimiento de suspensión de la inmunidad, no puede considerarse un «acusado»</w:t>
      </w:r>
      <w:r w:rsidR="00F05F8C" w:rsidRPr="00737378">
        <w:rPr>
          <w:vertAlign w:val="superscript"/>
        </w:rPr>
        <w:footnoteReference w:id="2"/>
      </w:r>
      <w:r w:rsidR="00F05F8C" w:rsidRPr="00737378">
        <w:t>;</w:t>
      </w:r>
    </w:p>
    <w:p w14:paraId="457B8A2D" w14:textId="77777777" w:rsidR="00F05F8C" w:rsidRPr="00737378" w:rsidRDefault="00F05F8C" w:rsidP="00F05F8C">
      <w:pPr>
        <w:pStyle w:val="NormalHanging12a"/>
      </w:pPr>
      <w:r w:rsidRPr="00737378">
        <w:t>1.</w:t>
      </w:r>
      <w:r w:rsidRPr="00737378">
        <w:tab/>
        <w:t xml:space="preserve">Decide suspender la inmunidad parlamentaria de </w:t>
      </w:r>
      <w:proofErr w:type="spellStart"/>
      <w:r w:rsidRPr="00737378">
        <w:t>Mariusz</w:t>
      </w:r>
      <w:proofErr w:type="spellEnd"/>
      <w:r w:rsidRPr="00737378">
        <w:t xml:space="preserve"> </w:t>
      </w:r>
      <w:proofErr w:type="spellStart"/>
      <w:r w:rsidRPr="00737378">
        <w:t>Kamiński</w:t>
      </w:r>
      <w:proofErr w:type="spellEnd"/>
      <w:r w:rsidRPr="00737378">
        <w:t>;</w:t>
      </w:r>
    </w:p>
    <w:p w14:paraId="2F70C175" w14:textId="77777777" w:rsidR="009261B6" w:rsidRPr="00737378" w:rsidRDefault="00F05F8C" w:rsidP="009261B6">
      <w:pPr>
        <w:pStyle w:val="NormalHanging12a"/>
      </w:pPr>
      <w:r w:rsidRPr="00737378">
        <w:t>2.</w:t>
      </w:r>
      <w:r w:rsidRPr="00737378">
        <w:tab/>
        <w:t xml:space="preserve">Encarga a su presidenta que transmita inmediatamente la presente Decisión y el informe de la comisión competente a las autoridades competentes de la República de Polonia y a </w:t>
      </w:r>
      <w:proofErr w:type="spellStart"/>
      <w:r w:rsidRPr="00737378">
        <w:t>Mariusz</w:t>
      </w:r>
      <w:proofErr w:type="spellEnd"/>
      <w:r w:rsidRPr="00737378">
        <w:t xml:space="preserve"> </w:t>
      </w:r>
      <w:proofErr w:type="spellStart"/>
      <w:r w:rsidRPr="00737378">
        <w:t>Kamiński</w:t>
      </w:r>
      <w:proofErr w:type="spellEnd"/>
      <w:r w:rsidRPr="00737378">
        <w:t>.</w:t>
      </w:r>
    </w:p>
    <w:p w14:paraId="13BA6891" w14:textId="77777777" w:rsidR="00E365E1" w:rsidRPr="00737378" w:rsidRDefault="00E365E1" w:rsidP="00E277F2"/>
    <w:sectPr w:rsidR="00E365E1" w:rsidRPr="00737378" w:rsidSect="009261B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DE513" w14:textId="77777777" w:rsidR="00E277F2" w:rsidRPr="009261B6" w:rsidRDefault="00E277F2">
      <w:r w:rsidRPr="009261B6">
        <w:separator/>
      </w:r>
    </w:p>
  </w:endnote>
  <w:endnote w:type="continuationSeparator" w:id="0">
    <w:p w14:paraId="47E55506" w14:textId="77777777" w:rsidR="00E277F2" w:rsidRPr="009261B6" w:rsidRDefault="00E277F2">
      <w:r w:rsidRPr="009261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23872" w14:textId="77777777" w:rsidR="00064002" w:rsidRPr="009261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447A9" w14:textId="77777777" w:rsidR="00064002" w:rsidRPr="009261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7B499" w14:textId="77777777" w:rsidR="00064002" w:rsidRPr="009261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71914" w14:textId="77777777" w:rsidR="00E277F2" w:rsidRPr="009261B6" w:rsidRDefault="00E277F2">
      <w:r w:rsidRPr="009261B6">
        <w:separator/>
      </w:r>
    </w:p>
  </w:footnote>
  <w:footnote w:type="continuationSeparator" w:id="0">
    <w:p w14:paraId="332B8C7F" w14:textId="77777777" w:rsidR="00E277F2" w:rsidRPr="009261B6" w:rsidRDefault="00E277F2">
      <w:r w:rsidRPr="009261B6">
        <w:continuationSeparator/>
      </w:r>
    </w:p>
  </w:footnote>
  <w:footnote w:id="1">
    <w:p w14:paraId="4512F219" w14:textId="77777777" w:rsidR="00F05F8C" w:rsidRPr="009261B6" w:rsidRDefault="00F05F8C" w:rsidP="009261B6">
      <w:pPr>
        <w:pStyle w:val="FootnoteText"/>
        <w:ind w:left="567" w:hanging="567"/>
        <w:rPr>
          <w:sz w:val="24"/>
          <w:lang w:val="es-ES_tradnl"/>
        </w:rPr>
      </w:pPr>
      <w:r w:rsidRPr="009261B6">
        <w:rPr>
          <w:rStyle w:val="FootnoteReference"/>
          <w:sz w:val="24"/>
          <w:lang w:val="es-ES_tradnl"/>
        </w:rPr>
        <w:footnoteRef/>
      </w:r>
      <w:r w:rsidR="009261B6" w:rsidRPr="009261B6">
        <w:rPr>
          <w:sz w:val="24"/>
          <w:lang w:val="es-ES_tradnl"/>
        </w:rPr>
        <w:t xml:space="preserve"> </w:t>
      </w:r>
      <w:r w:rsidR="009261B6" w:rsidRPr="009261B6">
        <w:rPr>
          <w:sz w:val="24"/>
          <w:lang w:val="es-ES_tradnl"/>
        </w:rPr>
        <w:tab/>
      </w:r>
      <w:r w:rsidRPr="009261B6">
        <w:rPr>
          <w:sz w:val="24"/>
          <w:lang w:val="es-ES_tradnl"/>
        </w:rPr>
        <w:t>Sentencia del Tribunal de Justicia de 21 de octubre de 2008, Marra/De Gregorio y Clemente, C</w:t>
      </w:r>
      <w:r w:rsidRPr="009261B6">
        <w:rPr>
          <w:sz w:val="24"/>
          <w:lang w:val="es-ES_tradnl"/>
        </w:rPr>
        <w:noBreakHyphen/>
        <w:t>200/07 y C</w:t>
      </w:r>
      <w:r w:rsidRPr="009261B6">
        <w:rPr>
          <w:sz w:val="24"/>
          <w:lang w:val="es-ES_tradnl"/>
        </w:rPr>
        <w:noBreakHyphen/>
        <w:t xml:space="preserve">201/07, ECLI:EU:C:2008:579; sentencia del Tribunal General de 19 de marzo de 2010, </w:t>
      </w:r>
      <w:proofErr w:type="spellStart"/>
      <w:r w:rsidRPr="009261B6">
        <w:rPr>
          <w:sz w:val="24"/>
          <w:lang w:val="es-ES_tradnl"/>
        </w:rPr>
        <w:t>Gollnisch</w:t>
      </w:r>
      <w:proofErr w:type="spellEnd"/>
      <w:r w:rsidRPr="009261B6">
        <w:rPr>
          <w:sz w:val="24"/>
          <w:lang w:val="es-ES_tradnl"/>
        </w:rPr>
        <w:t>/Parlamento, T</w:t>
      </w:r>
      <w:r w:rsidRPr="009261B6">
        <w:rPr>
          <w:sz w:val="24"/>
          <w:lang w:val="es-ES_tradnl"/>
        </w:rPr>
        <w:noBreakHyphen/>
        <w:t xml:space="preserve">42/06, ECLI:EU:T:2010:102; sentencia del Tribunal de Justicia de 6 de septiembre de 2011, </w:t>
      </w:r>
      <w:proofErr w:type="spellStart"/>
      <w:r w:rsidRPr="009261B6">
        <w:rPr>
          <w:sz w:val="24"/>
          <w:lang w:val="es-ES_tradnl"/>
        </w:rPr>
        <w:t>Patriciello</w:t>
      </w:r>
      <w:proofErr w:type="spellEnd"/>
      <w:r w:rsidRPr="009261B6">
        <w:rPr>
          <w:sz w:val="24"/>
          <w:lang w:val="es-ES_tradnl"/>
        </w:rPr>
        <w:t>, C</w:t>
      </w:r>
      <w:r w:rsidRPr="009261B6">
        <w:rPr>
          <w:sz w:val="24"/>
          <w:lang w:val="es-ES_tradnl"/>
        </w:rPr>
        <w:noBreakHyphen/>
        <w:t xml:space="preserve">163/10, ECLI: EU:C:2011:543; sentencia del Tribunal General de 17 de enero de 2013, </w:t>
      </w:r>
      <w:proofErr w:type="spellStart"/>
      <w:r w:rsidRPr="009261B6">
        <w:rPr>
          <w:sz w:val="24"/>
          <w:lang w:val="es-ES_tradnl"/>
        </w:rPr>
        <w:t>Gollnisch</w:t>
      </w:r>
      <w:proofErr w:type="spellEnd"/>
      <w:r w:rsidRPr="009261B6">
        <w:rPr>
          <w:sz w:val="24"/>
          <w:lang w:val="es-ES_tradnl"/>
        </w:rPr>
        <w:t xml:space="preserve">/Parlamento, T‑346/11 y T-347/11, ECLI:EU:T:2013:23; sentencia del Tribunal de Justicia de 19 de diciembre de 2019, Junqueras </w:t>
      </w:r>
      <w:proofErr w:type="spellStart"/>
      <w:r w:rsidRPr="009261B6">
        <w:rPr>
          <w:sz w:val="24"/>
          <w:lang w:val="es-ES_tradnl"/>
        </w:rPr>
        <w:t>Vies</w:t>
      </w:r>
      <w:proofErr w:type="spellEnd"/>
      <w:r w:rsidRPr="009261B6">
        <w:rPr>
          <w:sz w:val="24"/>
          <w:lang w:val="es-ES_tradnl"/>
        </w:rPr>
        <w:t xml:space="preserve">, C‑502/19, ECLI:EU:C:2019:1115; sentencia del Tribunal General de 5 de julio de 2023, </w:t>
      </w:r>
      <w:proofErr w:type="spellStart"/>
      <w:r w:rsidRPr="009261B6">
        <w:rPr>
          <w:sz w:val="24"/>
          <w:lang w:val="es-ES_tradnl"/>
        </w:rPr>
        <w:t>Puigdemont</w:t>
      </w:r>
      <w:proofErr w:type="spellEnd"/>
      <w:r w:rsidRPr="009261B6">
        <w:rPr>
          <w:sz w:val="24"/>
          <w:lang w:val="es-ES_tradnl"/>
        </w:rPr>
        <w:t xml:space="preserve"> i </w:t>
      </w:r>
      <w:proofErr w:type="spellStart"/>
      <w:r w:rsidRPr="009261B6">
        <w:rPr>
          <w:sz w:val="24"/>
          <w:lang w:val="es-ES_tradnl"/>
        </w:rPr>
        <w:t>Casamajó</w:t>
      </w:r>
      <w:proofErr w:type="spellEnd"/>
      <w:r w:rsidRPr="009261B6">
        <w:rPr>
          <w:sz w:val="24"/>
          <w:lang w:val="es-ES_tradnl"/>
        </w:rPr>
        <w:t xml:space="preserve"> y otros/Parlamento, T‑272/21, ECLI:EU:T:2023:373.</w:t>
      </w:r>
    </w:p>
  </w:footnote>
  <w:footnote w:id="2">
    <w:p w14:paraId="02DE7C08" w14:textId="77777777" w:rsidR="00F05F8C" w:rsidRPr="009261B6" w:rsidRDefault="00F05F8C" w:rsidP="009261B6">
      <w:pPr>
        <w:pStyle w:val="FootnoteText"/>
        <w:ind w:left="567" w:hanging="567"/>
        <w:rPr>
          <w:sz w:val="24"/>
          <w:lang w:val="es-ES_tradnl"/>
        </w:rPr>
      </w:pPr>
      <w:r w:rsidRPr="009261B6">
        <w:rPr>
          <w:rStyle w:val="FootnoteReference"/>
          <w:sz w:val="24"/>
          <w:lang w:val="es-ES_tradnl"/>
        </w:rPr>
        <w:footnoteRef/>
      </w:r>
      <w:r w:rsidR="009261B6" w:rsidRPr="009261B6">
        <w:rPr>
          <w:sz w:val="24"/>
          <w:lang w:val="es-ES_tradnl"/>
        </w:rPr>
        <w:t xml:space="preserve"> </w:t>
      </w:r>
      <w:r w:rsidR="009261B6" w:rsidRPr="009261B6">
        <w:rPr>
          <w:sz w:val="24"/>
          <w:lang w:val="es-ES_tradnl"/>
        </w:rPr>
        <w:tab/>
      </w:r>
      <w:r w:rsidRPr="009261B6">
        <w:rPr>
          <w:sz w:val="24"/>
          <w:lang w:val="es-ES_tradnl"/>
        </w:rPr>
        <w:t xml:space="preserve">Sentencia del Tribunal General de 30 de abril de 2019, </w:t>
      </w:r>
      <w:proofErr w:type="spellStart"/>
      <w:r w:rsidRPr="009261B6">
        <w:rPr>
          <w:sz w:val="24"/>
          <w:lang w:val="es-ES_tradnl"/>
        </w:rPr>
        <w:t>Briois</w:t>
      </w:r>
      <w:proofErr w:type="spellEnd"/>
      <w:r w:rsidRPr="009261B6">
        <w:rPr>
          <w:sz w:val="24"/>
          <w:lang w:val="es-ES_tradnl"/>
        </w:rPr>
        <w:t>/Parlamento, T</w:t>
      </w:r>
      <w:r w:rsidRPr="009261B6">
        <w:rPr>
          <w:sz w:val="24"/>
          <w:lang w:val="es-ES_tradnl"/>
        </w:rPr>
        <w:noBreakHyphen/>
        <w:t>214/18, ECLI:</w:t>
      </w:r>
      <w:proofErr w:type="gramStart"/>
      <w:r w:rsidRPr="009261B6">
        <w:rPr>
          <w:sz w:val="24"/>
          <w:lang w:val="es-ES_tradnl"/>
        </w:rPr>
        <w:t>EU:T</w:t>
      </w:r>
      <w:proofErr w:type="gramEnd"/>
      <w:r w:rsidRPr="009261B6">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CE3B" w14:textId="77777777" w:rsidR="00064002" w:rsidRPr="009261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AE91B" w14:textId="77777777" w:rsidR="00064002" w:rsidRPr="009261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58524" w14:textId="77777777" w:rsidR="00064002" w:rsidRPr="009261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ES"/>
    <w:docVar w:name="dvnumam" w:val="0"/>
    <w:docVar w:name="dvpe" w:val="766.697"/>
    <w:docVar w:name="dvrapporteur" w:val="Ponente: "/>
    <w:docVar w:name="dvtitre" w:val="Decisión del Parlamento Europeo, de 1 de abril de 2025, sobre el suplicatorio de suspensión de la inmunidad de Mariusz Kamiński(2024/2046(IMM))"/>
  </w:docVars>
  <w:rsids>
    <w:rsidRoot w:val="00E277F2"/>
    <w:rsid w:val="00002272"/>
    <w:rsid w:val="0004549A"/>
    <w:rsid w:val="00064002"/>
    <w:rsid w:val="000677B9"/>
    <w:rsid w:val="000831BA"/>
    <w:rsid w:val="000A42CC"/>
    <w:rsid w:val="000C508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7378"/>
    <w:rsid w:val="00747932"/>
    <w:rsid w:val="00751A4A"/>
    <w:rsid w:val="00756632"/>
    <w:rsid w:val="00762C74"/>
    <w:rsid w:val="007857ED"/>
    <w:rsid w:val="00786EC0"/>
    <w:rsid w:val="007D1690"/>
    <w:rsid w:val="007E22AD"/>
    <w:rsid w:val="00817416"/>
    <w:rsid w:val="00842779"/>
    <w:rsid w:val="00865F67"/>
    <w:rsid w:val="00881A7B"/>
    <w:rsid w:val="008840E5"/>
    <w:rsid w:val="00887B3E"/>
    <w:rsid w:val="008C2AC6"/>
    <w:rsid w:val="009261B6"/>
    <w:rsid w:val="00930C23"/>
    <w:rsid w:val="0093193B"/>
    <w:rsid w:val="009509D8"/>
    <w:rsid w:val="00950B64"/>
    <w:rsid w:val="009723F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7F2"/>
    <w:rsid w:val="00E365E1"/>
    <w:rsid w:val="00E820A4"/>
    <w:rsid w:val="00EB006A"/>
    <w:rsid w:val="00EB4772"/>
    <w:rsid w:val="00ED169E"/>
    <w:rsid w:val="00ED4235"/>
    <w:rsid w:val="00F04346"/>
    <w:rsid w:val="00F05F8C"/>
    <w:rsid w:val="00F075DC"/>
    <w:rsid w:val="00F149E9"/>
    <w:rsid w:val="00F5134D"/>
    <w:rsid w:val="00F74202"/>
    <w:rsid w:val="00F87713"/>
    <w:rsid w:val="00FB4360"/>
    <w:rsid w:val="00FC0C94"/>
    <w:rsid w:val="00FD0C70"/>
    <w:rsid w:val="00FF68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EA175"/>
  <w15:chartTrackingRefBased/>
  <w15:docId w15:val="{D4647C12-1CA4-4992-8742-F50BEB8A8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5F8C"/>
    <w:pPr>
      <w:spacing w:after="240"/>
      <w:ind w:left="567" w:hanging="567"/>
    </w:pPr>
  </w:style>
  <w:style w:type="paragraph" w:customStyle="1" w:styleId="EPComma">
    <w:name w:val="EPComma"/>
    <w:basedOn w:val="Normal"/>
    <w:rsid w:val="00F05F8C"/>
    <w:pPr>
      <w:spacing w:before="480" w:after="240"/>
    </w:pPr>
  </w:style>
  <w:style w:type="character" w:styleId="CommentReference">
    <w:name w:val="annotation reference"/>
    <w:basedOn w:val="DefaultParagraphFont"/>
    <w:rsid w:val="00FC0C94"/>
    <w:rPr>
      <w:sz w:val="16"/>
      <w:szCs w:val="16"/>
    </w:rPr>
  </w:style>
  <w:style w:type="paragraph" w:styleId="CommentText">
    <w:name w:val="annotation text"/>
    <w:basedOn w:val="Normal"/>
    <w:link w:val="CommentTextChar"/>
    <w:rsid w:val="00FC0C94"/>
    <w:rPr>
      <w:sz w:val="20"/>
    </w:rPr>
  </w:style>
  <w:style w:type="character" w:customStyle="1" w:styleId="CommentTextChar">
    <w:name w:val="Comment Text Char"/>
    <w:basedOn w:val="DefaultParagraphFont"/>
    <w:link w:val="CommentText"/>
    <w:rsid w:val="00FC0C94"/>
    <w:rPr>
      <w:lang w:val="es-ES_tradnl"/>
    </w:rPr>
  </w:style>
  <w:style w:type="paragraph" w:styleId="CommentSubject">
    <w:name w:val="annotation subject"/>
    <w:basedOn w:val="CommentText"/>
    <w:next w:val="CommentText"/>
    <w:link w:val="CommentSubjectChar"/>
    <w:rsid w:val="00FC0C94"/>
    <w:rPr>
      <w:b/>
      <w:bCs/>
    </w:rPr>
  </w:style>
  <w:style w:type="character" w:customStyle="1" w:styleId="CommentSubjectChar">
    <w:name w:val="Comment Subject Char"/>
    <w:basedOn w:val="CommentTextChar"/>
    <w:link w:val="CommentSubject"/>
    <w:rsid w:val="00FC0C94"/>
    <w:rPr>
      <w:b/>
      <w:bCs/>
      <w:lang w:val="es-ES_tradnl"/>
    </w:rPr>
  </w:style>
  <w:style w:type="paragraph" w:styleId="BalloonText">
    <w:name w:val="Balloon Text"/>
    <w:basedOn w:val="Normal"/>
    <w:link w:val="BalloonTextChar"/>
    <w:rsid w:val="00FC0C94"/>
    <w:rPr>
      <w:rFonts w:ascii="Segoe UI" w:hAnsi="Segoe UI" w:cs="Segoe UI"/>
      <w:sz w:val="18"/>
      <w:szCs w:val="18"/>
    </w:rPr>
  </w:style>
  <w:style w:type="character" w:customStyle="1" w:styleId="BalloonTextChar">
    <w:name w:val="Balloon Text Char"/>
    <w:basedOn w:val="DefaultParagraphFont"/>
    <w:link w:val="BalloonText"/>
    <w:rsid w:val="00FC0C94"/>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CFE02-FABC-4462-AE1E-6B62DB37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982</Words>
  <Characters>4973</Characters>
  <Application>Microsoft Office Word</Application>
  <DocSecurity>0</DocSecurity>
  <Lines>184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2025-04-01T10:43:00Z</dcterms:created>
  <dcterms:modified xsi:type="dcterms:W3CDTF">2025-04-01T10:43:00Z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A10-0032/2025</vt:lpwstr>
  </property>
  <property fmtid="{D5CDD505-2E9C-101B-9397-08002B2CF9AE}" pid="4" name="&lt;Type&gt;">
    <vt:lpwstr>RR</vt:lpwstr>
  </property>
</Properties>
</file>