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F4E40" w14:paraId="261F688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CC0AC2" w14:textId="77777777" w:rsidR="00751A4A" w:rsidRPr="005F4E40" w:rsidRDefault="000B45D7" w:rsidP="0010095E">
            <w:pPr>
              <w:pStyle w:val="EPName"/>
            </w:pPr>
            <w:r w:rsidRPr="005F4E40">
              <w:t>Parlamento europeo</w:t>
            </w:r>
          </w:p>
          <w:p w14:paraId="5DC5B7E6" w14:textId="77777777" w:rsidR="00751A4A" w:rsidRPr="005F4E4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F4E40">
              <w:t>2024</w:t>
            </w:r>
            <w:r w:rsidR="00817416" w:rsidRPr="005F4E40">
              <w:t>-202</w:t>
            </w:r>
            <w:r w:rsidRPr="005F4E40">
              <w:t>9</w:t>
            </w:r>
          </w:p>
        </w:tc>
        <w:tc>
          <w:tcPr>
            <w:tcW w:w="2268" w:type="dxa"/>
            <w:shd w:val="clear" w:color="auto" w:fill="auto"/>
          </w:tcPr>
          <w:p w14:paraId="052CE37A" w14:textId="77777777" w:rsidR="00751A4A" w:rsidRPr="005F4E40" w:rsidRDefault="00187494" w:rsidP="0010095E">
            <w:pPr>
              <w:pStyle w:val="EPLogo"/>
            </w:pPr>
            <w:r w:rsidRPr="005F4E40">
              <w:rPr>
                <w:noProof/>
                <w:lang w:eastAsia="it-IT"/>
              </w:rPr>
              <w:drawing>
                <wp:inline distT="0" distB="0" distL="0" distR="0" wp14:anchorId="563366D6" wp14:editId="0CFCF6D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F9FF80" w14:textId="77777777" w:rsidR="00D058B8" w:rsidRPr="005F4E40" w:rsidRDefault="00D058B8" w:rsidP="004C5D52">
      <w:pPr>
        <w:pStyle w:val="LineTop"/>
      </w:pPr>
    </w:p>
    <w:p w14:paraId="1ACBA007" w14:textId="77777777" w:rsidR="00680577" w:rsidRPr="005F4E40" w:rsidRDefault="000B45D7" w:rsidP="00680577">
      <w:pPr>
        <w:pStyle w:val="EPBodyTA1"/>
      </w:pPr>
      <w:r w:rsidRPr="005F4E40">
        <w:t>TESTI APPROVATI</w:t>
      </w:r>
    </w:p>
    <w:p w14:paraId="10C6EDCF" w14:textId="77777777" w:rsidR="00D058B8" w:rsidRPr="005F4E40" w:rsidRDefault="00D058B8" w:rsidP="00D058B8">
      <w:pPr>
        <w:pStyle w:val="LineBottom"/>
      </w:pPr>
    </w:p>
    <w:p w14:paraId="3A9DD9B1" w14:textId="509E42E8" w:rsidR="000B45D7" w:rsidRPr="005F4E40" w:rsidRDefault="000B45D7" w:rsidP="000B45D7">
      <w:pPr>
        <w:pStyle w:val="ATHeading1"/>
      </w:pPr>
      <w:bookmarkStart w:id="0" w:name="TANumber"/>
      <w:r w:rsidRPr="005F4E40">
        <w:t>P10_TA(2025)00</w:t>
      </w:r>
      <w:bookmarkEnd w:id="0"/>
      <w:r w:rsidR="005F4E40" w:rsidRPr="005F4E40">
        <w:t>43</w:t>
      </w:r>
    </w:p>
    <w:p w14:paraId="54B53DAE" w14:textId="1F7CC54C" w:rsidR="000B45D7" w:rsidRPr="005F4E40" w:rsidRDefault="00293F96" w:rsidP="000B45D7">
      <w:pPr>
        <w:pStyle w:val="ATHeading2"/>
      </w:pPr>
      <w:r w:rsidRPr="005F4E40">
        <w:t xml:space="preserve">Richiesta di revoca dell’immunità di Mariusz Kamiński </w:t>
      </w:r>
    </w:p>
    <w:p w14:paraId="480C2902" w14:textId="77777777" w:rsidR="000B45D7" w:rsidRPr="005F4E40" w:rsidRDefault="000B45D7" w:rsidP="000B45D7">
      <w:pPr>
        <w:rPr>
          <w:i/>
          <w:vanish/>
        </w:rPr>
      </w:pPr>
      <w:r w:rsidRPr="005F4E40">
        <w:rPr>
          <w:i/>
        </w:rPr>
        <w:fldChar w:fldCharType="begin"/>
      </w:r>
      <w:r w:rsidRPr="005F4E40">
        <w:rPr>
          <w:i/>
        </w:rPr>
        <w:instrText xml:space="preserve"> TC"(</w:instrText>
      </w:r>
      <w:bookmarkStart w:id="1" w:name="DocNumber"/>
      <w:r w:rsidRPr="005F4E40">
        <w:rPr>
          <w:i/>
        </w:rPr>
        <w:instrText>A10-0032/2025</w:instrText>
      </w:r>
      <w:bookmarkEnd w:id="1"/>
      <w:r w:rsidRPr="005F4E40">
        <w:rPr>
          <w:i/>
        </w:rPr>
        <w:instrText xml:space="preserve"> - Relatore: Mario Furore)"\l3 \n&gt; \* MERGEFORMAT </w:instrText>
      </w:r>
      <w:r w:rsidRPr="005F4E40">
        <w:rPr>
          <w:i/>
        </w:rPr>
        <w:fldChar w:fldCharType="end"/>
      </w:r>
    </w:p>
    <w:p w14:paraId="158E01AE" w14:textId="77777777" w:rsidR="000B45D7" w:rsidRPr="005F4E40" w:rsidRDefault="000B45D7" w:rsidP="000B45D7">
      <w:pPr>
        <w:rPr>
          <w:vanish/>
        </w:rPr>
      </w:pPr>
      <w:bookmarkStart w:id="2" w:name="Commission"/>
      <w:r w:rsidRPr="005F4E40">
        <w:rPr>
          <w:vanish/>
        </w:rPr>
        <w:t>Commissione giuridica</w:t>
      </w:r>
      <w:bookmarkEnd w:id="2"/>
    </w:p>
    <w:p w14:paraId="03E31C6C" w14:textId="77777777" w:rsidR="000B45D7" w:rsidRPr="005F4E40" w:rsidRDefault="000B45D7" w:rsidP="000B45D7">
      <w:pPr>
        <w:rPr>
          <w:vanish/>
        </w:rPr>
      </w:pPr>
      <w:bookmarkStart w:id="3" w:name="PE"/>
      <w:r w:rsidRPr="005F4E40">
        <w:rPr>
          <w:vanish/>
        </w:rPr>
        <w:t>PE766.697</w:t>
      </w:r>
      <w:bookmarkEnd w:id="3"/>
    </w:p>
    <w:p w14:paraId="3AC61528" w14:textId="7234303A" w:rsidR="000B45D7" w:rsidRPr="005F4E40" w:rsidRDefault="000B45D7" w:rsidP="000B45D7">
      <w:pPr>
        <w:pStyle w:val="ATHeading3"/>
      </w:pPr>
      <w:bookmarkStart w:id="4" w:name="Sujet"/>
      <w:r w:rsidRPr="005F4E40">
        <w:t xml:space="preserve">Decisione del Parlamento europeo del </w:t>
      </w:r>
      <w:r w:rsidR="00293F96" w:rsidRPr="005F4E40">
        <w:t>1º</w:t>
      </w:r>
      <w:r w:rsidR="00380C65">
        <w:t> </w:t>
      </w:r>
      <w:bookmarkStart w:id="5" w:name="_GoBack"/>
      <w:bookmarkEnd w:id="5"/>
      <w:r w:rsidR="00293F96" w:rsidRPr="005F4E40">
        <w:t>aprile</w:t>
      </w:r>
      <w:r w:rsidRPr="005F4E40">
        <w:t xml:space="preserve"> 2025 sulla richiesta di revoca dell'immunità di Mariusz Kamiński</w:t>
      </w:r>
      <w:bookmarkEnd w:id="4"/>
      <w:r w:rsidRPr="005F4E40">
        <w:t xml:space="preserve"> </w:t>
      </w:r>
      <w:bookmarkStart w:id="6" w:name="References"/>
      <w:r w:rsidRPr="005F4E40">
        <w:t>(2024/2046(IMM))</w:t>
      </w:r>
      <w:bookmarkEnd w:id="6"/>
    </w:p>
    <w:p w14:paraId="5C2662AA" w14:textId="77777777" w:rsidR="008E6D95" w:rsidRPr="005F4E40" w:rsidRDefault="008E6D95" w:rsidP="008E6D95">
      <w:pPr>
        <w:pStyle w:val="EPComma"/>
      </w:pPr>
      <w:bookmarkStart w:id="7" w:name="TextBodyBegin"/>
      <w:bookmarkEnd w:id="7"/>
      <w:r w:rsidRPr="005F4E40">
        <w:rPr>
          <w:i/>
        </w:rPr>
        <w:t>Il Parlamento europeo</w:t>
      </w:r>
      <w:r w:rsidRPr="005F4E40">
        <w:t>,</w:t>
      </w:r>
    </w:p>
    <w:p w14:paraId="47A40A5F" w14:textId="053DB0AD" w:rsidR="008E6D95" w:rsidRPr="005F4E40" w:rsidRDefault="008E6D95" w:rsidP="008E6D95">
      <w:pPr>
        <w:pStyle w:val="NormalHanging12a"/>
      </w:pPr>
      <w:r w:rsidRPr="005F4E40">
        <w:t>–</w:t>
      </w:r>
      <w:r w:rsidRPr="005F4E40">
        <w:tab/>
        <w:t>vista la richiesta di revoca dell'immunità di Mariusz Kamiński</w:t>
      </w:r>
      <w:r w:rsidR="00293F96" w:rsidRPr="005F4E40">
        <w:t xml:space="preserve"> </w:t>
      </w:r>
      <w:r w:rsidRPr="005F4E40">
        <w:t>da</w:t>
      </w:r>
      <w:r w:rsidR="002B3B54" w:rsidRPr="005F4E40">
        <w:t xml:space="preserve"> parte de</w:t>
      </w:r>
      <w:r w:rsidRPr="005F4E40">
        <w:t xml:space="preserve">l </w:t>
      </w:r>
      <w:r w:rsidR="00293F96" w:rsidRPr="005F4E40">
        <w:t xml:space="preserve">Procuratore </w:t>
      </w:r>
      <w:r w:rsidRPr="005F4E40">
        <w:t xml:space="preserve">generale della </w:t>
      </w:r>
      <w:r w:rsidR="002B3B54" w:rsidRPr="005F4E40">
        <w:t xml:space="preserve">Repubblica di </w:t>
      </w:r>
      <w:r w:rsidRPr="005F4E40">
        <w:t xml:space="preserve">Polonia, </w:t>
      </w:r>
      <w:r w:rsidR="002B3B54" w:rsidRPr="005F4E40">
        <w:t>in data 29 luglio 2024</w:t>
      </w:r>
      <w:r w:rsidRPr="005F4E40">
        <w:t>, che riflette una richiesta presentata dalla procura regionale di Varsavia nel quadro di un procedimento penale avviato a carico di Mariusz Kamiński, e comunicata in Aula il 16 settembre 2024,</w:t>
      </w:r>
    </w:p>
    <w:p w14:paraId="7B2EA697" w14:textId="6D916405" w:rsidR="008E6D95" w:rsidRPr="005F4E40" w:rsidRDefault="008E6D95" w:rsidP="008E6D95">
      <w:pPr>
        <w:pStyle w:val="NormalHanging12a"/>
      </w:pPr>
      <w:r w:rsidRPr="005F4E40">
        <w:t>–</w:t>
      </w:r>
      <w:r w:rsidRPr="005F4E40">
        <w:tab/>
      </w:r>
      <w:r w:rsidR="002B3B54" w:rsidRPr="005F4E40">
        <w:t>avendo ascoltato</w:t>
      </w:r>
      <w:r w:rsidR="00293F96" w:rsidRPr="005F4E40">
        <w:t xml:space="preserve"> </w:t>
      </w:r>
      <w:r w:rsidRPr="005F4E40">
        <w:t xml:space="preserve">Mariusz Kamiński il 30 gennaio 2025 </w:t>
      </w:r>
      <w:r w:rsidR="002B3B54" w:rsidRPr="005F4E40">
        <w:t>in conformità</w:t>
      </w:r>
      <w:r w:rsidRPr="005F4E40">
        <w:t xml:space="preserve"> dell'articolo 9, paragrafo 6, del </w:t>
      </w:r>
      <w:r w:rsidR="002B3B54" w:rsidRPr="005F4E40">
        <w:t>suo</w:t>
      </w:r>
      <w:r w:rsidRPr="005F4E40">
        <w:t xml:space="preserve"> regolamento, e vist</w:t>
      </w:r>
      <w:r w:rsidR="002B3B54" w:rsidRPr="005F4E40">
        <w:t>i</w:t>
      </w:r>
      <w:r w:rsidRPr="005F4E40">
        <w:t xml:space="preserve"> i document</w:t>
      </w:r>
      <w:r w:rsidR="002B3B54" w:rsidRPr="005F4E40">
        <w:t>i</w:t>
      </w:r>
      <w:r w:rsidRPr="005F4E40">
        <w:t xml:space="preserve"> </w:t>
      </w:r>
      <w:r w:rsidR="002B3B54" w:rsidRPr="005F4E40">
        <w:t>da lui prodotti</w:t>
      </w:r>
      <w:r w:rsidRPr="005F4E40">
        <w:t>,</w:t>
      </w:r>
    </w:p>
    <w:p w14:paraId="47B9E504" w14:textId="77777777" w:rsidR="008E6D95" w:rsidRPr="005F4E40" w:rsidRDefault="008E6D95" w:rsidP="008E6D95">
      <w:pPr>
        <w:pStyle w:val="NormalHanging12a"/>
      </w:pPr>
      <w:r w:rsidRPr="005F4E40">
        <w:t>–</w:t>
      </w:r>
      <w:r w:rsidRPr="005F4E40">
        <w:tab/>
        <w:t>visti gli articoli 8 e 9 del protocollo n. 7 sui privilegi e sulle immunità dell'Unione europea e l'articolo 6, paragrafo 2, dell'atto relativo all'elezione dei membri del Parlamento europeo a suffragio universale diretto, del 20 settembre 1976,</w:t>
      </w:r>
    </w:p>
    <w:p w14:paraId="4193B587" w14:textId="7C8E7CAB" w:rsidR="008E6D95" w:rsidRPr="005F4E40" w:rsidRDefault="008E6D95" w:rsidP="008E6D95">
      <w:pPr>
        <w:pStyle w:val="NormalHanging12a"/>
      </w:pPr>
      <w:r w:rsidRPr="005F4E40">
        <w:t>–</w:t>
      </w:r>
      <w:r w:rsidRPr="005F4E40">
        <w:tab/>
        <w:t xml:space="preserve">viste le sentenze pronunciate dalla Corte di giustizia dell'Unione europea il 21 ottobre 2008, </w:t>
      </w:r>
      <w:r w:rsidR="00293F96" w:rsidRPr="005F4E40">
        <w:t xml:space="preserve">il </w:t>
      </w:r>
      <w:r w:rsidRPr="005F4E40">
        <w:t xml:space="preserve">19 marzo 2010, </w:t>
      </w:r>
      <w:r w:rsidR="00293F96" w:rsidRPr="005F4E40">
        <w:t xml:space="preserve">il </w:t>
      </w:r>
      <w:r w:rsidRPr="005F4E40">
        <w:t xml:space="preserve">6 settembre 2011, </w:t>
      </w:r>
      <w:r w:rsidR="00293F96" w:rsidRPr="005F4E40">
        <w:t xml:space="preserve">il </w:t>
      </w:r>
      <w:r w:rsidRPr="005F4E40">
        <w:t xml:space="preserve">17 gennaio 2013, </w:t>
      </w:r>
      <w:r w:rsidR="00293F96" w:rsidRPr="005F4E40">
        <w:t xml:space="preserve">il </w:t>
      </w:r>
      <w:r w:rsidRPr="005F4E40">
        <w:t xml:space="preserve">19 dicembre 2019 e </w:t>
      </w:r>
      <w:r w:rsidR="00293F96" w:rsidRPr="005F4E40">
        <w:t xml:space="preserve">il </w:t>
      </w:r>
      <w:r w:rsidRPr="005F4E40">
        <w:t>5 luglio 2023</w:t>
      </w:r>
      <w:r w:rsidRPr="005F4E40">
        <w:rPr>
          <w:rStyle w:val="FootnoteReference"/>
          <w:color w:val="000000"/>
        </w:rPr>
        <w:footnoteReference w:id="1"/>
      </w:r>
      <w:r w:rsidRPr="005F4E40">
        <w:t>,</w:t>
      </w:r>
    </w:p>
    <w:p w14:paraId="5AA7C52C" w14:textId="16762392" w:rsidR="008E6D95" w:rsidRPr="005F4E40" w:rsidRDefault="008E6D95" w:rsidP="008E6D95">
      <w:pPr>
        <w:pStyle w:val="NormalHanging12a"/>
      </w:pPr>
      <w:r w:rsidRPr="005F4E40">
        <w:t>–</w:t>
      </w:r>
      <w:r w:rsidRPr="005F4E40">
        <w:tab/>
        <w:t xml:space="preserve">visto l'articolo 105, paragrafi 2 e 5, della Costituzione della </w:t>
      </w:r>
      <w:r w:rsidR="002B3B54" w:rsidRPr="005F4E40">
        <w:t xml:space="preserve">Repubblica di </w:t>
      </w:r>
      <w:r w:rsidRPr="005F4E40">
        <w:t>Polonia,</w:t>
      </w:r>
    </w:p>
    <w:p w14:paraId="71440D9C" w14:textId="77777777" w:rsidR="008E6D95" w:rsidRPr="005F4E40" w:rsidRDefault="008E6D95" w:rsidP="008E6D95">
      <w:pPr>
        <w:pStyle w:val="NormalHanging12a"/>
      </w:pPr>
      <w:r w:rsidRPr="005F4E40">
        <w:t>–</w:t>
      </w:r>
      <w:r w:rsidRPr="005F4E40">
        <w:tab/>
        <w:t>visti l'articolo 5, paragrafo 2, l'articolo 6, paragrafo 1, e l'articolo 9 del suo regolamento,</w:t>
      </w:r>
    </w:p>
    <w:p w14:paraId="5ACB17B3" w14:textId="77777777" w:rsidR="008E6D95" w:rsidRPr="005F4E40" w:rsidRDefault="008E6D95" w:rsidP="008E6D95">
      <w:pPr>
        <w:pStyle w:val="NormalHanging12a"/>
      </w:pPr>
      <w:r w:rsidRPr="005F4E40">
        <w:t>–</w:t>
      </w:r>
      <w:r w:rsidRPr="005F4E40">
        <w:tab/>
        <w:t>vista la relazione della commissione giuridica (A10</w:t>
      </w:r>
      <w:r w:rsidRPr="005F4E40">
        <w:noBreakHyphen/>
        <w:t>0032/2025),</w:t>
      </w:r>
    </w:p>
    <w:p w14:paraId="3C591BF3" w14:textId="2B3823CC" w:rsidR="008E6D95" w:rsidRPr="005F4E40" w:rsidRDefault="008E6D95" w:rsidP="008E6D95">
      <w:pPr>
        <w:pStyle w:val="NormalHanging12a"/>
      </w:pPr>
      <w:r w:rsidRPr="005F4E40">
        <w:t>A.</w:t>
      </w:r>
      <w:r w:rsidRPr="005F4E40">
        <w:tab/>
        <w:t xml:space="preserve">considerando che, con lettera del 29 luglio 2024, il </w:t>
      </w:r>
      <w:r w:rsidR="00293F96" w:rsidRPr="005F4E40">
        <w:t xml:space="preserve">Procuratore </w:t>
      </w:r>
      <w:r w:rsidRPr="005F4E40">
        <w:t xml:space="preserve">generale della Polonia ha trasmesso una richiesta di revoca dell'immunità di Mariusz Kamiński, presentata </w:t>
      </w:r>
      <w:r w:rsidRPr="005F4E40">
        <w:lastRenderedPageBreak/>
        <w:t xml:space="preserve">dalla procura regionale di Varsavia, in relazione a presunti reati ai sensi dell'articolo 244 del </w:t>
      </w:r>
      <w:r w:rsidR="00293F96" w:rsidRPr="005F4E40">
        <w:t xml:space="preserve">codice </w:t>
      </w:r>
      <w:r w:rsidRPr="005F4E40">
        <w:t xml:space="preserve">penale polacco in combinato disposto con l'articolo 12 di </w:t>
      </w:r>
      <w:r w:rsidR="002B3B54" w:rsidRPr="005F4E40">
        <w:t xml:space="preserve">tale </w:t>
      </w:r>
      <w:r w:rsidR="001922C3" w:rsidRPr="005F4E40">
        <w:t>codice</w:t>
      </w:r>
      <w:r w:rsidRPr="005F4E40">
        <w:t>;</w:t>
      </w:r>
    </w:p>
    <w:p w14:paraId="4191FEA9" w14:textId="29A5C0FB" w:rsidR="008E6D95" w:rsidRPr="005F4E40" w:rsidRDefault="008E6D95" w:rsidP="008E6D95">
      <w:pPr>
        <w:pStyle w:val="NormalHanging12a"/>
      </w:pPr>
      <w:r w:rsidRPr="005F4E40">
        <w:rPr>
          <w:shd w:val="clear" w:color="auto" w:fill="FFFFFF"/>
        </w:rPr>
        <w:t>B.</w:t>
      </w:r>
      <w:r w:rsidRPr="005F4E40">
        <w:rPr>
          <w:shd w:val="clear" w:color="auto" w:fill="FFFFFF"/>
        </w:rPr>
        <w:tab/>
      </w:r>
      <w:r w:rsidRPr="005F4E40">
        <w:t xml:space="preserve">considerando che, in base alla richiesta, le azioni che </w:t>
      </w:r>
      <w:r w:rsidR="001771D4" w:rsidRPr="005F4E40">
        <w:t xml:space="preserve">si presume </w:t>
      </w:r>
      <w:r w:rsidRPr="005F4E40">
        <w:t xml:space="preserve">Mariusz Kamiński abbia compiuto il 21 e il 28 dicembre 2023 a Varsavia, con intento premeditato e a brevi intervalli, hanno violato il divieto quinquennale di ricoprire cariche pubbliche impostogli da una sentenza definitiva e vincolante pronunciata il 20 dicembre 2023 dal tribunale regionale di Varsavia, in quanto Mariusz Kamiński ha esercitato le funzioni di membro </w:t>
      </w:r>
      <w:r w:rsidR="001922C3" w:rsidRPr="005F4E40">
        <w:t xml:space="preserve">del </w:t>
      </w:r>
      <w:r w:rsidR="001922C3" w:rsidRPr="005F4E40">
        <w:rPr>
          <w:i/>
        </w:rPr>
        <w:t>Sejm</w:t>
      </w:r>
      <w:r w:rsidRPr="005F4E40">
        <w:t xml:space="preserve"> (la Camera bassa del parlamento polacco) </w:t>
      </w:r>
      <w:r w:rsidR="002B3B54" w:rsidRPr="005F4E40">
        <w:t xml:space="preserve">della Repubblica di Polonia </w:t>
      </w:r>
      <w:r w:rsidRPr="005F4E40">
        <w:t xml:space="preserve">partecipando alla </w:t>
      </w:r>
      <w:r w:rsidR="002B3B54" w:rsidRPr="005F4E40">
        <w:t xml:space="preserve">sessione del </w:t>
      </w:r>
      <w:r w:rsidR="002B3B54" w:rsidRPr="005F4E40">
        <w:rPr>
          <w:i/>
        </w:rPr>
        <w:t>Sejm</w:t>
      </w:r>
      <w:r w:rsidR="002B3B54" w:rsidRPr="005F4E40">
        <w:t xml:space="preserve"> </w:t>
      </w:r>
      <w:r w:rsidRPr="005F4E40">
        <w:t xml:space="preserve">tenutasi il 21 dicembre 2023, nonché partecipando alle votazioni e prendendo parte a una riunione della commissione per l'amministrazione e gli affari interni </w:t>
      </w:r>
      <w:r w:rsidR="001922C3" w:rsidRPr="005F4E40">
        <w:t xml:space="preserve">del </w:t>
      </w:r>
      <w:r w:rsidR="001922C3" w:rsidRPr="005F4E40">
        <w:rPr>
          <w:i/>
        </w:rPr>
        <w:t>Sejm</w:t>
      </w:r>
      <w:r w:rsidRPr="005F4E40">
        <w:t xml:space="preserve"> il 28 dicembre 2023; che le presunte azioni costituiscono un reato ai sensi dell'articolo 244 del </w:t>
      </w:r>
      <w:r w:rsidR="001922C3" w:rsidRPr="005F4E40">
        <w:t xml:space="preserve">codice </w:t>
      </w:r>
      <w:r w:rsidRPr="005F4E40">
        <w:t xml:space="preserve">penale polacco in combinato disposto con l'articolo 12 di </w:t>
      </w:r>
      <w:r w:rsidR="00871D4C" w:rsidRPr="005F4E40">
        <w:t>tale</w:t>
      </w:r>
      <w:r w:rsidRPr="005F4E40">
        <w:t xml:space="preserve"> </w:t>
      </w:r>
      <w:r w:rsidR="001922C3" w:rsidRPr="005F4E40">
        <w:t>codice</w:t>
      </w:r>
      <w:r w:rsidRPr="005F4E40">
        <w:t>;</w:t>
      </w:r>
    </w:p>
    <w:p w14:paraId="69EDC946" w14:textId="2941EAE3" w:rsidR="008E6D95" w:rsidRPr="005F4E40" w:rsidRDefault="008E6D95" w:rsidP="008E6D95">
      <w:pPr>
        <w:pStyle w:val="NormalHanging12a"/>
      </w:pPr>
      <w:r w:rsidRPr="005F4E40">
        <w:t>C.</w:t>
      </w:r>
      <w:r w:rsidRPr="005F4E40">
        <w:tab/>
        <w:t xml:space="preserve">considerando che le accuse </w:t>
      </w:r>
      <w:r w:rsidR="001771D4" w:rsidRPr="005F4E40">
        <w:t xml:space="preserve">di cui sopra </w:t>
      </w:r>
      <w:r w:rsidRPr="005F4E40">
        <w:t xml:space="preserve">sono state </w:t>
      </w:r>
      <w:r w:rsidR="006B73F5" w:rsidRPr="005F4E40">
        <w:t xml:space="preserve">formalizzate </w:t>
      </w:r>
      <w:r w:rsidRPr="005F4E40">
        <w:t xml:space="preserve">nei confronti di Mariusz Kamiński il 18 aprile 2024; che Mariusz Kamiński è stato eletto al Parlamento europeo in </w:t>
      </w:r>
      <w:r w:rsidR="002B3B54" w:rsidRPr="005F4E40">
        <w:t xml:space="preserve">esito alle </w:t>
      </w:r>
      <w:r w:rsidRPr="005F4E40">
        <w:t>elezioni europee del giugno 2024;</w:t>
      </w:r>
      <w:r w:rsidR="001922C3" w:rsidRPr="005F4E40">
        <w:t xml:space="preserve"> </w:t>
      </w:r>
      <w:r w:rsidRPr="005F4E40">
        <w:t>che Mariusz Kamiński non era deputato al Parlamento europeo al</w:t>
      </w:r>
      <w:r w:rsidR="009F7927" w:rsidRPr="005F4E40">
        <w:t>l’epoca</w:t>
      </w:r>
      <w:r w:rsidRPr="005F4E40">
        <w:t xml:space="preserve"> del presunto reato;</w:t>
      </w:r>
    </w:p>
    <w:p w14:paraId="624F83D4" w14:textId="60DCC388" w:rsidR="008E6D95" w:rsidRPr="005F4E40" w:rsidRDefault="001922C3" w:rsidP="008E6D95">
      <w:pPr>
        <w:pStyle w:val="NormalHanging12a"/>
      </w:pPr>
      <w:r w:rsidRPr="005F4E40">
        <w:t>D</w:t>
      </w:r>
      <w:r w:rsidR="008E6D95" w:rsidRPr="005F4E40">
        <w:t>.</w:t>
      </w:r>
      <w:r w:rsidR="008E6D95" w:rsidRPr="005F4E40">
        <w:tab/>
        <w:t>considerando che il presunto reato e la successiva richiesta di revoca dell'immunità non si riferiscono a un'opinione o a un voto espressi da Mariusz Kamiński nell'esercizio delle sue funzioni ai sensi dell'articolo 8 del protocollo n. 7 sui privilegi e sulle immunità dell'Unione europea;</w:t>
      </w:r>
    </w:p>
    <w:p w14:paraId="1F815075" w14:textId="10462AAD" w:rsidR="008E6D95" w:rsidRPr="005F4E40" w:rsidRDefault="001922C3" w:rsidP="008E6D95">
      <w:pPr>
        <w:pStyle w:val="NormalHanging12a"/>
      </w:pPr>
      <w:r w:rsidRPr="005F4E40">
        <w:t>E</w:t>
      </w:r>
      <w:r w:rsidR="008E6D95" w:rsidRPr="005F4E40">
        <w:t>.</w:t>
      </w:r>
      <w:r w:rsidR="008E6D95" w:rsidRPr="005F4E40">
        <w:tab/>
        <w:t>considerando che l'articolo 9, primo comma, lettera a), del protocollo n. 7 sui privilegi e sulle immunità dell'Unione europea stabilisce che i membri del Parlamento europeo beneficiano, sul territorio nazionale, delle immunità riconosciute ai membri del parlamento del loro paese;</w:t>
      </w:r>
    </w:p>
    <w:p w14:paraId="3EF85652" w14:textId="15ECE024" w:rsidR="008E6D95" w:rsidRPr="005F4E40" w:rsidRDefault="001922C3" w:rsidP="008E6D95">
      <w:pPr>
        <w:pStyle w:val="NormalHanging12a"/>
      </w:pPr>
      <w:r w:rsidRPr="005F4E40">
        <w:t>F</w:t>
      </w:r>
      <w:r w:rsidR="008E6D95" w:rsidRPr="005F4E40">
        <w:t>.</w:t>
      </w:r>
      <w:r w:rsidR="008E6D95" w:rsidRPr="005F4E40">
        <w:tab/>
        <w:t xml:space="preserve">considerando che, </w:t>
      </w:r>
      <w:r w:rsidR="002B3B54" w:rsidRPr="005F4E40">
        <w:t>in conformità</w:t>
      </w:r>
      <w:r w:rsidR="003834E4" w:rsidRPr="005F4E40">
        <w:t xml:space="preserve"> dell’</w:t>
      </w:r>
      <w:r w:rsidR="008E6D95" w:rsidRPr="005F4E40">
        <w:t>articolo 105, paragrafi 2 e 5, della Costituzione polacca, dal giorno in cui sono annunciati i risultati elettorali fino al giorno in cui termina il suo mandato</w:t>
      </w:r>
      <w:r w:rsidR="002B3B54" w:rsidRPr="005F4E40">
        <w:t>,</w:t>
      </w:r>
      <w:r w:rsidR="008E6D95" w:rsidRPr="005F4E40">
        <w:t xml:space="preserve"> un deputato non può essere chiamato a rispondere penalmente senza l'autorizzazione </w:t>
      </w:r>
      <w:r w:rsidR="00900D75" w:rsidRPr="005F4E40">
        <w:t xml:space="preserve"> del </w:t>
      </w:r>
      <w:r w:rsidRPr="005F4E40">
        <w:rPr>
          <w:i/>
        </w:rPr>
        <w:t>Sejm</w:t>
      </w:r>
      <w:r w:rsidR="002B3B54" w:rsidRPr="005F4E40">
        <w:t xml:space="preserve"> </w:t>
      </w:r>
      <w:r w:rsidR="008E6D95" w:rsidRPr="005F4E40">
        <w:t xml:space="preserve">e non può essere detenuto </w:t>
      </w:r>
      <w:r w:rsidR="003834E4" w:rsidRPr="005F4E40">
        <w:t xml:space="preserve">o </w:t>
      </w:r>
      <w:r w:rsidR="008E6D95" w:rsidRPr="005F4E40">
        <w:t xml:space="preserve">arrestato senza l'autorizzazione </w:t>
      </w:r>
      <w:r w:rsidR="002B3B54" w:rsidRPr="005F4E40">
        <w:t xml:space="preserve">del </w:t>
      </w:r>
      <w:r w:rsidR="002B3B54" w:rsidRPr="005F4E40">
        <w:rPr>
          <w:i/>
        </w:rPr>
        <w:t>Sejm</w:t>
      </w:r>
      <w:r w:rsidR="008E6D95" w:rsidRPr="005F4E40">
        <w:t xml:space="preserve">, tranne nei casi in cui </w:t>
      </w:r>
      <w:r w:rsidRPr="005F4E40">
        <w:t xml:space="preserve">il deputato sia fermato </w:t>
      </w:r>
      <w:r w:rsidR="008E6D95" w:rsidRPr="005F4E40">
        <w:t>in flagranza di reato o in cui la sua detenzione sia necessaria per garantire l'adeguato svolgimento del procedimento;</w:t>
      </w:r>
    </w:p>
    <w:p w14:paraId="58145C02" w14:textId="3B5F9361" w:rsidR="008E6D95" w:rsidRPr="005F4E40" w:rsidRDefault="001922C3" w:rsidP="008E6D95">
      <w:pPr>
        <w:pStyle w:val="NormalHanging12a"/>
      </w:pPr>
      <w:r w:rsidRPr="005F4E40">
        <w:t>G</w:t>
      </w:r>
      <w:r w:rsidR="008E6D95" w:rsidRPr="005F4E40">
        <w:t>.</w:t>
      </w:r>
      <w:r w:rsidR="008E6D95" w:rsidRPr="005F4E40">
        <w:tab/>
        <w:t>considerando che l'immunità parlamentare è intesa a proteggere il Parlamento e i deputati che lo compongono da procedimenti giudiziari relativi ad attività svolte nell'esercizio del mandato parlamentare e che non possono essere disgiunte da esso;</w:t>
      </w:r>
    </w:p>
    <w:p w14:paraId="201A98DD" w14:textId="70740ABA" w:rsidR="008E6D95" w:rsidRPr="005F4E40" w:rsidRDefault="001922C3" w:rsidP="008E6D95">
      <w:pPr>
        <w:pStyle w:val="NormalHanging12a"/>
      </w:pPr>
      <w:r w:rsidRPr="005F4E40">
        <w:t>H</w:t>
      </w:r>
      <w:r w:rsidR="008E6D95" w:rsidRPr="005F4E40">
        <w:t>.</w:t>
      </w:r>
      <w:r w:rsidR="008E6D95" w:rsidRPr="005F4E40">
        <w:tab/>
        <w:t xml:space="preserve">considerando che, </w:t>
      </w:r>
      <w:r w:rsidR="002B3B54" w:rsidRPr="005F4E40">
        <w:t>in conformità</w:t>
      </w:r>
      <w:r w:rsidR="001D437F" w:rsidRPr="005F4E40">
        <w:t xml:space="preserve"> dell’</w:t>
      </w:r>
      <w:r w:rsidR="008E6D95" w:rsidRPr="005F4E40">
        <w:t>articolo 5, paragrafo 2, del regolamento, l'immunità parlamentare non è un privilegio personale del deputato ma una garanzia di indipendenza del Parlamento in quanto istituzione e dei suoi membri;</w:t>
      </w:r>
    </w:p>
    <w:p w14:paraId="37670B7C" w14:textId="72E3E568" w:rsidR="008E6D95" w:rsidRPr="005F4E40" w:rsidRDefault="001922C3" w:rsidP="008E6D95">
      <w:pPr>
        <w:pStyle w:val="NormalHanging12a"/>
      </w:pPr>
      <w:r w:rsidRPr="005F4E40">
        <w:t>I</w:t>
      </w:r>
      <w:r w:rsidR="008E6D95" w:rsidRPr="005F4E40">
        <w:t>.</w:t>
      </w:r>
      <w:r w:rsidR="008E6D95" w:rsidRPr="005F4E40">
        <w:tab/>
        <w:t xml:space="preserve">considerando che, nella fattispecie, il Parlamento non ha </w:t>
      </w:r>
      <w:r w:rsidR="00136DD7" w:rsidRPr="005F4E40">
        <w:t xml:space="preserve">riscontrato alcuna prova </w:t>
      </w:r>
      <w:r w:rsidR="008E6D95" w:rsidRPr="005F4E40">
        <w:t xml:space="preserve">di </w:t>
      </w:r>
      <w:r w:rsidR="008E6D95" w:rsidRPr="005F4E40">
        <w:rPr>
          <w:i/>
        </w:rPr>
        <w:t>fumus persecutionis</w:t>
      </w:r>
      <w:r w:rsidR="008E6D95" w:rsidRPr="005F4E40">
        <w:t xml:space="preserve">, vale a dire elementi di fatto dai quali si evinca che </w:t>
      </w:r>
      <w:r w:rsidRPr="005F4E40">
        <w:t>l’intento alla base del procedimento giudiziario sia quello di recare pregiudizio all'attività politica del deputato in quanto membro del Parlamento europeo</w:t>
      </w:r>
      <w:r w:rsidR="008E6D95" w:rsidRPr="005F4E40">
        <w:t>;</w:t>
      </w:r>
    </w:p>
    <w:p w14:paraId="07306C8A" w14:textId="375033F3" w:rsidR="008E6D95" w:rsidRPr="005F4E40" w:rsidRDefault="001922C3" w:rsidP="008E6D95">
      <w:pPr>
        <w:pStyle w:val="NormalHanging12a"/>
      </w:pPr>
      <w:r w:rsidRPr="005F4E40">
        <w:lastRenderedPageBreak/>
        <w:t>J</w:t>
      </w:r>
      <w:r w:rsidR="008E6D95" w:rsidRPr="005F4E40">
        <w:t>.</w:t>
      </w:r>
      <w:r w:rsidR="008E6D95" w:rsidRPr="005F4E40">
        <w:tab/>
        <w:t>considerando</w:t>
      </w:r>
      <w:r w:rsidR="00625B69" w:rsidRPr="005F4E40">
        <w:t xml:space="preserve"> che, da un lato, </w:t>
      </w:r>
      <w:r w:rsidR="008E6D95" w:rsidRPr="005F4E40">
        <w:t>il Parlamento non dovrebbe essere assimilato a un tribunale e, dall'altro</w:t>
      </w:r>
      <w:r w:rsidR="00136DD7" w:rsidRPr="005F4E40">
        <w:t xml:space="preserve"> lato</w:t>
      </w:r>
      <w:r w:rsidR="008E6D95" w:rsidRPr="005F4E40">
        <w:t>, il deputato non dovrebbe, nel contesto di una procedura di revoca dell'immunità, essere considerato un "accusato"</w:t>
      </w:r>
      <w:r w:rsidR="008E6D95" w:rsidRPr="005F4E40">
        <w:rPr>
          <w:vertAlign w:val="superscript"/>
        </w:rPr>
        <w:footnoteReference w:id="2"/>
      </w:r>
      <w:r w:rsidR="008E6D95" w:rsidRPr="005F4E40">
        <w:t>;</w:t>
      </w:r>
    </w:p>
    <w:p w14:paraId="67C0B176" w14:textId="77777777" w:rsidR="008E6D95" w:rsidRPr="005F4E40" w:rsidRDefault="008E6D95" w:rsidP="008E6D95">
      <w:pPr>
        <w:pStyle w:val="NormalHanging12a"/>
      </w:pPr>
      <w:r w:rsidRPr="005F4E40">
        <w:t>1.</w:t>
      </w:r>
      <w:r w:rsidRPr="005F4E40">
        <w:tab/>
        <w:t>decide di revocare l'immunità di Mariusz Kamiński;</w:t>
      </w:r>
    </w:p>
    <w:p w14:paraId="4AB41562" w14:textId="2D8AE13C" w:rsidR="00E365E1" w:rsidRPr="005F4E40" w:rsidRDefault="008E6D95" w:rsidP="006025D8">
      <w:pPr>
        <w:pStyle w:val="NormalHanging12a"/>
      </w:pPr>
      <w:r w:rsidRPr="005F4E40">
        <w:t>2.</w:t>
      </w:r>
      <w:r w:rsidRPr="005F4E40">
        <w:tab/>
        <w:t>incarica la sua Presidente di trasmettere immediatamente la presente decisione e la relazione della sua commissione competente alle autorità competenti della Repubblica di Polonia e a Mariusz Kamiński.</w:t>
      </w:r>
    </w:p>
    <w:sectPr w:rsidR="00E365E1" w:rsidRPr="005F4E40" w:rsidSect="002308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847492" w14:textId="77777777" w:rsidR="000B45D7" w:rsidRPr="002308F6" w:rsidRDefault="000B45D7">
      <w:r w:rsidRPr="002308F6">
        <w:separator/>
      </w:r>
    </w:p>
  </w:endnote>
  <w:endnote w:type="continuationSeparator" w:id="0">
    <w:p w14:paraId="2EAF338D" w14:textId="77777777" w:rsidR="000B45D7" w:rsidRPr="002308F6" w:rsidRDefault="000B45D7">
      <w:r w:rsidRPr="002308F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2C4752" w14:textId="77777777" w:rsidR="00064002" w:rsidRPr="002308F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6A3153" w14:textId="77777777" w:rsidR="00064002" w:rsidRPr="002308F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BEC63" w14:textId="77777777" w:rsidR="00064002" w:rsidRPr="002308F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E1EC01" w14:textId="77777777" w:rsidR="000B45D7" w:rsidRPr="002308F6" w:rsidRDefault="000B45D7">
      <w:r w:rsidRPr="002308F6">
        <w:separator/>
      </w:r>
    </w:p>
  </w:footnote>
  <w:footnote w:type="continuationSeparator" w:id="0">
    <w:p w14:paraId="2C59A45B" w14:textId="77777777" w:rsidR="000B45D7" w:rsidRPr="002308F6" w:rsidRDefault="000B45D7">
      <w:r w:rsidRPr="002308F6">
        <w:continuationSeparator/>
      </w:r>
    </w:p>
  </w:footnote>
  <w:footnote w:id="1">
    <w:p w14:paraId="5B68BB44" w14:textId="7DDECF7F" w:rsidR="008E6D95" w:rsidRPr="002308F6" w:rsidRDefault="008E6D95" w:rsidP="002308F6">
      <w:pPr>
        <w:pStyle w:val="FootnoteText"/>
        <w:ind w:left="567" w:hanging="567"/>
        <w:rPr>
          <w:sz w:val="24"/>
          <w:lang w:val="it-IT"/>
        </w:rPr>
      </w:pPr>
      <w:r w:rsidRPr="002308F6">
        <w:rPr>
          <w:rStyle w:val="FootnoteReference"/>
          <w:sz w:val="24"/>
          <w:lang w:val="it-IT"/>
        </w:rPr>
        <w:footnoteRef/>
      </w:r>
      <w:r w:rsidR="002308F6" w:rsidRPr="002308F6">
        <w:rPr>
          <w:sz w:val="24"/>
          <w:lang w:val="it-IT"/>
        </w:rPr>
        <w:t xml:space="preserve"> </w:t>
      </w:r>
      <w:r w:rsidR="002308F6" w:rsidRPr="002308F6">
        <w:rPr>
          <w:sz w:val="24"/>
          <w:lang w:val="it-IT"/>
        </w:rPr>
        <w:tab/>
      </w:r>
      <w:r w:rsidRPr="002308F6">
        <w:rPr>
          <w:sz w:val="24"/>
          <w:lang w:val="it-IT"/>
        </w:rPr>
        <w:t xml:space="preserve">Sentenza della Corte di giustizia del 21 ottobre 2008, </w:t>
      </w:r>
      <w:r w:rsidRPr="005F4E40">
        <w:rPr>
          <w:i/>
          <w:lang w:val="it-IT"/>
        </w:rPr>
        <w:t>Marra/De Gregorio e Clemente</w:t>
      </w:r>
      <w:r w:rsidRPr="002308F6">
        <w:rPr>
          <w:sz w:val="24"/>
          <w:lang w:val="it-IT"/>
        </w:rPr>
        <w:t xml:space="preserve">, C-200/07 e C-201/07, ECLI:EU:C:2008:579; sentenza del Tribunale del 19 marzo 2010, </w:t>
      </w:r>
      <w:r w:rsidRPr="005F4E40">
        <w:rPr>
          <w:i/>
          <w:lang w:val="it-IT"/>
        </w:rPr>
        <w:t>Gollnisch/Parlamento</w:t>
      </w:r>
      <w:r w:rsidRPr="002308F6">
        <w:rPr>
          <w:sz w:val="24"/>
          <w:lang w:val="it-IT"/>
        </w:rPr>
        <w:t xml:space="preserve">, T-42/06, ECLI:EU:T:2010:102; sentenza della Corte di giustizia del 6 settembre 2011, </w:t>
      </w:r>
      <w:r w:rsidRPr="005F4E40">
        <w:rPr>
          <w:i/>
          <w:lang w:val="it-IT"/>
        </w:rPr>
        <w:t>Patriciello</w:t>
      </w:r>
      <w:r w:rsidRPr="002308F6">
        <w:rPr>
          <w:sz w:val="24"/>
          <w:lang w:val="it-IT"/>
        </w:rPr>
        <w:t xml:space="preserve">, C-163/10, ECLI:EU:C:2011:543; sentenza del Tribunale del 17 gennaio 2013, </w:t>
      </w:r>
      <w:r w:rsidRPr="005F4E40">
        <w:rPr>
          <w:i/>
          <w:lang w:val="it-IT"/>
        </w:rPr>
        <w:t>Gollnisch/Parlamento</w:t>
      </w:r>
      <w:r w:rsidRPr="002308F6">
        <w:rPr>
          <w:sz w:val="24"/>
          <w:lang w:val="it-IT"/>
        </w:rPr>
        <w:t xml:space="preserve">, T-346/11 e T-347/11, ECLI:EU:T:2013:23; sentenza della Corte di giustizia del 19 dicembre 2019, </w:t>
      </w:r>
      <w:r w:rsidRPr="005F4E40">
        <w:rPr>
          <w:i/>
          <w:lang w:val="it-IT"/>
        </w:rPr>
        <w:t>Junqueras Vies</w:t>
      </w:r>
      <w:r w:rsidRPr="002308F6">
        <w:rPr>
          <w:sz w:val="24"/>
          <w:lang w:val="it-IT"/>
        </w:rPr>
        <w:t xml:space="preserve">, C-502/19, ECLI:EU:C:2019:1115; sentenza del Tribunale del 5 luglio 2023, </w:t>
      </w:r>
      <w:r w:rsidRPr="005F4E40">
        <w:rPr>
          <w:i/>
          <w:lang w:val="it-IT"/>
        </w:rPr>
        <w:t>Carles Puigdemont i Casamajó e a./Parlamento europeo</w:t>
      </w:r>
      <w:r w:rsidRPr="002308F6">
        <w:rPr>
          <w:sz w:val="24"/>
          <w:lang w:val="it-IT"/>
        </w:rPr>
        <w:t>, T-272/21, ECLI:EU:T:2023:373.</w:t>
      </w:r>
    </w:p>
  </w:footnote>
  <w:footnote w:id="2">
    <w:p w14:paraId="5BE51736" w14:textId="77777777" w:rsidR="008E6D95" w:rsidRPr="002308F6" w:rsidRDefault="008E6D95" w:rsidP="002308F6">
      <w:pPr>
        <w:pStyle w:val="FootnoteText"/>
        <w:ind w:left="567" w:hanging="567"/>
        <w:rPr>
          <w:sz w:val="24"/>
          <w:lang w:val="it-IT"/>
        </w:rPr>
      </w:pPr>
      <w:r w:rsidRPr="002308F6">
        <w:rPr>
          <w:rStyle w:val="FootnoteReference"/>
          <w:sz w:val="24"/>
          <w:lang w:val="it-IT"/>
        </w:rPr>
        <w:footnoteRef/>
      </w:r>
      <w:r w:rsidR="002308F6" w:rsidRPr="002308F6">
        <w:rPr>
          <w:sz w:val="24"/>
          <w:lang w:val="it-IT"/>
        </w:rPr>
        <w:t xml:space="preserve"> </w:t>
      </w:r>
      <w:r w:rsidR="002308F6" w:rsidRPr="002308F6">
        <w:rPr>
          <w:sz w:val="24"/>
          <w:lang w:val="it-IT"/>
        </w:rPr>
        <w:tab/>
      </w:r>
      <w:r w:rsidRPr="002308F6">
        <w:rPr>
          <w:sz w:val="24"/>
          <w:lang w:val="it-IT"/>
        </w:rPr>
        <w:t xml:space="preserve">Sentenza del Tribunale del 30 aprile 2019, </w:t>
      </w:r>
      <w:r w:rsidRPr="005F4E40">
        <w:rPr>
          <w:i/>
          <w:sz w:val="24"/>
          <w:lang w:val="it-IT"/>
        </w:rPr>
        <w:t>Briois/Parlamento</w:t>
      </w:r>
      <w:r w:rsidRPr="002308F6">
        <w:rPr>
          <w:sz w:val="24"/>
          <w:lang w:val="it-IT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925782" w14:textId="77777777" w:rsidR="00064002" w:rsidRPr="002308F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52A4D" w14:textId="77777777" w:rsidR="00064002" w:rsidRPr="002308F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F82B8" w14:textId="77777777" w:rsidR="00064002" w:rsidRPr="002308F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2/2025"/>
    <w:docVar w:name="dvlangue" w:val="IT"/>
    <w:docVar w:name="dvnumam" w:val="0"/>
    <w:docVar w:name="dvpe" w:val="766.697"/>
    <w:docVar w:name="dvrapporteur" w:val="Relatore: "/>
    <w:docVar w:name="dvtitre" w:val="Decisione del Parlamento europeo del ... 2025 sulla richiesta di revoca dell'immunità di Mariusz Kamiński(2024/2046(IMM))"/>
  </w:docVars>
  <w:rsids>
    <w:rsidRoot w:val="000B45D7"/>
    <w:rsid w:val="00002272"/>
    <w:rsid w:val="00064002"/>
    <w:rsid w:val="000677B9"/>
    <w:rsid w:val="000831BA"/>
    <w:rsid w:val="000A42CC"/>
    <w:rsid w:val="000B45D7"/>
    <w:rsid w:val="000E7DD9"/>
    <w:rsid w:val="0010095E"/>
    <w:rsid w:val="00125B37"/>
    <w:rsid w:val="001270EF"/>
    <w:rsid w:val="00136DD7"/>
    <w:rsid w:val="001771D4"/>
    <w:rsid w:val="00187494"/>
    <w:rsid w:val="001922C3"/>
    <w:rsid w:val="001D437F"/>
    <w:rsid w:val="001F32AE"/>
    <w:rsid w:val="0021428E"/>
    <w:rsid w:val="002308F6"/>
    <w:rsid w:val="002767FF"/>
    <w:rsid w:val="00293F96"/>
    <w:rsid w:val="00295C67"/>
    <w:rsid w:val="002B18FE"/>
    <w:rsid w:val="002B3B54"/>
    <w:rsid w:val="002B5493"/>
    <w:rsid w:val="002D67F8"/>
    <w:rsid w:val="00343214"/>
    <w:rsid w:val="00361C00"/>
    <w:rsid w:val="00380C65"/>
    <w:rsid w:val="003834E4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4E40"/>
    <w:rsid w:val="006025D8"/>
    <w:rsid w:val="006037C0"/>
    <w:rsid w:val="0060462B"/>
    <w:rsid w:val="00625B69"/>
    <w:rsid w:val="00654E9A"/>
    <w:rsid w:val="006631B6"/>
    <w:rsid w:val="00680577"/>
    <w:rsid w:val="006B73F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6C20"/>
    <w:rsid w:val="00865F67"/>
    <w:rsid w:val="00871D4C"/>
    <w:rsid w:val="00881A7B"/>
    <w:rsid w:val="008840E5"/>
    <w:rsid w:val="00887B3E"/>
    <w:rsid w:val="008C2AC6"/>
    <w:rsid w:val="008E6D95"/>
    <w:rsid w:val="00900D75"/>
    <w:rsid w:val="00930C23"/>
    <w:rsid w:val="0093193B"/>
    <w:rsid w:val="009509D8"/>
    <w:rsid w:val="00950B64"/>
    <w:rsid w:val="00981893"/>
    <w:rsid w:val="009F792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6B91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C20B4D"/>
  <w15:chartTrackingRefBased/>
  <w15:docId w15:val="{79D302E9-F6FE-4992-BB82-28AC3B7ED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E6D9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Hanging12a">
    <w:name w:val="NormalHanging12a"/>
    <w:basedOn w:val="Normal"/>
    <w:rsid w:val="008E6D9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8E6D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E6D95"/>
    <w:rPr>
      <w:sz w:val="24"/>
      <w:lang w:val="it-IT"/>
    </w:rPr>
  </w:style>
  <w:style w:type="paragraph" w:customStyle="1" w:styleId="EPFooter">
    <w:name w:val="EPFooter"/>
    <w:basedOn w:val="Normal"/>
    <w:rsid w:val="008E6D9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E6D95"/>
    <w:pPr>
      <w:spacing w:before="480" w:after="240"/>
    </w:pPr>
  </w:style>
  <w:style w:type="character" w:styleId="CommentReference">
    <w:name w:val="annotation reference"/>
    <w:basedOn w:val="DefaultParagraphFont"/>
    <w:rsid w:val="00654E9A"/>
    <w:rPr>
      <w:sz w:val="16"/>
      <w:szCs w:val="16"/>
    </w:rPr>
  </w:style>
  <w:style w:type="paragraph" w:styleId="CommentText">
    <w:name w:val="annotation text"/>
    <w:basedOn w:val="Normal"/>
    <w:link w:val="CommentTextChar"/>
    <w:rsid w:val="00654E9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54E9A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654E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54E9A"/>
    <w:rPr>
      <w:b/>
      <w:bCs/>
      <w:lang w:val="it-IT"/>
    </w:rPr>
  </w:style>
  <w:style w:type="paragraph" w:styleId="BalloonText">
    <w:name w:val="Balloon Text"/>
    <w:basedOn w:val="Normal"/>
    <w:link w:val="BalloonTextChar"/>
    <w:rsid w:val="00654E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54E9A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98B6A-06C0-4070-87EE-3F2A6DE99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MARINELLI Giada</dc:creator>
  <cp:keywords/>
  <cp:lastModifiedBy>anonimo</cp:lastModifiedBy>
  <cp:revision>2</cp:revision>
  <cp:lastPrinted>2004-11-19T15:42:00Z</cp:lastPrinted>
  <dcterms:created xsi:type="dcterms:W3CDTF">2025-05-08T14:43:00Z</dcterms:created>
  <dcterms:modified xsi:type="dcterms:W3CDTF">2025-05-08T14:43:00Z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A10-0032/2025</vt:lpwstr>
  </property>
  <property fmtid="{D5CDD505-2E9C-101B-9397-08002B2CF9AE}" pid="4" name="&lt;Type&gt;">
    <vt:lpwstr>RR</vt:lpwstr>
  </property>
</Properties>
</file>