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0DD4" w14:paraId="2B712166" w14:textId="77777777" w:rsidTr="0010095E">
        <w:trPr>
          <w:trHeight w:hRule="exact" w:val="1418"/>
        </w:trPr>
        <w:tc>
          <w:tcPr>
            <w:tcW w:w="6804" w:type="dxa"/>
            <w:shd w:val="clear" w:color="auto" w:fill="auto"/>
            <w:vAlign w:val="center"/>
          </w:tcPr>
          <w:p w14:paraId="73669550" w14:textId="77777777" w:rsidR="00751A4A" w:rsidRPr="00650DD4" w:rsidRDefault="00AE4EB1" w:rsidP="0010095E">
            <w:pPr>
              <w:pStyle w:val="EPName"/>
            </w:pPr>
            <w:r w:rsidRPr="00650DD4">
              <w:t>Europos Parlamentas</w:t>
            </w:r>
          </w:p>
          <w:p w14:paraId="417B1127" w14:textId="77777777" w:rsidR="00751A4A" w:rsidRPr="00650DD4" w:rsidRDefault="005F1B17" w:rsidP="005F1B17">
            <w:pPr>
              <w:pStyle w:val="EPTerm"/>
              <w:rPr>
                <w:rStyle w:val="HideTWBExt"/>
                <w:noProof w:val="0"/>
                <w:vanish w:val="0"/>
                <w:color w:val="auto"/>
              </w:rPr>
            </w:pPr>
            <w:r w:rsidRPr="00650DD4">
              <w:t>2024</w:t>
            </w:r>
            <w:r w:rsidR="00817416" w:rsidRPr="00650DD4">
              <w:t>-202</w:t>
            </w:r>
            <w:r w:rsidRPr="00650DD4">
              <w:t>9</w:t>
            </w:r>
          </w:p>
        </w:tc>
        <w:tc>
          <w:tcPr>
            <w:tcW w:w="2268" w:type="dxa"/>
            <w:shd w:val="clear" w:color="auto" w:fill="auto"/>
          </w:tcPr>
          <w:p w14:paraId="294DDF02" w14:textId="77777777" w:rsidR="00751A4A" w:rsidRPr="00650DD4" w:rsidRDefault="00187494" w:rsidP="0010095E">
            <w:pPr>
              <w:pStyle w:val="EPLogo"/>
            </w:pPr>
            <w:r w:rsidRPr="00650DD4">
              <w:rPr>
                <w:noProof/>
                <w:lang w:val="en-GB"/>
              </w:rPr>
              <w:drawing>
                <wp:inline distT="0" distB="0" distL="0" distR="0" wp14:anchorId="7D3B3E58" wp14:editId="64D3B1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1B1F72" w14:textId="77777777" w:rsidR="00D058B8" w:rsidRPr="00650DD4" w:rsidRDefault="00D058B8" w:rsidP="004C5D52">
      <w:pPr>
        <w:pStyle w:val="LineTop"/>
      </w:pPr>
    </w:p>
    <w:p w14:paraId="619226A3" w14:textId="77777777" w:rsidR="00680577" w:rsidRPr="00650DD4" w:rsidRDefault="00AE4EB1" w:rsidP="00680577">
      <w:pPr>
        <w:pStyle w:val="EPBodyTA1"/>
      </w:pPr>
      <w:r w:rsidRPr="00650DD4">
        <w:t>PRIIMTI TEKSTAI</w:t>
      </w:r>
    </w:p>
    <w:p w14:paraId="3EE12D55" w14:textId="77777777" w:rsidR="00D058B8" w:rsidRPr="00650DD4" w:rsidRDefault="00D058B8" w:rsidP="00D058B8">
      <w:pPr>
        <w:pStyle w:val="LineBottom"/>
      </w:pPr>
    </w:p>
    <w:p w14:paraId="5F94E1DB" w14:textId="04391C06" w:rsidR="00AE4EB1" w:rsidRPr="00650DD4" w:rsidRDefault="00AE4EB1" w:rsidP="00AE4EB1">
      <w:pPr>
        <w:pStyle w:val="ATHeading1"/>
      </w:pPr>
      <w:bookmarkStart w:id="0" w:name="TANumber"/>
      <w:r w:rsidRPr="00650DD4">
        <w:t>P10_TA(2025)00</w:t>
      </w:r>
      <w:r w:rsidR="001246F2">
        <w:t>43</w:t>
      </w:r>
      <w:bookmarkEnd w:id="0"/>
    </w:p>
    <w:p w14:paraId="6DA96F70" w14:textId="0E9FC869" w:rsidR="00AE4EB1" w:rsidRPr="00650DD4" w:rsidRDefault="00B5402B" w:rsidP="00AE4EB1">
      <w:pPr>
        <w:pStyle w:val="ATHeading2"/>
      </w:pPr>
      <w:bookmarkStart w:id="1" w:name="title"/>
      <w:r>
        <w:t>P</w:t>
      </w:r>
      <w:r w:rsidR="00AE4EB1" w:rsidRPr="00B5402B">
        <w:t>rašym</w:t>
      </w:r>
      <w:r>
        <w:t>as</w:t>
      </w:r>
      <w:r w:rsidR="00AE4EB1" w:rsidRPr="00B5402B">
        <w:t xml:space="preserve"> atšaukti Mariuszo Kamińskio (Mariusz Kamiński) imunitetą</w:t>
      </w:r>
      <w:bookmarkEnd w:id="1"/>
    </w:p>
    <w:p w14:paraId="18251693" w14:textId="77777777" w:rsidR="00AE4EB1" w:rsidRPr="00650DD4" w:rsidRDefault="00AE4EB1" w:rsidP="00AE4EB1">
      <w:pPr>
        <w:rPr>
          <w:i/>
          <w:vanish/>
        </w:rPr>
      </w:pPr>
      <w:r w:rsidRPr="00650DD4">
        <w:rPr>
          <w:i/>
        </w:rPr>
        <w:fldChar w:fldCharType="begin"/>
      </w:r>
      <w:r w:rsidRPr="00650DD4">
        <w:rPr>
          <w:i/>
        </w:rPr>
        <w:instrText xml:space="preserve"> TC"(</w:instrText>
      </w:r>
      <w:bookmarkStart w:id="2" w:name="DocNumber"/>
      <w:r w:rsidRPr="00650DD4">
        <w:rPr>
          <w:i/>
        </w:rPr>
        <w:instrText>A10-0032/2025</w:instrText>
      </w:r>
      <w:bookmarkEnd w:id="2"/>
      <w:r w:rsidRPr="00650DD4">
        <w:rPr>
          <w:i/>
        </w:rPr>
        <w:instrText xml:space="preserve"> - Pranešėjas: Mario Furore)"\l3 \n&gt; \* MERGEFORMAT </w:instrText>
      </w:r>
      <w:r w:rsidRPr="00650DD4">
        <w:rPr>
          <w:i/>
        </w:rPr>
        <w:fldChar w:fldCharType="end"/>
      </w:r>
    </w:p>
    <w:p w14:paraId="61DFB4AE" w14:textId="77777777" w:rsidR="00AE4EB1" w:rsidRPr="00650DD4" w:rsidRDefault="00AE4EB1" w:rsidP="00AE4EB1">
      <w:pPr>
        <w:rPr>
          <w:vanish/>
        </w:rPr>
      </w:pPr>
      <w:bookmarkStart w:id="3" w:name="Commission"/>
      <w:r w:rsidRPr="00650DD4">
        <w:rPr>
          <w:vanish/>
        </w:rPr>
        <w:t>Teisės reikalų komitetas</w:t>
      </w:r>
      <w:bookmarkEnd w:id="3"/>
    </w:p>
    <w:p w14:paraId="5E2368A7" w14:textId="77777777" w:rsidR="00AE4EB1" w:rsidRPr="00650DD4" w:rsidRDefault="00AE4EB1" w:rsidP="00AE4EB1">
      <w:pPr>
        <w:rPr>
          <w:vanish/>
        </w:rPr>
      </w:pPr>
      <w:bookmarkStart w:id="4" w:name="PE"/>
      <w:r w:rsidRPr="00650DD4">
        <w:rPr>
          <w:vanish/>
        </w:rPr>
        <w:t>PE766.697</w:t>
      </w:r>
      <w:bookmarkEnd w:id="4"/>
    </w:p>
    <w:p w14:paraId="3CBD14A4" w14:textId="0D6FE8CF" w:rsidR="00AE4EB1" w:rsidRPr="00650DD4" w:rsidRDefault="00402FAC" w:rsidP="00706F40">
      <w:pPr>
        <w:pStyle w:val="ATHeading3"/>
      </w:pPr>
      <w:bookmarkStart w:id="5" w:name="Sujet"/>
      <w:r>
        <w:t>2025 m. balandžio 1 d. E</w:t>
      </w:r>
      <w:r w:rsidR="00AE4EB1" w:rsidRPr="00650DD4">
        <w:t>uropos Parlamento sprendimas dėl prašymo atšaukti Mariuszo Kamińskio (Mariusz Kamiński) imunitetą</w:t>
      </w:r>
      <w:bookmarkEnd w:id="5"/>
      <w:r w:rsidR="00AE4EB1" w:rsidRPr="00650DD4">
        <w:t xml:space="preserve"> </w:t>
      </w:r>
      <w:bookmarkStart w:id="6" w:name="References"/>
      <w:r w:rsidR="00AE4EB1" w:rsidRPr="00650DD4">
        <w:t>(2024/2046(IMM))</w:t>
      </w:r>
      <w:bookmarkEnd w:id="6"/>
    </w:p>
    <w:p w14:paraId="3CCDA8BA" w14:textId="77777777" w:rsidR="00F10F99" w:rsidRPr="00650DD4" w:rsidRDefault="00F10F99" w:rsidP="00F10F99">
      <w:pPr>
        <w:pStyle w:val="EPComma"/>
      </w:pPr>
      <w:bookmarkStart w:id="7" w:name="TextBodyBegin"/>
      <w:bookmarkEnd w:id="7"/>
      <w:r w:rsidRPr="00650DD4">
        <w:rPr>
          <w:i/>
        </w:rPr>
        <w:t>Europos Parlamentas</w:t>
      </w:r>
      <w:r w:rsidRPr="00650DD4">
        <w:t>,</w:t>
      </w:r>
    </w:p>
    <w:p w14:paraId="38CEB68C" w14:textId="1CBFD948" w:rsidR="00F10F99" w:rsidRPr="00650DD4" w:rsidRDefault="00F10F99" w:rsidP="00F10F99">
      <w:pPr>
        <w:pStyle w:val="NormalHanging12a"/>
      </w:pPr>
      <w:r w:rsidRPr="00650DD4">
        <w:t>–</w:t>
      </w:r>
      <w:r w:rsidRPr="00650DD4">
        <w:tab/>
        <w:t>atsižvelgdamas į Lenkijos Respublikos generalinio prokuroro 2024 m. liepos 29 d. perduotą prašymą atšaukti Mariuszo Kamińskio imunitetą, kuriuo perduodamas Varšuvos apygardos prokuratūros prašymas, kuris susijęs su Mariuszui Kamińskiui iškeltomis baudžiamosiomis bylomis ir kuris buvo paskelbtas 2024 m. rugsėjo 16 d. plenariniame posėdyje,</w:t>
      </w:r>
    </w:p>
    <w:p w14:paraId="6D3DDD91" w14:textId="3A35E1C1" w:rsidR="00F10F99" w:rsidRPr="00650DD4" w:rsidRDefault="00F10F99" w:rsidP="00F10F99">
      <w:pPr>
        <w:pStyle w:val="NormalHanging12a"/>
      </w:pPr>
      <w:r w:rsidRPr="00650DD4">
        <w:t>–</w:t>
      </w:r>
      <w:r w:rsidRPr="00650DD4">
        <w:tab/>
        <w:t>2025 m. sausio 30 d. išklausęs Mariuszo Kamińskio paaiškinimų, kaip nurodyta Darbo tvarkos taisyklių 9 straipsnio 6 dalyje, ir atsižvelgdamas į jo pateik</w:t>
      </w:r>
      <w:r w:rsidR="00680CFF">
        <w:t>iamus</w:t>
      </w:r>
      <w:r w:rsidRPr="00650DD4">
        <w:t xml:space="preserve"> dokument</w:t>
      </w:r>
      <w:r w:rsidR="00680CFF">
        <w:t>us</w:t>
      </w:r>
      <w:r w:rsidRPr="00650DD4">
        <w:t>,</w:t>
      </w:r>
    </w:p>
    <w:p w14:paraId="7969F32A" w14:textId="77777777" w:rsidR="00F10F99" w:rsidRPr="00650DD4" w:rsidRDefault="00F10F99" w:rsidP="00F10F99">
      <w:pPr>
        <w:pStyle w:val="NormalHanging12a"/>
      </w:pPr>
      <w:r w:rsidRPr="00650DD4">
        <w:t>–</w:t>
      </w:r>
      <w:r w:rsidRPr="00650DD4">
        <w:tab/>
        <w:t>atsižvelgdamas į Protokolo Nr. 7 dėl Europos Sąjungos privilegijų ir imunitetų 8 ir 9 straipsnius ir į 1976 m. rugsėjo 20 d. Akto dėl Europos Parlamento narių rinkimų remiantis tiesiogine visuotine rinkimų teise 6 straipsnio 2 dalį,</w:t>
      </w:r>
    </w:p>
    <w:p w14:paraId="70A29D3F" w14:textId="77777777" w:rsidR="00F10F99" w:rsidRPr="00650DD4" w:rsidRDefault="00F10F99" w:rsidP="00F10F99">
      <w:pPr>
        <w:pStyle w:val="NormalHanging12a"/>
      </w:pPr>
      <w:r w:rsidRPr="00650DD4">
        <w:t>–</w:t>
      </w:r>
      <w:r w:rsidRPr="00650DD4">
        <w:tab/>
        <w:t>atsižvelgdamas į Europos Sąjungos Teisingumo Teismo 2008 m. spalio 21 d., 2010 m. kovo 19 d., 2011 m. rugsėjo 6 d., 2013 m. sausio 17 d., 2019 m. gruodžio 19 d. ir 2023 m. liepos 5 d. sprendimus</w:t>
      </w:r>
      <w:r w:rsidRPr="00650DD4">
        <w:rPr>
          <w:rStyle w:val="FootnoteReference"/>
          <w:color w:val="000000"/>
        </w:rPr>
        <w:footnoteReference w:id="1"/>
      </w:r>
      <w:r w:rsidRPr="00650DD4">
        <w:t>,</w:t>
      </w:r>
    </w:p>
    <w:p w14:paraId="297777FE" w14:textId="77777777" w:rsidR="00F10F99" w:rsidRPr="00650DD4" w:rsidRDefault="00F10F99" w:rsidP="00F10F99">
      <w:pPr>
        <w:pStyle w:val="NormalHanging12a"/>
      </w:pPr>
      <w:r w:rsidRPr="00650DD4">
        <w:t>–</w:t>
      </w:r>
      <w:r w:rsidRPr="00650DD4">
        <w:tab/>
        <w:t>atsižvelgdamas į Lenkijos Respublikos Konstitucijos 105 straipsnio 2 ir 5 dalis,</w:t>
      </w:r>
    </w:p>
    <w:p w14:paraId="674319B9" w14:textId="77777777" w:rsidR="00F10F99" w:rsidRPr="00650DD4" w:rsidRDefault="00F10F99" w:rsidP="00F10F99">
      <w:pPr>
        <w:pStyle w:val="NormalHanging12a"/>
      </w:pPr>
      <w:r w:rsidRPr="00650DD4">
        <w:t>–</w:t>
      </w:r>
      <w:r w:rsidRPr="00650DD4">
        <w:tab/>
        <w:t xml:space="preserve">atsižvelgdamas į Darbo tvarkos taisyklių 5 straipsnio 2 dalį, 6 straipsnio 1 dalį ir </w:t>
      </w:r>
      <w:r w:rsidRPr="00650DD4">
        <w:lastRenderedPageBreak/>
        <w:t>9 straipsnį,</w:t>
      </w:r>
    </w:p>
    <w:p w14:paraId="143EAEDE" w14:textId="77777777" w:rsidR="00F10F99" w:rsidRPr="00650DD4" w:rsidRDefault="00F10F99" w:rsidP="00F10F99">
      <w:pPr>
        <w:pStyle w:val="NormalHanging12a"/>
      </w:pPr>
      <w:r w:rsidRPr="00650DD4">
        <w:t>–</w:t>
      </w:r>
      <w:r w:rsidRPr="00650DD4">
        <w:tab/>
        <w:t>atsižvelgdamas į Teisės reikalų komiteto pranešimą (A10-0032/2025),</w:t>
      </w:r>
    </w:p>
    <w:p w14:paraId="43C73A43" w14:textId="77777777" w:rsidR="00F10F99" w:rsidRPr="00650DD4" w:rsidRDefault="00F10F99" w:rsidP="00F10F99">
      <w:pPr>
        <w:pStyle w:val="NormalHanging12a"/>
      </w:pPr>
      <w:r w:rsidRPr="00650DD4">
        <w:t>A.</w:t>
      </w:r>
      <w:r w:rsidRPr="00650DD4">
        <w:tab/>
        <w:t>kadangi 2024 m. liepos 29 d. raštu Lenkijos generalinis prokuroras perdavė Varšuvos apygardos prokuratūros prašymą atšaukti Mariuszo Kamińskio imunitetą dėl įtariamų nusikalstamų veikų pagal Lenkijos baudžiamojo kodekso 244 straipsnį, taikomą kartu su to kodekso 12 straipsniu;</w:t>
      </w:r>
    </w:p>
    <w:p w14:paraId="4D12FE58" w14:textId="46D915DD" w:rsidR="00F10F99" w:rsidRPr="00650DD4" w:rsidRDefault="00F10F99" w:rsidP="00F10F99">
      <w:pPr>
        <w:pStyle w:val="NormalHanging12a"/>
      </w:pPr>
      <w:r w:rsidRPr="00650DD4">
        <w:rPr>
          <w:shd w:val="clear" w:color="auto" w:fill="FFFFFF"/>
        </w:rPr>
        <w:t>B.</w:t>
      </w:r>
      <w:r w:rsidRPr="00650DD4">
        <w:rPr>
          <w:shd w:val="clear" w:color="auto" w:fill="FFFFFF"/>
        </w:rPr>
        <w:tab/>
      </w:r>
      <w:r w:rsidRPr="00650DD4">
        <w:t>kadangi įtariama, kad veiksmais, kuriuos 2023 m. gruodžio 21 ir 28 d. Varšuvoje Mariusz Kamiński vykdė iš anksto apgalvotai ir per trumpą laiką, pažeidė penkerių metų draudimą eiti viešąsias pareigas, kuris buvo nustatytas 2023 m. gruodžio 20 d. Varšuvos apygardos teismo priimtu galutini</w:t>
      </w:r>
      <w:bookmarkStart w:id="8" w:name="_GoBack"/>
      <w:bookmarkEnd w:id="8"/>
      <w:r w:rsidRPr="00650DD4">
        <w:t>u ir privalomu sprendimu, nes Mariusz Kamiński vykdė Lenkijos Respublikos Seimo (Lenkijos parlamento žemieji rūmai) nario pareigas, dalyvaudamas 2023 m. gruodžio 21 d. įvykusioje Seimo sesijoje, įskaitant balsavimus, ir dalyvaudamas 2023 m. gruodžio 28 d. Seimo Administravimo ir vidaus reikalų komiteto posėdyje; kadangi įtariami veiksmai yra nusikalstama veika pagal Lenkijos baudžiamojo kodekso 244 straipsnį, taikomą kartu su to kodekso 12 straipsniu;</w:t>
      </w:r>
    </w:p>
    <w:p w14:paraId="5FC4E312" w14:textId="5C3121AF" w:rsidR="00F10F99" w:rsidRPr="00650DD4" w:rsidRDefault="00F10F99" w:rsidP="00F10F99">
      <w:pPr>
        <w:pStyle w:val="NormalHanging12a"/>
      </w:pPr>
      <w:r w:rsidRPr="00650DD4">
        <w:t>C.</w:t>
      </w:r>
      <w:r w:rsidRPr="00650DD4">
        <w:tab/>
        <w:t>kadangi 2024 m. balandžio 18 d. Mariuszui Kamińskiui pareikšti minėti kaltinimai; kadangi 2024 m. birželio mėn. vykusiuose Europos Parlamento rinkimuose Mariusz Kamiński buvo išrinktas į Europos Parlamentą;</w:t>
      </w:r>
      <w:r w:rsidR="0050001F">
        <w:t xml:space="preserve"> </w:t>
      </w:r>
      <w:r w:rsidRPr="00650DD4">
        <w:t>kadangi nusikalstamos veikos, kuria įtariamas Mariusz Kamiński, padarymo momentu jis nebuvo Europos Parlamento narys;</w:t>
      </w:r>
    </w:p>
    <w:p w14:paraId="1F4820C1" w14:textId="63E62E02" w:rsidR="00F10F99" w:rsidRPr="00650DD4" w:rsidRDefault="0050001F" w:rsidP="00F10F99">
      <w:pPr>
        <w:pStyle w:val="NormalHanging12a"/>
      </w:pPr>
      <w:r>
        <w:t>D</w:t>
      </w:r>
      <w:r w:rsidR="00F10F99" w:rsidRPr="00650DD4">
        <w:t>.</w:t>
      </w:r>
      <w:r w:rsidR="00F10F99" w:rsidRPr="00650DD4">
        <w:tab/>
        <w:t>kadangi galima nusikalstama veika ir dėl jos pateiktas prašymas panaikinti Mariuszo Kamińskio imunitetą nėra susiję su jam einant pareigas pareikšta nuomone ar balsavimu, kaip numatyta Protokolo Nr. 7 dėl Europos Sąjungos privilegijų ir imunitetų 8 straipsnyje;</w:t>
      </w:r>
    </w:p>
    <w:p w14:paraId="2D1D3F37" w14:textId="107FF119" w:rsidR="00F10F99" w:rsidRPr="00650DD4" w:rsidRDefault="0050001F" w:rsidP="00F10F99">
      <w:pPr>
        <w:pStyle w:val="NormalHanging12a"/>
      </w:pPr>
      <w:r>
        <w:t>E</w:t>
      </w:r>
      <w:r w:rsidR="00F10F99" w:rsidRPr="00650DD4">
        <w:t>.</w:t>
      </w:r>
      <w:r w:rsidR="00F10F99" w:rsidRPr="00650DD4">
        <w:tab/>
        <w:t>kadangi Protokolo Nr. 7 dėl Europos Sąjungos privilegijų ir imunitetų 9 straipsnio pirmos pastraipos a punkte nustatyta, kad Europos Parlamento nariai savo valstybės narės teritorijoje naudojasi imunitetais, kurie toje valstybėje narėje yra suteikiami parlamento nariams;</w:t>
      </w:r>
    </w:p>
    <w:p w14:paraId="560EF62C" w14:textId="175114EA" w:rsidR="00F10F99" w:rsidRPr="00650DD4" w:rsidRDefault="0050001F" w:rsidP="00F10F99">
      <w:pPr>
        <w:pStyle w:val="NormalHanging12a"/>
      </w:pPr>
      <w:r>
        <w:t>F</w:t>
      </w:r>
      <w:r w:rsidR="00F10F99" w:rsidRPr="00650DD4">
        <w:t>.</w:t>
      </w:r>
      <w:r w:rsidR="00F10F99" w:rsidRPr="00650DD4">
        <w:tab/>
        <w:t>kadangi, vadovaujantis Lenkijos Konstitucijos 105 straipsnio 2 ir 5 dalimis, nuo rinkimų rezultatų paskelbimo dienos iki mandato galiojimo laikotarpio pabaigos dienos Lenkijos Respublikos Seimo narys be Seimo sutikimo negali būti traukiamas baudžiamojon atsakomybėn, ir jis be Seimo sutikimo negali būti sulaikomas ar suimamas, išskyrus atvejus, kai jis užtinkamas darantis nusikaltimą ir jei būtina jį sulaikyti siekiant užtikrinti tinkamą proceso eigą;</w:t>
      </w:r>
    </w:p>
    <w:p w14:paraId="1706E3FB" w14:textId="1C9C1DC4" w:rsidR="00F10F99" w:rsidRPr="00650DD4" w:rsidRDefault="0050001F" w:rsidP="00F10F99">
      <w:pPr>
        <w:pStyle w:val="NormalHanging12a"/>
      </w:pPr>
      <w:r>
        <w:t>G</w:t>
      </w:r>
      <w:r w:rsidR="00F10F99" w:rsidRPr="00650DD4">
        <w:t>.</w:t>
      </w:r>
      <w:r w:rsidR="00F10F99" w:rsidRPr="00650DD4">
        <w:tab/>
        <w:t>kadangi Parlamento nario imuniteto paskirtis – apsaugoti Parlamentą ir jo narius nuo patraukimo atsakomybėn už veiksmus, kurie yra padaryti vykdant Parlamento nario įgaliojimus ir kurių negalima atskirti nuo tų įgaliojimų;</w:t>
      </w:r>
    </w:p>
    <w:p w14:paraId="7E64E088" w14:textId="42B73F9C" w:rsidR="00F10F99" w:rsidRPr="00650DD4" w:rsidRDefault="0050001F" w:rsidP="00F10F99">
      <w:pPr>
        <w:pStyle w:val="NormalHanging12a"/>
      </w:pPr>
      <w:r>
        <w:t>H</w:t>
      </w:r>
      <w:r w:rsidR="00F10F99" w:rsidRPr="00650DD4">
        <w:t>.</w:t>
      </w:r>
      <w:r w:rsidR="00F10F99" w:rsidRPr="00650DD4">
        <w:tab/>
        <w:t>kadangi Darbo tvarkos taisyklių 5 straipsnio 2 dalyje numatyta, kad Parlamento nario imunitetas yra ne jo asmeninė privilegija, bet viso Parlamento ir jo narių nepriklausomumo garantija;</w:t>
      </w:r>
    </w:p>
    <w:p w14:paraId="7F06C520" w14:textId="0B100CBB" w:rsidR="00F10F99" w:rsidRPr="00650DD4" w:rsidRDefault="0050001F" w:rsidP="00F10F99">
      <w:pPr>
        <w:pStyle w:val="NormalHanging12a"/>
      </w:pPr>
      <w:r>
        <w:t>I</w:t>
      </w:r>
      <w:r w:rsidR="00F10F99" w:rsidRPr="00650DD4">
        <w:t>.</w:t>
      </w:r>
      <w:r w:rsidR="00F10F99" w:rsidRPr="00650DD4">
        <w:tab/>
        <w:t xml:space="preserve">kadangi šiuo atveju Parlamentas nenustatė esant </w:t>
      </w:r>
      <w:r w:rsidR="00F10F99" w:rsidRPr="00650DD4">
        <w:rPr>
          <w:i/>
          <w:iCs/>
        </w:rPr>
        <w:t>fumus persecutionis</w:t>
      </w:r>
      <w:r w:rsidR="00F10F99" w:rsidRPr="00650DD4">
        <w:t xml:space="preserve">, t. y. faktinių aplinkybių, kurios rodytų, kad šis teismo procesas buvo pradėtas siekiant pakenkti </w:t>
      </w:r>
      <w:r w:rsidR="00F10F99" w:rsidRPr="00650DD4">
        <w:lastRenderedPageBreak/>
        <w:t>Europos Parlamento nario politinei veiklai;</w:t>
      </w:r>
    </w:p>
    <w:p w14:paraId="41C5696A" w14:textId="01C5193C" w:rsidR="00F10F99" w:rsidRPr="00650DD4" w:rsidRDefault="0050001F" w:rsidP="00F10F99">
      <w:pPr>
        <w:pStyle w:val="NormalHanging12a"/>
      </w:pPr>
      <w:r>
        <w:t>J</w:t>
      </w:r>
      <w:r w:rsidR="00F10F99" w:rsidRPr="00650DD4">
        <w:t>.</w:t>
      </w:r>
      <w:r w:rsidR="00F10F99" w:rsidRPr="00650DD4">
        <w:tab/>
        <w:t>kadangi, pirma, Parlamentas negali būti prilyginamas teismui ir, antra, vykstant imuniteto atšaukimo procedūrai Parlamento narys negali būti laikomas kaltinamuoju</w:t>
      </w:r>
      <w:r w:rsidR="00F10F99" w:rsidRPr="00650DD4">
        <w:rPr>
          <w:vertAlign w:val="superscript"/>
        </w:rPr>
        <w:footnoteReference w:id="2"/>
      </w:r>
      <w:r w:rsidR="00F10F99" w:rsidRPr="00650DD4">
        <w:t>;</w:t>
      </w:r>
    </w:p>
    <w:p w14:paraId="4D69ED09" w14:textId="77777777" w:rsidR="00F10F99" w:rsidRPr="00650DD4" w:rsidRDefault="00F10F99" w:rsidP="00F10F99">
      <w:pPr>
        <w:pStyle w:val="NormalHanging12a"/>
      </w:pPr>
      <w:r w:rsidRPr="00650DD4">
        <w:t>1.</w:t>
      </w:r>
      <w:r w:rsidRPr="00650DD4">
        <w:tab/>
        <w:t>nusprendžia atšaukti Mariuszo Kamińskio imunitetą;</w:t>
      </w:r>
    </w:p>
    <w:p w14:paraId="5AA4B7B2" w14:textId="38BEF9BE" w:rsidR="00E365E1" w:rsidRPr="00650DD4" w:rsidRDefault="00F10F99" w:rsidP="00706F40">
      <w:pPr>
        <w:pStyle w:val="NormalHanging12a"/>
      </w:pPr>
      <w:r w:rsidRPr="00650DD4">
        <w:t>2.</w:t>
      </w:r>
      <w:r w:rsidRPr="00650DD4">
        <w:tab/>
        <w:t>paveda Pirmininkei nedelsiant perduoti šį sprendimą ir atsakingo komiteto pranešimą kompetentingoms Lenkijos Respublikos institucij</w:t>
      </w:r>
      <w:r w:rsidR="004206D7">
        <w:t>o</w:t>
      </w:r>
      <w:r w:rsidRPr="00650DD4">
        <w:t>ms ir Mariuszui Kamińskiui.</w:t>
      </w:r>
    </w:p>
    <w:sectPr w:rsidR="00E365E1" w:rsidRPr="00650DD4" w:rsidSect="00650DD4">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31B2B5" w14:textId="77777777" w:rsidR="00AE4EB1" w:rsidRPr="00650DD4" w:rsidRDefault="00AE4EB1">
      <w:r w:rsidRPr="00650DD4">
        <w:separator/>
      </w:r>
    </w:p>
  </w:endnote>
  <w:endnote w:type="continuationSeparator" w:id="0">
    <w:p w14:paraId="1355ACA9" w14:textId="77777777" w:rsidR="00AE4EB1" w:rsidRPr="00650DD4" w:rsidRDefault="00AE4EB1">
      <w:r w:rsidRPr="00650D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6641A" w14:textId="77777777" w:rsidR="00064002" w:rsidRPr="00650DD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94191" w14:textId="77777777" w:rsidR="00064002" w:rsidRPr="00650DD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8B6F0" w14:textId="77777777" w:rsidR="00064002" w:rsidRPr="00650D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7522B0" w14:textId="77777777" w:rsidR="00AE4EB1" w:rsidRPr="00650DD4" w:rsidRDefault="00AE4EB1">
      <w:r w:rsidRPr="00650DD4">
        <w:separator/>
      </w:r>
    </w:p>
  </w:footnote>
  <w:footnote w:type="continuationSeparator" w:id="0">
    <w:p w14:paraId="1B88B4D0" w14:textId="77777777" w:rsidR="00AE4EB1" w:rsidRPr="00650DD4" w:rsidRDefault="00AE4EB1">
      <w:r w:rsidRPr="00650DD4">
        <w:continuationSeparator/>
      </w:r>
    </w:p>
  </w:footnote>
  <w:footnote w:id="1">
    <w:p w14:paraId="120B7A47" w14:textId="6CF52F10" w:rsidR="00F10F99" w:rsidRPr="00650DD4" w:rsidRDefault="00F10F99" w:rsidP="00650DD4">
      <w:pPr>
        <w:pStyle w:val="FootnoteText"/>
        <w:ind w:left="567" w:hanging="567"/>
        <w:rPr>
          <w:sz w:val="24"/>
          <w:lang w:val="lt-LT"/>
        </w:rPr>
      </w:pPr>
      <w:r w:rsidRPr="00650DD4">
        <w:rPr>
          <w:rStyle w:val="FootnoteReference"/>
          <w:sz w:val="24"/>
          <w:lang w:val="lt-LT"/>
        </w:rPr>
        <w:footnoteRef/>
      </w:r>
      <w:r w:rsidR="00650DD4" w:rsidRPr="00650DD4">
        <w:rPr>
          <w:sz w:val="24"/>
          <w:lang w:val="lt-LT"/>
        </w:rPr>
        <w:t xml:space="preserve"> </w:t>
      </w:r>
      <w:r w:rsidR="00650DD4" w:rsidRPr="00650DD4">
        <w:rPr>
          <w:sz w:val="24"/>
          <w:lang w:val="lt-LT"/>
        </w:rPr>
        <w:tab/>
      </w:r>
      <w:r w:rsidRPr="00650DD4">
        <w:rPr>
          <w:sz w:val="24"/>
          <w:lang w:val="lt-LT"/>
        </w:rPr>
        <w:t xml:space="preserve">2008 m. spalio 21 d. Teisingumo Teismo sprendimas </w:t>
      </w:r>
      <w:r w:rsidRPr="00650DD4">
        <w:rPr>
          <w:i/>
          <w:iCs/>
          <w:sz w:val="24"/>
          <w:lang w:val="lt-LT"/>
        </w:rPr>
        <w:t>Marra / De Gregorio ir Clemente</w:t>
      </w:r>
      <w:r w:rsidRPr="00650DD4">
        <w:rPr>
          <w:sz w:val="24"/>
          <w:lang w:val="lt-LT"/>
        </w:rPr>
        <w:t xml:space="preserve">, C-200/07 ir C-201/07, ECLI:EU:C:2008:579; 2010 m. kovo 19 d. Bendrojo Teismo sprendimas </w:t>
      </w:r>
      <w:r w:rsidRPr="00650DD4">
        <w:rPr>
          <w:i/>
          <w:iCs/>
          <w:sz w:val="24"/>
          <w:lang w:val="lt-LT"/>
        </w:rPr>
        <w:t>Gollnisch / Parlamentas</w:t>
      </w:r>
      <w:r w:rsidRPr="00650DD4">
        <w:rPr>
          <w:sz w:val="24"/>
          <w:lang w:val="lt-LT"/>
        </w:rPr>
        <w:t xml:space="preserve">, T-42/06, ECLI:EU:T:2010:102; 2011 m. rugsėjo 6 d. Teisingumo Teismo sprendimas </w:t>
      </w:r>
      <w:r w:rsidRPr="00650DD4">
        <w:rPr>
          <w:i/>
          <w:iCs/>
          <w:sz w:val="24"/>
          <w:lang w:val="lt-LT"/>
        </w:rPr>
        <w:t>Patriciello</w:t>
      </w:r>
      <w:r w:rsidRPr="00650DD4">
        <w:rPr>
          <w:sz w:val="24"/>
          <w:lang w:val="lt-LT"/>
        </w:rPr>
        <w:t xml:space="preserve">, C-163/10, ECLI: EU:C:2011:543; 2013 m. sausio 17 d. Bendrojo Teismo sprendimas </w:t>
      </w:r>
      <w:r w:rsidRPr="00650DD4">
        <w:rPr>
          <w:i/>
          <w:iCs/>
          <w:sz w:val="24"/>
          <w:lang w:val="lt-LT"/>
        </w:rPr>
        <w:t>Gollnisch / Parlamentas</w:t>
      </w:r>
      <w:r w:rsidRPr="00650DD4">
        <w:rPr>
          <w:sz w:val="24"/>
          <w:lang w:val="lt-LT"/>
        </w:rPr>
        <w:t xml:space="preserve">, T-346/11 ir T-347/11, ECLI:EU:T:2013:23; 2019 m. gruodžio 19 d. Teisingumo Teismo sprendimas </w:t>
      </w:r>
      <w:r w:rsidRPr="00650DD4">
        <w:rPr>
          <w:i/>
          <w:iCs/>
          <w:sz w:val="24"/>
          <w:lang w:val="lt-LT"/>
        </w:rPr>
        <w:t>Junqueras Vies</w:t>
      </w:r>
      <w:r w:rsidRPr="00650DD4">
        <w:rPr>
          <w:sz w:val="24"/>
          <w:lang w:val="lt-LT"/>
        </w:rPr>
        <w:t xml:space="preserve">, C-502/19, ECLI:EU:C:2019:1115; 2023 m. liepos 5 d. Bendrojo Teismo sprendimas </w:t>
      </w:r>
      <w:r w:rsidRPr="00650DD4">
        <w:rPr>
          <w:i/>
          <w:iCs/>
          <w:sz w:val="24"/>
          <w:lang w:val="lt-LT"/>
        </w:rPr>
        <w:t>Puigdemont i Casamajó ir kt.</w:t>
      </w:r>
      <w:r w:rsidRPr="00650DD4">
        <w:rPr>
          <w:sz w:val="24"/>
          <w:lang w:val="lt-LT"/>
        </w:rPr>
        <w:t> / Parlamentas, T-272/21, ECLI:EU:T:2023:373.</w:t>
      </w:r>
    </w:p>
  </w:footnote>
  <w:footnote w:id="2">
    <w:p w14:paraId="5D5EC24B" w14:textId="77777777" w:rsidR="00F10F99" w:rsidRPr="00650DD4" w:rsidRDefault="00F10F99" w:rsidP="00650DD4">
      <w:pPr>
        <w:pStyle w:val="FootnoteText"/>
        <w:ind w:left="567" w:hanging="567"/>
        <w:rPr>
          <w:sz w:val="24"/>
          <w:lang w:val="lt-LT"/>
        </w:rPr>
      </w:pPr>
      <w:r w:rsidRPr="00650DD4">
        <w:rPr>
          <w:rStyle w:val="FootnoteReference"/>
          <w:sz w:val="24"/>
          <w:lang w:val="lt-LT"/>
        </w:rPr>
        <w:footnoteRef/>
      </w:r>
      <w:r w:rsidR="00650DD4" w:rsidRPr="00650DD4">
        <w:rPr>
          <w:sz w:val="24"/>
          <w:lang w:val="lt-LT"/>
        </w:rPr>
        <w:t xml:space="preserve"> </w:t>
      </w:r>
      <w:r w:rsidR="00650DD4" w:rsidRPr="00650DD4">
        <w:rPr>
          <w:sz w:val="24"/>
          <w:lang w:val="lt-LT"/>
        </w:rPr>
        <w:tab/>
      </w:r>
      <w:r w:rsidRPr="00650DD4">
        <w:rPr>
          <w:sz w:val="24"/>
          <w:lang w:val="lt-LT"/>
        </w:rPr>
        <w:t xml:space="preserve">2019 m. balandžio 30 d. Bendrojo Teismo sprendimas </w:t>
      </w:r>
      <w:r w:rsidRPr="00650DD4">
        <w:rPr>
          <w:i/>
          <w:iCs/>
          <w:sz w:val="24"/>
          <w:lang w:val="lt-LT"/>
        </w:rPr>
        <w:t>Briois / Parlamentas</w:t>
      </w:r>
      <w:r w:rsidRPr="00650DD4">
        <w:rPr>
          <w:sz w:val="24"/>
          <w:lang w:val="lt-LT"/>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002A3" w14:textId="77777777" w:rsidR="00064002" w:rsidRPr="00650DD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09162" w14:textId="77777777" w:rsidR="00064002" w:rsidRPr="00650DD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71FFD" w14:textId="77777777" w:rsidR="00064002" w:rsidRPr="00650D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2/2025"/>
    <w:docVar w:name="dvlangue" w:val="LT"/>
    <w:docVar w:name="dvnumam" w:val="0"/>
    <w:docVar w:name="dvpe" w:val="766.697"/>
    <w:docVar w:name="dvrapporteur" w:val="Pranešėjas: "/>
    <w:docVar w:name="dvtitre" w:val="Europos Parlamento sprendimas dėl prašymo atšaukti Mariuszo Kamińskio (Mariusz Kamiński) imunitetą(2024/2046(IMM))"/>
  </w:docVars>
  <w:rsids>
    <w:rsidRoot w:val="00AE4EB1"/>
    <w:rsid w:val="00002272"/>
    <w:rsid w:val="00064002"/>
    <w:rsid w:val="000677B9"/>
    <w:rsid w:val="000831BA"/>
    <w:rsid w:val="000A42CC"/>
    <w:rsid w:val="000E7DD9"/>
    <w:rsid w:val="0010095E"/>
    <w:rsid w:val="001067E3"/>
    <w:rsid w:val="001246F2"/>
    <w:rsid w:val="00125B37"/>
    <w:rsid w:val="00187494"/>
    <w:rsid w:val="001F32AE"/>
    <w:rsid w:val="00253243"/>
    <w:rsid w:val="002767FF"/>
    <w:rsid w:val="002B18FE"/>
    <w:rsid w:val="002B5493"/>
    <w:rsid w:val="00343214"/>
    <w:rsid w:val="00361C00"/>
    <w:rsid w:val="00395FA1"/>
    <w:rsid w:val="003E15D4"/>
    <w:rsid w:val="00402FAC"/>
    <w:rsid w:val="00411CCE"/>
    <w:rsid w:val="0041666E"/>
    <w:rsid w:val="004206D7"/>
    <w:rsid w:val="00421060"/>
    <w:rsid w:val="00471C19"/>
    <w:rsid w:val="004867E3"/>
    <w:rsid w:val="00494A28"/>
    <w:rsid w:val="004C0004"/>
    <w:rsid w:val="004C5D52"/>
    <w:rsid w:val="0050001F"/>
    <w:rsid w:val="0050519A"/>
    <w:rsid w:val="005072A1"/>
    <w:rsid w:val="00510EF0"/>
    <w:rsid w:val="00514517"/>
    <w:rsid w:val="00545827"/>
    <w:rsid w:val="00560270"/>
    <w:rsid w:val="005C2568"/>
    <w:rsid w:val="005F1B17"/>
    <w:rsid w:val="006037C0"/>
    <w:rsid w:val="00650DD4"/>
    <w:rsid w:val="006631B6"/>
    <w:rsid w:val="00680577"/>
    <w:rsid w:val="00680CFF"/>
    <w:rsid w:val="006F74FA"/>
    <w:rsid w:val="00706F4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3D13"/>
    <w:rsid w:val="00981893"/>
    <w:rsid w:val="00A1687D"/>
    <w:rsid w:val="00A43E52"/>
    <w:rsid w:val="00A4678D"/>
    <w:rsid w:val="00A778C7"/>
    <w:rsid w:val="00AB441E"/>
    <w:rsid w:val="00AB6293"/>
    <w:rsid w:val="00AE0928"/>
    <w:rsid w:val="00AE4EB1"/>
    <w:rsid w:val="00AF3B82"/>
    <w:rsid w:val="00B12E95"/>
    <w:rsid w:val="00B22876"/>
    <w:rsid w:val="00B5402B"/>
    <w:rsid w:val="00B558F0"/>
    <w:rsid w:val="00BD48FE"/>
    <w:rsid w:val="00BD7BD8"/>
    <w:rsid w:val="00BE6ADC"/>
    <w:rsid w:val="00C02182"/>
    <w:rsid w:val="00C05BFE"/>
    <w:rsid w:val="00C23CD4"/>
    <w:rsid w:val="00C61C0C"/>
    <w:rsid w:val="00C941CB"/>
    <w:rsid w:val="00CC2357"/>
    <w:rsid w:val="00CF071A"/>
    <w:rsid w:val="00D058B8"/>
    <w:rsid w:val="00D56C11"/>
    <w:rsid w:val="00D834A0"/>
    <w:rsid w:val="00D872DF"/>
    <w:rsid w:val="00D91E21"/>
    <w:rsid w:val="00DA7FCD"/>
    <w:rsid w:val="00E23514"/>
    <w:rsid w:val="00E365E1"/>
    <w:rsid w:val="00E820A4"/>
    <w:rsid w:val="00EB006A"/>
    <w:rsid w:val="00EB4772"/>
    <w:rsid w:val="00ED169E"/>
    <w:rsid w:val="00ED4235"/>
    <w:rsid w:val="00F04346"/>
    <w:rsid w:val="00F075DC"/>
    <w:rsid w:val="00F10F99"/>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5502C3"/>
  <w15:chartTrackingRefBased/>
  <w15:docId w15:val="{E68CEED5-2CE2-4DBB-89DA-A252BA557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10F99"/>
    <w:pPr>
      <w:spacing w:after="240"/>
      <w:ind w:left="567" w:hanging="567"/>
    </w:pPr>
  </w:style>
  <w:style w:type="paragraph" w:customStyle="1" w:styleId="EPComma">
    <w:name w:val="EPComma"/>
    <w:basedOn w:val="Normal"/>
    <w:rsid w:val="00F10F99"/>
    <w:pPr>
      <w:spacing w:before="480" w:after="240"/>
    </w:pPr>
  </w:style>
  <w:style w:type="paragraph" w:styleId="BalloonText">
    <w:name w:val="Balloon Text"/>
    <w:basedOn w:val="Normal"/>
    <w:link w:val="BalloonTextChar"/>
    <w:rsid w:val="00402FAC"/>
    <w:rPr>
      <w:rFonts w:ascii="Segoe UI" w:hAnsi="Segoe UI" w:cs="Segoe UI"/>
      <w:sz w:val="18"/>
      <w:szCs w:val="18"/>
    </w:rPr>
  </w:style>
  <w:style w:type="character" w:customStyle="1" w:styleId="BalloonTextChar">
    <w:name w:val="Balloon Text Char"/>
    <w:basedOn w:val="DefaultParagraphFont"/>
    <w:link w:val="BalloonText"/>
    <w:rsid w:val="00402FAC"/>
    <w:rPr>
      <w:rFonts w:ascii="Segoe UI" w:hAnsi="Segoe UI" w:cs="Segoe UI"/>
      <w:sz w:val="18"/>
      <w:szCs w:val="18"/>
      <w:lang w:val="lt-LT"/>
    </w:rPr>
  </w:style>
  <w:style w:type="character" w:styleId="CommentReference">
    <w:name w:val="annotation reference"/>
    <w:basedOn w:val="DefaultParagraphFont"/>
    <w:rsid w:val="00B5402B"/>
    <w:rPr>
      <w:sz w:val="16"/>
      <w:szCs w:val="16"/>
    </w:rPr>
  </w:style>
  <w:style w:type="paragraph" w:styleId="CommentText">
    <w:name w:val="annotation text"/>
    <w:basedOn w:val="Normal"/>
    <w:link w:val="CommentTextChar"/>
    <w:rsid w:val="00B5402B"/>
    <w:rPr>
      <w:sz w:val="20"/>
    </w:rPr>
  </w:style>
  <w:style w:type="character" w:customStyle="1" w:styleId="CommentTextChar">
    <w:name w:val="Comment Text Char"/>
    <w:basedOn w:val="DefaultParagraphFont"/>
    <w:link w:val="CommentText"/>
    <w:rsid w:val="00B5402B"/>
    <w:rPr>
      <w:lang w:val="lt-LT"/>
    </w:rPr>
  </w:style>
  <w:style w:type="paragraph" w:styleId="CommentSubject">
    <w:name w:val="annotation subject"/>
    <w:basedOn w:val="CommentText"/>
    <w:next w:val="CommentText"/>
    <w:link w:val="CommentSubjectChar"/>
    <w:rsid w:val="00B5402B"/>
    <w:rPr>
      <w:b/>
      <w:bCs/>
    </w:rPr>
  </w:style>
  <w:style w:type="character" w:customStyle="1" w:styleId="CommentSubjectChar">
    <w:name w:val="Comment Subject Char"/>
    <w:basedOn w:val="CommentTextChar"/>
    <w:link w:val="CommentSubject"/>
    <w:rsid w:val="00B5402B"/>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12EE9-4921-4470-B8C3-8296FE762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669</Words>
  <Characters>4305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2025-04-01T09:28:00Z</dcterms:created>
  <dcterms:modified xsi:type="dcterms:W3CDTF">2025-04-01T09:28:00Z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A10-0032/2025</vt:lpwstr>
  </property>
  <property fmtid="{D5CDD505-2E9C-101B-9397-08002B2CF9AE}" pid="4" name="&lt;Type&gt;">
    <vt:lpwstr>RR</vt:lpwstr>
  </property>
</Properties>
</file>