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P10_TA(2025)0043</w:t>
      </w:r>
      <w:bookmarkEnd w:id="1"/>
    </w:p>
    <w:p>
      <w:pPr>
        <w:pStyle w:val="ATHeading2"/>
      </w:pPr>
      <w:bookmarkStart w:id="2" w:name="title"/>
      <w:r>
        <w:t xml:space="preserve">Žiadosť o zbavenie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imunity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A10-0032/2025</w:instrText>
      </w:r>
      <w:bookmarkEnd w:id="3"/>
      <w:r>
        <w:rPr>
          <w:i/>
        </w:rPr>
        <w:instrText xml:space="preserve"> - Spravodajca: Mario Furore)"\l3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právne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PE766.697</w:t>
      </w:r>
      <w:bookmarkEnd w:id="5"/>
    </w:p>
    <w:p>
      <w:pPr>
        <w:pStyle w:val="ATHeading3"/>
      </w:pPr>
      <w:bookmarkStart w:id="6" w:name="Sujet"/>
      <w:r>
        <w:t xml:space="preserve">Rozhodnutie Európskeho parlamentu z 1. apríla 2025 o žiadosti o zbavenie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imunity</w:t>
      </w:r>
      <w:bookmarkEnd w:id="6"/>
      <w:r>
        <w:t xml:space="preserve"> </w:t>
      </w:r>
      <w:bookmarkStart w:id="7" w:name="References"/>
      <w:r>
        <w:t>(2024/2046(IMM))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 zbavenie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imunity z 29. júla 2024, ktorou generálny prokurátor Poľskej republiky postúpil žiadosť Krajskej prokuratúry vo Varšave v súvislosti s trestným konaním začatým proti </w:t>
      </w:r>
      <w:proofErr w:type="spellStart"/>
      <w:r>
        <w:t>Mariuszovi</w:t>
      </w:r>
      <w:proofErr w:type="spellEnd"/>
      <w:r>
        <w:t xml:space="preserve"> </w:t>
      </w:r>
      <w:proofErr w:type="spellStart"/>
      <w:r>
        <w:t>Kamińskému</w:t>
      </w:r>
      <w:proofErr w:type="spellEnd"/>
      <w:r>
        <w:t xml:space="preserve"> a ktorá bola oznámená na plenárnej schôdzi 16. septembra 2024,</w:t>
      </w:r>
    </w:p>
    <w:p>
      <w:pPr>
        <w:pStyle w:val="NormalHanging12a"/>
      </w:pPr>
      <w:r>
        <w:t>–</w:t>
      </w:r>
      <w:r>
        <w:tab/>
        <w:t xml:space="preserve">po vypočutí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30. januára 2025 v súlade s článkom 9 ods. 6 rokovacieho poriadku a so zreteľom na dokumenty, ktoré predložil na vypočutí,</w:t>
      </w:r>
    </w:p>
    <w:p>
      <w:pPr>
        <w:pStyle w:val="NormalHanging12a"/>
      </w:pPr>
      <w:r>
        <w:t>–</w:t>
      </w:r>
      <w:r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>
      <w:pPr>
        <w:pStyle w:val="NormalHanging12a"/>
      </w:pPr>
      <w:r>
        <w:t>–</w:t>
      </w:r>
      <w:r>
        <w:tab/>
        <w:t>so zreteľom na rozsudky Súdneho dvora Európskej únie z 21. októbra 2008, 19. marca 2010, 6. septembra 2011, 17. januára 2013, 19. decembra 2019 a 5. júla 2023</w:t>
      </w:r>
      <w:r>
        <w:rPr>
          <w:rStyle w:val="FootnoteReference"/>
          <w:color w:val="000000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článok 105 ods. 2 a 5 Ústavy Poľskej republiky,</w:t>
      </w:r>
    </w:p>
    <w:p>
      <w:pPr>
        <w:pStyle w:val="NormalHanging12a"/>
      </w:pPr>
      <w:r>
        <w:t>–</w:t>
      </w:r>
      <w:r>
        <w:tab/>
        <w:t>so zreteľom na článok 5 ods. 2, článok 6 ods. 1 a článok 9 rokovacieho poriadku,</w:t>
      </w:r>
    </w:p>
    <w:p>
      <w:pPr>
        <w:pStyle w:val="NormalHanging12a"/>
      </w:pPr>
      <w:r>
        <w:t>–</w:t>
      </w:r>
      <w:r>
        <w:tab/>
        <w:t>so zreteľom na správu Výboru pre právne veci (A10-0032/2025),</w:t>
      </w:r>
    </w:p>
    <w:p>
      <w:pPr>
        <w:pStyle w:val="NormalHanging12a"/>
      </w:pPr>
      <w:r>
        <w:lastRenderedPageBreak/>
        <w:t>A.</w:t>
      </w:r>
      <w:r>
        <w:tab/>
        <w:t xml:space="preserve">keďže generálny prokurátor Poľska listom z 29. júla 2024 postúpil žiadosť o zbavenie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imunity, ktorú podala Krajská prokuratúra vo Varšave v súvislosti s údajným porušením článku 244 poľského Trestného zákona v spojení s článkom 12 tohto zákona;</w:t>
      </w:r>
    </w:p>
    <w:p>
      <w:pPr>
        <w:pStyle w:val="NormalHanging12a"/>
      </w:pPr>
      <w:r>
        <w:rPr>
          <w:shd w:val="clear" w:color="auto" w:fill="FFFFFF"/>
        </w:rPr>
        <w:t>B.</w:t>
      </w:r>
      <w:r>
        <w:rPr>
          <w:shd w:val="clear" w:color="auto" w:fill="FFFFFF"/>
        </w:rPr>
        <w:tab/>
      </w:r>
      <w:r>
        <w:t xml:space="preserve">keďže podľa žiadosti údajné skutky, ktorých sa </w:t>
      </w:r>
      <w:proofErr w:type="spellStart"/>
      <w:r>
        <w:t>Mariusz</w:t>
      </w:r>
      <w:proofErr w:type="spellEnd"/>
      <w:r>
        <w:t xml:space="preserve"> </w:t>
      </w:r>
      <w:proofErr w:type="spellStart"/>
      <w:r>
        <w:t>Kamiński</w:t>
      </w:r>
      <w:proofErr w:type="spellEnd"/>
      <w:r>
        <w:t xml:space="preserve"> dopustil 21. a 28. decembra 2023 vo Varšave, spočívali v tom, že úmyselne a v krátkych časových úsekoch porušil päťročný zákaz výkonu verejnej funkcie, ktorý mu bol nariadený konečným a záväzným rozsudkom Krajského súdu vo Varšave 20. decembra 2023, keď </w:t>
      </w:r>
      <w:proofErr w:type="spellStart"/>
      <w:r>
        <w:t>Mariusz</w:t>
      </w:r>
      <w:proofErr w:type="spellEnd"/>
      <w:r>
        <w:t xml:space="preserve"> </w:t>
      </w:r>
      <w:proofErr w:type="spellStart"/>
      <w:r>
        <w:t>Kamiński</w:t>
      </w:r>
      <w:proofErr w:type="spellEnd"/>
      <w:r>
        <w:t xml:space="preserve"> vykonával funkciu poslanca </w:t>
      </w:r>
      <w:proofErr w:type="spellStart"/>
      <w:r>
        <w:t>Sejmu</w:t>
      </w:r>
      <w:proofErr w:type="spellEnd"/>
      <w:r>
        <w:t xml:space="preserve"> (dolná komora poľského parlamentu) Poľskej republiky, a to účasťou na zasadnutí </w:t>
      </w:r>
      <w:proofErr w:type="spellStart"/>
      <w:r>
        <w:t>Sejmu</w:t>
      </w:r>
      <w:proofErr w:type="spellEnd"/>
      <w:r>
        <w:t xml:space="preserve"> 21. decembra 2023, v rámci ktorého sa zúčastnil aj na hlasovaniach, a účasťou na schôdzi výboru </w:t>
      </w:r>
      <w:proofErr w:type="spellStart"/>
      <w:r>
        <w:t>Sejmu</w:t>
      </w:r>
      <w:proofErr w:type="spellEnd"/>
      <w:r>
        <w:t xml:space="preserve"> pre štátnu správu a vnútorné veci 28. decembra 2023; keďže uvedené údajné skutky predstavujú trestný čin podľa článku 244 poľského Trestného zákona v spojení s článkom 12 tohto zákona;</w:t>
      </w:r>
    </w:p>
    <w:p>
      <w:pPr>
        <w:pStyle w:val="NormalHanging12a"/>
      </w:pPr>
      <w:r>
        <w:t>C.</w:t>
      </w:r>
      <w:r>
        <w:tab/>
        <w:t xml:space="preserve">keďže </w:t>
      </w:r>
      <w:proofErr w:type="spellStart"/>
      <w:r>
        <w:t>Mariusz</w:t>
      </w:r>
      <w:proofErr w:type="spellEnd"/>
      <w:r>
        <w:t xml:space="preserve"> </w:t>
      </w:r>
      <w:proofErr w:type="spellStart"/>
      <w:r>
        <w:t>Kamiński</w:t>
      </w:r>
      <w:proofErr w:type="spellEnd"/>
      <w:r>
        <w:t xml:space="preserve"> bol z uvedených skutkov obvinený 18. apríla 2024; </w:t>
      </w:r>
      <w:r>
        <w:rPr>
          <w:shd w:val="clear" w:color="auto" w:fill="FFFFFF"/>
        </w:rPr>
        <w:t xml:space="preserve">keďže </w:t>
      </w:r>
      <w:proofErr w:type="spellStart"/>
      <w:r>
        <w:t>Mariusz</w:t>
      </w:r>
      <w:proofErr w:type="spellEnd"/>
      <w:r>
        <w:t xml:space="preserve"> </w:t>
      </w:r>
      <w:proofErr w:type="spellStart"/>
      <w:r>
        <w:t>Kamiński</w:t>
      </w:r>
      <w:proofErr w:type="spellEnd"/>
      <w:r>
        <w:rPr>
          <w:shd w:val="clear" w:color="auto" w:fill="FFFFFF"/>
        </w:rPr>
        <w:t xml:space="preserve"> bol zvolený do Európskeho parlamentu v európskych voľbách v júni 2024</w:t>
      </w:r>
      <w:r>
        <w:t>; keďže</w:t>
      </w:r>
      <w:r>
        <w:rPr>
          <w:shd w:val="clear" w:color="auto" w:fill="FFFFFF"/>
        </w:rPr>
        <w:t xml:space="preserve"> </w:t>
      </w:r>
      <w:proofErr w:type="spellStart"/>
      <w:r>
        <w:t>Mariusz</w:t>
      </w:r>
      <w:proofErr w:type="spellEnd"/>
      <w:r>
        <w:t xml:space="preserve"> </w:t>
      </w:r>
      <w:proofErr w:type="spellStart"/>
      <w:r>
        <w:t>Kamiński</w:t>
      </w:r>
      <w:proofErr w:type="spellEnd"/>
      <w:r>
        <w:rPr>
          <w:shd w:val="clear" w:color="auto" w:fill="FFFFFF"/>
        </w:rPr>
        <w:t xml:space="preserve"> nebol v čase spáchania údajného trestného činu poslancom Európskeho parlamentu</w:t>
      </w:r>
      <w:r>
        <w:t>;</w:t>
      </w:r>
    </w:p>
    <w:p>
      <w:pPr>
        <w:pStyle w:val="NormalHanging12a"/>
      </w:pPr>
      <w:r>
        <w:t>D.</w:t>
      </w:r>
      <w:r>
        <w:tab/>
        <w:t xml:space="preserve">keďže údajný trestný čin a následná žiadosť o jeho zbavenie imunity nesúvisia s vyjadreným názorom alebo hlasovaním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pri výkone jeho úloh v zmysle článku 8 Protokolu č. 7 o výsadách a imunitách Európskej únie;</w:t>
      </w:r>
    </w:p>
    <w:p>
      <w:pPr>
        <w:pStyle w:val="NormalHanging12a"/>
      </w:pPr>
      <w:r>
        <w:t>E.</w:t>
      </w:r>
      <w:r>
        <w:tab/>
        <w:t>keďže v článku 9 prvý odsek písm. a) Protokolu č. 7 o výsadách a imunitách Európskej únie sa stanovuje, že poslanci Európskeho parlamentu požívajú na území ich vlastného štátu imunitu priznanú členom ich parlamentu;</w:t>
      </w:r>
    </w:p>
    <w:p>
      <w:pPr>
        <w:pStyle w:val="NormalHanging12a"/>
      </w:pPr>
      <w:r>
        <w:t>F.</w:t>
      </w:r>
      <w:r>
        <w:tab/>
        <w:t xml:space="preserve">keďže v súlade s článkom 105 ods. 2 a 5 poľskej ústavy odo dňa oznámenia výsledkov volieb až do dňa skončenia mandátu nesmie byť poslanec bez súhlasu </w:t>
      </w:r>
      <w:proofErr w:type="spellStart"/>
      <w:r>
        <w:t>Sejmu</w:t>
      </w:r>
      <w:proofErr w:type="spellEnd"/>
      <w:r>
        <w:t xml:space="preserve"> Poľskej republiky trestne stíhaný ani zadržaný či zatknutý s výnimkou prípadov, keď bol zadržaný pri páchaní trestného činu a keď je jeho zadržanie potrebné na účel riadneho priebehu konania;</w:t>
      </w:r>
    </w:p>
    <w:p>
      <w:pPr>
        <w:pStyle w:val="NormalHanging12a"/>
      </w:pPr>
      <w:r>
        <w:t>G.</w:t>
      </w:r>
      <w:r>
        <w:tab/>
        <w:t>keďže účelom poslaneckej imunity je chrániť Európsky parlament a jeho poslancov pred súdnymi konaniami v súvislosti s činnosťami, ktoré sa vykonávajú pri výkone poslaneckých povinností a ktoré nemožno od týchto povinností oddeliť;</w:t>
      </w:r>
    </w:p>
    <w:p>
      <w:pPr>
        <w:pStyle w:val="NormalHanging12a"/>
      </w:pPr>
      <w:r>
        <w:t>H.</w:t>
      </w:r>
      <w:r>
        <w:tab/>
        <w:t>keďže v súlade s článkom 5 ods. 2 rokovacieho poriadku poslanecká imunita nie je osobná výsada poslanca, ale záruka nezávislosti Európskeho parlamentu ako celku a jeho poslancov;</w:t>
      </w:r>
    </w:p>
    <w:p>
      <w:pPr>
        <w:pStyle w:val="NormalHanging12a"/>
      </w:pPr>
      <w:r>
        <w:t>I.</w:t>
      </w:r>
      <w:r>
        <w:tab/>
        <w:t xml:space="preserve">keďže Európsky parlament v tomto prípade nenašiel žiadny dôkaz </w:t>
      </w:r>
      <w:proofErr w:type="spellStart"/>
      <w:r>
        <w:rPr>
          <w:i/>
        </w:rPr>
        <w:t>fumus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persecutionis</w:t>
      </w:r>
      <w:proofErr w:type="spellEnd"/>
      <w:r>
        <w:t>, t. j. skutkové okolnosti, ktoré by naznačovali, že predmetné súdne konanie sa začalo s úmyslom poškodiť politickú činnosť poslanca ako člena Európskeho parlamentu;</w:t>
      </w:r>
    </w:p>
    <w:p>
      <w:pPr>
        <w:pStyle w:val="NormalHanging12a"/>
      </w:pPr>
      <w:r>
        <w:t>J.</w:t>
      </w:r>
      <w:r>
        <w:tab/>
        <w:t xml:space="preserve">keďže na jednej strane Európsky parlament nemožno považovať za súd a na druhej strane poslanec nemôže byť v súvislosti s postupom zbavenia imunity považovaný za </w:t>
      </w:r>
      <w:r>
        <w:lastRenderedPageBreak/>
        <w:t>„obvineného“</w:t>
      </w:r>
      <w:r>
        <w:rPr>
          <w:vertAlign w:val="superscript"/>
        </w:rPr>
        <w:footnoteReference w:id="2"/>
      </w:r>
      <w:r>
        <w:t>;</w:t>
      </w:r>
    </w:p>
    <w:p>
      <w:pPr>
        <w:pStyle w:val="NormalHanging12a"/>
      </w:pPr>
      <w:r>
        <w:t>1.</w:t>
      </w:r>
      <w:r>
        <w:tab/>
        <w:t xml:space="preserve">rozhodol zbaviť </w:t>
      </w:r>
      <w:proofErr w:type="spellStart"/>
      <w:r>
        <w:t>Mariusza</w:t>
      </w:r>
      <w:proofErr w:type="spellEnd"/>
      <w:r>
        <w:t xml:space="preserve"> </w:t>
      </w:r>
      <w:proofErr w:type="spellStart"/>
      <w:r>
        <w:t>Kamińského</w:t>
      </w:r>
      <w:proofErr w:type="spellEnd"/>
      <w:r>
        <w:t xml:space="preserve"> imunity;</w:t>
      </w:r>
    </w:p>
    <w:p>
      <w:pPr>
        <w:pStyle w:val="NormalHanging12a"/>
      </w:pPr>
      <w:r>
        <w:t>2.</w:t>
      </w:r>
      <w:r>
        <w:tab/>
        <w:t xml:space="preserve">poveruje svoju predsedníčku, aby bezodkladne postúpila toto rozhodnutie a správu gestorského výboru príslušným orgánom Poľskej republiky a </w:t>
      </w:r>
      <w:proofErr w:type="spellStart"/>
      <w:r>
        <w:t>Mariuszovi</w:t>
      </w:r>
      <w:proofErr w:type="spellEnd"/>
      <w:r>
        <w:t xml:space="preserve"> </w:t>
      </w:r>
      <w:proofErr w:type="spellStart"/>
      <w:r>
        <w:t>Kamińskému</w:t>
      </w:r>
      <w:proofErr w:type="spellEnd"/>
      <w:r>
        <w:t>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z 21. októbra 2008, </w:t>
      </w:r>
      <w:proofErr w:type="spellStart"/>
      <w:r>
        <w:rPr>
          <w:sz w:val="24"/>
          <w:lang w:val="sk-SK"/>
        </w:rPr>
        <w:t>Marra</w:t>
      </w:r>
      <w:proofErr w:type="spellEnd"/>
      <w:r>
        <w:rPr>
          <w:sz w:val="24"/>
          <w:lang w:val="sk-SK"/>
        </w:rPr>
        <w:t xml:space="preserve">/De </w:t>
      </w:r>
      <w:proofErr w:type="spellStart"/>
      <w:r>
        <w:rPr>
          <w:sz w:val="24"/>
          <w:lang w:val="sk-SK"/>
        </w:rPr>
        <w:t>Gregorio</w:t>
      </w:r>
      <w:proofErr w:type="spellEnd"/>
      <w:r>
        <w:rPr>
          <w:sz w:val="24"/>
          <w:lang w:val="sk-SK"/>
        </w:rPr>
        <w:t xml:space="preserve"> a </w:t>
      </w:r>
      <w:proofErr w:type="spellStart"/>
      <w:r>
        <w:rPr>
          <w:sz w:val="24"/>
          <w:lang w:val="sk-SK"/>
        </w:rPr>
        <w:t>Clemente</w:t>
      </w:r>
      <w:proofErr w:type="spellEnd"/>
      <w:r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>
        <w:rPr>
          <w:sz w:val="24"/>
          <w:lang w:val="sk-SK"/>
        </w:rPr>
        <w:t>Patriciello</w:t>
      </w:r>
      <w:proofErr w:type="spellEnd"/>
      <w:r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T-346/11 a T-347/11, ECLI:EU:T:2013:23; rozsudok Súdneho dvora z 19. decembra 2019, </w:t>
      </w:r>
      <w:proofErr w:type="spellStart"/>
      <w:r>
        <w:rPr>
          <w:sz w:val="24"/>
          <w:lang w:val="sk-SK"/>
        </w:rPr>
        <w:t>Junqueras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Vies</w:t>
      </w:r>
      <w:proofErr w:type="spellEnd"/>
      <w:r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>
        <w:rPr>
          <w:sz w:val="24"/>
          <w:lang w:val="sk-SK"/>
        </w:rPr>
        <w:t>Puigdemont</w:t>
      </w:r>
      <w:proofErr w:type="spellEnd"/>
      <w:r>
        <w:rPr>
          <w:sz w:val="24"/>
          <w:lang w:val="sk-SK"/>
        </w:rPr>
        <w:t xml:space="preserve"> i </w:t>
      </w:r>
      <w:proofErr w:type="spellStart"/>
      <w:r>
        <w:rPr>
          <w:sz w:val="24"/>
          <w:lang w:val="sk-SK"/>
        </w:rPr>
        <w:t>Casamajó</w:t>
      </w:r>
      <w:proofErr w:type="spellEnd"/>
      <w:r>
        <w:rPr>
          <w:sz w:val="24"/>
          <w:lang w:val="sk-SK"/>
        </w:rPr>
        <w:t xml:space="preserve"> a iní/Parlament, T-272/21, ECLI:EU:T:2023:373. 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Všeobecného súdu z 30. apríla 2019, </w:t>
      </w:r>
      <w:proofErr w:type="spellStart"/>
      <w:r>
        <w:rPr>
          <w:sz w:val="24"/>
          <w:lang w:val="sk-SK"/>
        </w:rPr>
        <w:t>Briois</w:t>
      </w:r>
      <w:proofErr w:type="spellEnd"/>
      <w:r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SK"/>
    <w:docVar w:name="dvnumam" w:val="0"/>
    <w:docVar w:name="dvpe" w:val="766.697"/>
    <w:docVar w:name="dvrapporteur" w:val="Spravodajca: "/>
    <w:docVar w:name="dvtitre" w:val="Rozhodnutie Európskeho parlamentu z xx. apríla 2025 o žiadosti o zbavenie Mariusza Kamińského imunity(2024/2046(IMM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5F3C3-2090-4CDB-9882-511100F8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4A804-B4A8-4E99-AEB5-D9BFB24E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2025-04-01T10:45:00Z</dcterms:created>
  <dcterms:modified xsi:type="dcterms:W3CDTF">2025-04-01T10:47:00Z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