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549C" w:rsidTr="0010095E">
        <w:trPr>
          <w:trHeight w:hRule="exact" w:val="1418"/>
        </w:trPr>
        <w:tc>
          <w:tcPr>
            <w:tcW w:w="6804" w:type="dxa"/>
            <w:shd w:val="clear" w:color="auto" w:fill="auto"/>
            <w:vAlign w:val="center"/>
          </w:tcPr>
          <w:p w:rsidR="00751A4A" w:rsidRPr="0037549C" w:rsidRDefault="001C2A9B" w:rsidP="0010095E">
            <w:pPr>
              <w:pStyle w:val="EPName"/>
            </w:pPr>
            <w:r w:rsidRPr="0037549C">
              <w:t>Европейски</w:t>
            </w:r>
            <w:r w:rsidR="00DC3C32" w:rsidRPr="0037549C">
              <w:t xml:space="preserve"> парламент</w:t>
            </w:r>
          </w:p>
          <w:p w:rsidR="00751A4A" w:rsidRPr="0037549C" w:rsidRDefault="005F1B17" w:rsidP="005F1B17">
            <w:pPr>
              <w:pStyle w:val="EPTerm"/>
              <w:rPr>
                <w:rStyle w:val="HideTWBExt"/>
                <w:noProof w:val="0"/>
                <w:vanish w:val="0"/>
                <w:color w:val="auto"/>
              </w:rPr>
            </w:pPr>
            <w:r w:rsidRPr="0037549C">
              <w:t>2024</w:t>
            </w:r>
            <w:r w:rsidR="001C2A9B">
              <w:t> – </w:t>
            </w:r>
            <w:r w:rsidR="00817416" w:rsidRPr="0037549C">
              <w:t>202</w:t>
            </w:r>
            <w:r w:rsidRPr="0037549C">
              <w:t>9</w:t>
            </w:r>
          </w:p>
        </w:tc>
        <w:tc>
          <w:tcPr>
            <w:tcW w:w="2268" w:type="dxa"/>
            <w:shd w:val="clear" w:color="auto" w:fill="auto"/>
          </w:tcPr>
          <w:p w:rsidR="00751A4A" w:rsidRPr="0037549C" w:rsidRDefault="00187494" w:rsidP="0010095E">
            <w:pPr>
              <w:pStyle w:val="EPLogo"/>
            </w:pPr>
            <w:r w:rsidRPr="003754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549C" w:rsidRDefault="00D058B8" w:rsidP="004C5D52">
      <w:pPr>
        <w:pStyle w:val="LineTop"/>
      </w:pPr>
    </w:p>
    <w:p w:rsidR="00680577" w:rsidRPr="0037549C" w:rsidRDefault="00DC3C32" w:rsidP="00680577">
      <w:pPr>
        <w:pStyle w:val="EPBodyTA1"/>
      </w:pPr>
      <w:r w:rsidRPr="0037549C">
        <w:t>ПРИЕТИ ТЕКСТОВЕ</w:t>
      </w:r>
    </w:p>
    <w:p w:rsidR="00D058B8" w:rsidRPr="0037549C" w:rsidRDefault="00D058B8" w:rsidP="00D058B8">
      <w:pPr>
        <w:pStyle w:val="LineBottom"/>
      </w:pPr>
    </w:p>
    <w:p w:rsidR="00DC3C32" w:rsidRPr="0037549C" w:rsidRDefault="00DC3C32" w:rsidP="00DC3C32">
      <w:pPr>
        <w:pStyle w:val="ATHeading1"/>
      </w:pPr>
      <w:bookmarkStart w:id="0" w:name="TANumber"/>
      <w:r w:rsidRPr="0037549C">
        <w:t>P10_TA(2025)00</w:t>
      </w:r>
      <w:r w:rsidR="00FD0ED8">
        <w:t>46</w:t>
      </w:r>
      <w:bookmarkEnd w:id="0"/>
    </w:p>
    <w:p w:rsidR="00DC3C32" w:rsidRPr="0037549C" w:rsidRDefault="00DC3C32" w:rsidP="00DC3C32">
      <w:pPr>
        <w:pStyle w:val="ATHeading2"/>
      </w:pPr>
      <w:bookmarkStart w:id="1" w:name="title"/>
      <w:r w:rsidRPr="0037549C">
        <w:t>Прехвърляне на научни и технически задачи на Европейската агенция по химикали</w:t>
      </w:r>
      <w:bookmarkEnd w:id="1"/>
    </w:p>
    <w:p w:rsidR="00DC3C32" w:rsidRPr="0037549C" w:rsidRDefault="00DC3C32" w:rsidP="00DC3C32">
      <w:pPr>
        <w:rPr>
          <w:i/>
          <w:vanish/>
        </w:rPr>
      </w:pPr>
      <w:r w:rsidRPr="0037549C">
        <w:rPr>
          <w:i/>
        </w:rPr>
        <w:fldChar w:fldCharType="begin"/>
      </w:r>
      <w:r w:rsidRPr="0037549C">
        <w:rPr>
          <w:i/>
        </w:rPr>
        <w:instrText xml:space="preserve"> TC"(</w:instrText>
      </w:r>
      <w:bookmarkStart w:id="2" w:name="DocNumber"/>
      <w:r w:rsidRPr="0037549C">
        <w:rPr>
          <w:i/>
        </w:rPr>
        <w:instrText>A10-0019/2025</w:instrText>
      </w:r>
      <w:bookmarkEnd w:id="2"/>
      <w:r w:rsidRPr="0037549C">
        <w:rPr>
          <w:i/>
        </w:rPr>
        <w:instrText xml:space="preserve"> - Докладчик: Димитрис </w:instrText>
      </w:r>
      <w:proofErr w:type="spellStart"/>
      <w:r w:rsidRPr="0037549C">
        <w:rPr>
          <w:i/>
        </w:rPr>
        <w:instrText>Циодрас</w:instrText>
      </w:r>
      <w:proofErr w:type="spellEnd"/>
      <w:r w:rsidRPr="0037549C">
        <w:rPr>
          <w:i/>
        </w:rPr>
        <w:instrText xml:space="preserve">)"\l3 \n&gt; \* MERGEFORMAT </w:instrText>
      </w:r>
      <w:r w:rsidRPr="0037549C">
        <w:rPr>
          <w:i/>
        </w:rPr>
        <w:fldChar w:fldCharType="end"/>
      </w:r>
    </w:p>
    <w:p w:rsidR="00DC3C32" w:rsidRPr="0037549C" w:rsidRDefault="00DC3C32" w:rsidP="00DC3C32">
      <w:pPr>
        <w:rPr>
          <w:vanish/>
        </w:rPr>
      </w:pPr>
      <w:bookmarkStart w:id="3" w:name="Commission"/>
      <w:r w:rsidRPr="0037549C">
        <w:rPr>
          <w:vanish/>
        </w:rPr>
        <w:t>Комисия по околна среда, климат и безопасност на храните</w:t>
      </w:r>
      <w:bookmarkEnd w:id="3"/>
    </w:p>
    <w:p w:rsidR="00DC3C32" w:rsidRPr="0037549C" w:rsidRDefault="00DC3C32" w:rsidP="00DC3C32">
      <w:pPr>
        <w:rPr>
          <w:vanish/>
        </w:rPr>
      </w:pPr>
      <w:bookmarkStart w:id="4" w:name="PE"/>
      <w:r w:rsidRPr="0037549C">
        <w:rPr>
          <w:vanish/>
        </w:rPr>
        <w:t>PE763.254</w:t>
      </w:r>
      <w:bookmarkEnd w:id="4"/>
    </w:p>
    <w:p w:rsidR="00DC3C32" w:rsidRPr="0037549C" w:rsidRDefault="00FD0ED8" w:rsidP="00FD0ED8">
      <w:pPr>
        <w:pStyle w:val="ATHeading3"/>
      </w:pPr>
      <w:bookmarkStart w:id="5" w:name="Sujet"/>
      <w:r>
        <w:t>Изменения, приети от</w:t>
      </w:r>
      <w:r w:rsidR="00DC3C32" w:rsidRPr="0037549C">
        <w:t xml:space="preserve"> Европейския парламент </w:t>
      </w:r>
      <w:r>
        <w:t>на</w:t>
      </w:r>
      <w:r w:rsidR="00DC3C32" w:rsidRPr="0037549C">
        <w:t xml:space="preserve"> </w:t>
      </w:r>
      <w:r w:rsidR="001C2A9B">
        <w:t>1 април</w:t>
      </w:r>
      <w:r w:rsidR="001C2A9B" w:rsidRPr="0037549C">
        <w:t xml:space="preserve"> </w:t>
      </w:r>
      <w:r w:rsidR="00DC3C32" w:rsidRPr="0037549C">
        <w:t xml:space="preserve">2025 г. </w:t>
      </w:r>
      <w:r>
        <w:t>към</w:t>
      </w:r>
      <w:r w:rsidR="00DC3C32" w:rsidRPr="0037549C">
        <w:t xml:space="preserve"> предложението за директива на Европейския парламент и на Съвета за изменение на Директива 2011/65/ЕС на Европейския парламент и на Съвета по отношение на прехвърлянето на научни и технически задачи на Европейската агенция по химикали</w:t>
      </w:r>
      <w:bookmarkEnd w:id="5"/>
      <w:r w:rsidR="00DC3C32" w:rsidRPr="0037549C">
        <w:t xml:space="preserve"> </w:t>
      </w:r>
      <w:bookmarkStart w:id="6" w:name="References"/>
      <w:r w:rsidR="00DC3C32" w:rsidRPr="0037549C">
        <w:t>(COM(2023)0781 – C9-0448/2023 – 2023/0454(COD))</w:t>
      </w:r>
      <w:bookmarkEnd w:id="6"/>
      <w:r w:rsidRPr="00FD0ED8">
        <w:rPr>
          <w:vertAlign w:val="superscript"/>
        </w:rPr>
        <w:footnoteReference w:id="1"/>
      </w:r>
    </w:p>
    <w:p w:rsidR="00007EE4" w:rsidRPr="0037549C" w:rsidRDefault="00007EE4" w:rsidP="00007EE4">
      <w:pPr>
        <w:pStyle w:val="NormalBold"/>
      </w:pPr>
      <w:r w:rsidRPr="0037549C">
        <w:t>(Обикновена законодателна процедура: първо четене)</w:t>
      </w:r>
    </w:p>
    <w:p w:rsidR="00007EE4" w:rsidRPr="0037549C" w:rsidRDefault="00007EE4" w:rsidP="00007EE4"/>
    <w:p w:rsidR="005D0051" w:rsidRDefault="005D0051">
      <w:pPr>
        <w:widowControl/>
      </w:pPr>
      <w:r>
        <w:br w:type="page"/>
      </w:r>
    </w:p>
    <w:p w:rsidR="00007EE4" w:rsidRPr="0037549C" w:rsidRDefault="00007EE4" w:rsidP="00007EE4">
      <w:pPr>
        <w:pStyle w:val="AmNumberTabs"/>
      </w:pPr>
      <w:r w:rsidRPr="0037549C">
        <w:lastRenderedPageBreak/>
        <w:t>Изменение</w:t>
      </w:r>
      <w:r w:rsidRPr="0037549C">
        <w:tab/>
      </w:r>
      <w:r w:rsidRPr="0037549C">
        <w:tab/>
        <w:t>1</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Съображение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(1)</w:t>
            </w:r>
            <w:r w:rsidRPr="0037549C">
              <w:tab/>
              <w:t>В своето съобщение „Европейският зелен пакт“</w:t>
            </w:r>
            <w:r w:rsidRPr="0037549C">
              <w:rPr>
                <w:vertAlign w:val="superscript"/>
              </w:rPr>
              <w:t>2</w:t>
            </w:r>
            <w:r w:rsidRPr="0037549C">
              <w:t xml:space="preserve"> Комисията си постави за цел оценките на безопасността на химично вещество да бъдат прехвърлени към процеса „едно вещество — една оценка“, като призова за по-прозрачни и по-опростени процеси на оценка на риска, за да се намали тежестта върху всички заинтересовани страни, да се ускори вземането на решения, както и да се увеличат съгласуваността и предвидимостта на научните решения и становища. В своето съобщение относно Стратегията за устойчивост на химикалите</w:t>
            </w:r>
            <w:r w:rsidRPr="0037549C">
              <w:rPr>
                <w:vertAlign w:val="superscript"/>
              </w:rPr>
              <w:t>3</w:t>
            </w:r>
            <w:r w:rsidRPr="0037549C">
              <w:t xml:space="preserve"> Комисията стига до заключението, че за постигането на тази цел част от научната и техническата работа в областта на химикалите, извършвана на равнището на Съюза в подкрепа на законодателството на Съюза, трябва да бъде прехвърлена на най-подходящите агенции на Съюза. Това би опростило сегашната структура, би подобрило качеството и съгласуваността на оценките на безопасността, заложени в законодателството на Съюза, и би осигурило по-ефикасно използване на съществуващите ресурси.</w:t>
            </w:r>
          </w:p>
        </w:tc>
        <w:tc>
          <w:tcPr>
            <w:tcW w:w="4876" w:type="dxa"/>
            <w:hideMark/>
          </w:tcPr>
          <w:p w:rsidR="00007EE4" w:rsidRPr="0037549C" w:rsidRDefault="00007EE4" w:rsidP="00EB78CD">
            <w:pPr>
              <w:pStyle w:val="Normal6"/>
              <w:rPr>
                <w:szCs w:val="24"/>
              </w:rPr>
            </w:pPr>
            <w:r w:rsidRPr="0037549C">
              <w:t>(1)</w:t>
            </w:r>
            <w:r w:rsidRPr="0037549C">
              <w:tab/>
              <w:t>В своето съобщение „Европейският зелен пакт“</w:t>
            </w:r>
            <w:r w:rsidRPr="0037549C">
              <w:rPr>
                <w:vertAlign w:val="superscript"/>
              </w:rPr>
              <w:t>2</w:t>
            </w:r>
            <w:r w:rsidRPr="0037549C">
              <w:t xml:space="preserve"> Комисията си постави за цел оценките на безопасността на химично вещество да бъдат прехвърлени към процеса „едно вещество — една оценка“, като призова за по-прозрачни и по-опростени процеси на оценка на риска, за да се намали тежестта върху всички заинтересовани страни, да се ускори вземането на решения, както и да се увеличат съгласуваността и предвидимостта на научните решения и становища. В своето съобщение относно Стратегията за устойчивост на химикалите</w:t>
            </w:r>
            <w:r w:rsidRPr="0037549C">
              <w:rPr>
                <w:vertAlign w:val="superscript"/>
              </w:rPr>
              <w:t>3</w:t>
            </w:r>
            <w:r w:rsidRPr="0037549C">
              <w:t xml:space="preserve"> Комисията стига до заключението, че за постигането на тази цел част от научната и техническата работа в областта на химикалите, извършвана на равнището на Съюза в подкрепа на законодателството на Съюза, трябва да бъде прехвърлена на най-подходящите агенции на Съюза. Това би опростило сегашната структура, би подобрило качеството и съгласуваността на оценките на безопасността, заложени в законодателството на Съюза, и би осигурило по-ефикасно използване на съществуващите ресурси. </w:t>
            </w:r>
            <w:r w:rsidRPr="0037549C">
              <w:rPr>
                <w:b/>
                <w:i/>
              </w:rPr>
              <w:t>Очаква се този подход да насърчи също така разходната ефективност и конкурентоспособността чрез опростяване на регулаторните процедури и намаляване на административната тежест, като гарантира, че предприятията могат да се адаптират ефективно към променящите се регулаторни рамки.</w:t>
            </w:r>
          </w:p>
        </w:tc>
      </w:tr>
      <w:tr w:rsidR="00007EE4" w:rsidRPr="0037549C" w:rsidTr="00EB78CD">
        <w:trPr>
          <w:jc w:val="center"/>
        </w:trPr>
        <w:tc>
          <w:tcPr>
            <w:tcW w:w="4876" w:type="dxa"/>
            <w:hideMark/>
          </w:tcPr>
          <w:p w:rsidR="00007EE4" w:rsidRPr="0037549C" w:rsidRDefault="00007EE4" w:rsidP="00EB78CD">
            <w:pPr>
              <w:pStyle w:val="Normal6"/>
            </w:pPr>
            <w:r w:rsidRPr="0037549C">
              <w:t>__________________</w:t>
            </w:r>
          </w:p>
        </w:tc>
        <w:tc>
          <w:tcPr>
            <w:tcW w:w="4876" w:type="dxa"/>
            <w:hideMark/>
          </w:tcPr>
          <w:p w:rsidR="00007EE4" w:rsidRPr="0037549C" w:rsidRDefault="00007EE4" w:rsidP="00EB78CD">
            <w:pPr>
              <w:pStyle w:val="Normal6"/>
              <w:rPr>
                <w:szCs w:val="24"/>
              </w:rPr>
            </w:pPr>
            <w:r w:rsidRPr="0037549C">
              <w:t>__________________</w:t>
            </w:r>
          </w:p>
        </w:tc>
      </w:tr>
      <w:tr w:rsidR="00007EE4" w:rsidRPr="0037549C" w:rsidTr="00EB78CD">
        <w:trPr>
          <w:jc w:val="center"/>
        </w:trPr>
        <w:tc>
          <w:tcPr>
            <w:tcW w:w="4876" w:type="dxa"/>
            <w:hideMark/>
          </w:tcPr>
          <w:p w:rsidR="00007EE4" w:rsidRPr="0037549C" w:rsidRDefault="00007EE4" w:rsidP="00EB78CD">
            <w:pPr>
              <w:pStyle w:val="Normal6"/>
            </w:pPr>
            <w:r w:rsidRPr="0037549C">
              <w:rPr>
                <w:vertAlign w:val="superscript"/>
              </w:rPr>
              <w:t>2</w:t>
            </w:r>
            <w:r w:rsidRPr="0037549C">
              <w:t xml:space="preserve"> Съобщение на Комисията до Европейския парламент, Европейския съвет, Съвета, Европейския икономически и социален комитет и </w:t>
            </w:r>
            <w:r w:rsidRPr="0037549C">
              <w:lastRenderedPageBreak/>
              <w:t>Комитета на регионите: „Европейският зелен пакт“, (COM(2019) 640 </w:t>
            </w:r>
            <w:proofErr w:type="spellStart"/>
            <w:r w:rsidRPr="0037549C">
              <w:t>final</w:t>
            </w:r>
            <w:proofErr w:type="spellEnd"/>
            <w:r w:rsidRPr="0037549C">
              <w:t xml:space="preserve"> от 11 декември 2019 г.)</w:t>
            </w:r>
          </w:p>
        </w:tc>
        <w:tc>
          <w:tcPr>
            <w:tcW w:w="4876" w:type="dxa"/>
            <w:hideMark/>
          </w:tcPr>
          <w:p w:rsidR="00007EE4" w:rsidRPr="0037549C" w:rsidRDefault="00007EE4" w:rsidP="00EB78CD">
            <w:pPr>
              <w:pStyle w:val="Normal6"/>
              <w:rPr>
                <w:szCs w:val="24"/>
              </w:rPr>
            </w:pPr>
            <w:r w:rsidRPr="0037549C">
              <w:rPr>
                <w:vertAlign w:val="superscript"/>
              </w:rPr>
              <w:lastRenderedPageBreak/>
              <w:t>2</w:t>
            </w:r>
            <w:r w:rsidRPr="0037549C">
              <w:t xml:space="preserve"> Съобщение на Комисията до Европейския парламент, Европейския съвет, Съвета, Европейския икономически и социален комитет и </w:t>
            </w:r>
            <w:r w:rsidRPr="0037549C">
              <w:lastRenderedPageBreak/>
              <w:t>Комитета на регионите: „Европейският зелен пакт“, (COM(2019) 640 </w:t>
            </w:r>
            <w:proofErr w:type="spellStart"/>
            <w:r w:rsidRPr="0037549C">
              <w:t>final</w:t>
            </w:r>
            <w:proofErr w:type="spellEnd"/>
            <w:r w:rsidRPr="0037549C">
              <w:t xml:space="preserve"> от 11 декември 2019 г.)</w:t>
            </w:r>
          </w:p>
        </w:tc>
      </w:tr>
      <w:tr w:rsidR="00007EE4" w:rsidRPr="0037549C" w:rsidTr="00EB78CD">
        <w:trPr>
          <w:jc w:val="center"/>
        </w:trPr>
        <w:tc>
          <w:tcPr>
            <w:tcW w:w="4876" w:type="dxa"/>
            <w:hideMark/>
          </w:tcPr>
          <w:p w:rsidR="00007EE4" w:rsidRPr="0037549C" w:rsidRDefault="00007EE4" w:rsidP="00EB78CD">
            <w:pPr>
              <w:pStyle w:val="Normal6"/>
            </w:pPr>
            <w:r w:rsidRPr="0037549C">
              <w:rPr>
                <w:vertAlign w:val="superscript"/>
              </w:rPr>
              <w:lastRenderedPageBreak/>
              <w:t xml:space="preserve">3 </w:t>
            </w:r>
            <w:r w:rsidRPr="0037549C">
              <w:t xml:space="preserve">Съобщение на Комисията до Европейския парламент, Съвета, Европейския икономически и социален комитет и Комитета на регионите: „Стратегия за устойчивост в областта на химикалите. Към нетоксична околна среда“, (COM(2020) 667 </w:t>
            </w:r>
            <w:proofErr w:type="spellStart"/>
            <w:r w:rsidRPr="0037549C">
              <w:t>final</w:t>
            </w:r>
            <w:proofErr w:type="spellEnd"/>
            <w:r w:rsidRPr="0037549C">
              <w:t xml:space="preserve"> от 14 октомври 2020 г.)</w:t>
            </w:r>
          </w:p>
        </w:tc>
        <w:tc>
          <w:tcPr>
            <w:tcW w:w="4876" w:type="dxa"/>
            <w:hideMark/>
          </w:tcPr>
          <w:p w:rsidR="00007EE4" w:rsidRPr="0037549C" w:rsidRDefault="00007EE4" w:rsidP="00EB78CD">
            <w:pPr>
              <w:pStyle w:val="Normal6"/>
              <w:rPr>
                <w:szCs w:val="24"/>
              </w:rPr>
            </w:pPr>
            <w:r w:rsidRPr="0037549C">
              <w:rPr>
                <w:vertAlign w:val="superscript"/>
              </w:rPr>
              <w:t xml:space="preserve">3 </w:t>
            </w:r>
            <w:r w:rsidRPr="0037549C">
              <w:t xml:space="preserve">Съобщение на Комисията до Европейския парламент, Съвета, Европейския икономически и социален комитет и Комитета на регионите: „Стратегия за устойчивост в областта на химикалите. Към нетоксична околна среда“, (COM(2020) 667 </w:t>
            </w:r>
            <w:proofErr w:type="spellStart"/>
            <w:r w:rsidRPr="0037549C">
              <w:t>final</w:t>
            </w:r>
            <w:proofErr w:type="spellEnd"/>
            <w:r w:rsidRPr="0037549C">
              <w:t xml:space="preserve"> от 14 октомври 2020 г.)</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2</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Съображение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(2)</w:t>
            </w:r>
            <w:r w:rsidRPr="0037549C">
              <w:tab/>
              <w:t>Прехвърлянето на някои научни и технически задачи на Европейската агенция по химикали е необходимо, за да се приведат процесите и равнищата на научен контрол и цифровизация в съответствие с действащите стандарти и процеси на Европейската агенция по химикали. Това е необходимо и с цел да се осигури съгласуван стандарт за научно качество, прозрачност, възможност за търсене на данни и оперативна съвместимост в съответствие с амбицията за „едно вещество — една оценка“.</w:t>
            </w:r>
          </w:p>
        </w:tc>
        <w:tc>
          <w:tcPr>
            <w:tcW w:w="4876" w:type="dxa"/>
            <w:hideMark/>
          </w:tcPr>
          <w:p w:rsidR="00007EE4" w:rsidRPr="0037549C" w:rsidRDefault="00007EE4" w:rsidP="00EB78CD">
            <w:pPr>
              <w:pStyle w:val="Normal6"/>
              <w:rPr>
                <w:szCs w:val="24"/>
              </w:rPr>
            </w:pPr>
            <w:r w:rsidRPr="0037549C">
              <w:t>(2)</w:t>
            </w:r>
            <w:r w:rsidRPr="0037549C">
              <w:tab/>
              <w:t xml:space="preserve">Прехвърлянето на някои научни и технически задачи на Европейската агенция по химикали е необходимо, за да се приведат процесите и равнищата на научен контрол и цифровизация в съответствие с действащите стандарти и процеси на Европейската агенция по химикали. Това е необходимо и с цел да се осигури съгласуван стандарт за научно качество, прозрачност, възможност за търсене на данни и оперативна съвместимост в съответствие с амбицията за „едно вещество — една оценка“. </w:t>
            </w:r>
            <w:r w:rsidRPr="0037549C">
              <w:rPr>
                <w:b/>
                <w:i/>
              </w:rPr>
              <w:t>Освен това цифровизацията и рационализираните процеси ще намалят дублирането на усилия и административните забавяния, което ще доведе до значителни икономии на разходи и повишаване на ефективността както за държавите членки, така и за икономическите оператори.</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3</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Съображение 6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(6a)</w:t>
            </w:r>
            <w:r w:rsidRPr="0037549C">
              <w:rPr>
                <w:b/>
                <w:i/>
              </w:rPr>
              <w:tab/>
              <w:t>Списъкът на ограничените вещества, посочен в Директива 2011/65/ЕС, следва да се преразглежда периодично, за да се гарантира високо ниво на защита на човешкото здраве, околната среда и безопасността на потребителите. Целесъобразно е да се определи период за преглед от най-малко 36 месеца, като се вземат предвид развитието на пазара и техническият и научният напредък, както и фактът, че досиетата за ограничаване могат да бъдат подавани от държавите членки по всяко време и могат да бъдат започнати и приети хоризонтални ограничителни мерки съгласно Регламент (ЕО) № 1907/2006, Регламент (ЕС) 2019/1021 или друго законодателство на Съюза относно критериите за устойчивост на опасни вещества и химикали.</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4</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(8)</w:t>
            </w:r>
            <w:r w:rsidRPr="0037549C">
              <w:tab/>
              <w:t xml:space="preserve">За да бъдат изменени процедурните разпоредби по Директива 2011/65/ЕС, е необходим преходен период от </w:t>
            </w:r>
            <w:r w:rsidRPr="0037549C">
              <w:rPr>
                <w:b/>
                <w:i/>
              </w:rPr>
              <w:t>12</w:t>
            </w:r>
            <w:r w:rsidRPr="0037549C">
              <w:t> месеца, за да се даде възможност за подходящо разпределение на ресурсите и задачите на Европейската агенция по химикали. Този срок се смята за достатъчен, за да се даде възможност на потенциалните заявители или на държавите членки да се приспособят към променените процедурни стъпки съгласно посочената директива.</w:t>
            </w:r>
          </w:p>
        </w:tc>
        <w:tc>
          <w:tcPr>
            <w:tcW w:w="4876" w:type="dxa"/>
            <w:hideMark/>
          </w:tcPr>
          <w:p w:rsidR="00007EE4" w:rsidRPr="0037549C" w:rsidRDefault="00007EE4" w:rsidP="00EB78CD">
            <w:pPr>
              <w:pStyle w:val="Normal6"/>
              <w:rPr>
                <w:szCs w:val="24"/>
              </w:rPr>
            </w:pPr>
            <w:r w:rsidRPr="0037549C">
              <w:t>(8)</w:t>
            </w:r>
            <w:r w:rsidRPr="0037549C">
              <w:tab/>
              <w:t xml:space="preserve">За да бъдат изменени процедурните разпоредби по Директива 2011/65/ЕС, е необходим преходен период от </w:t>
            </w:r>
            <w:r w:rsidRPr="0037549C">
              <w:rPr>
                <w:b/>
                <w:i/>
              </w:rPr>
              <w:t>18</w:t>
            </w:r>
            <w:r w:rsidRPr="0037549C">
              <w:t> месеца, за да се даде възможност за подходящо разпределение на ресурсите и задачите на Европейската агенция по химикали. Този срок се смята за достатъчен, за да се даде възможност на потенциалните заявители или на държавите членки да се приспособят към променените процедурни стъпки съгласно посочената директива.</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5</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1 – буква а</w:t>
      </w:r>
    </w:p>
    <w:p w:rsidR="00007EE4" w:rsidRPr="0037549C" w:rsidRDefault="00007EE4" w:rsidP="00007EE4">
      <w:pPr>
        <w:keepNext/>
      </w:pPr>
      <w:r w:rsidRPr="0037549C">
        <w:t>Директива 2011/65/ЕС</w:t>
      </w:r>
    </w:p>
    <w:p w:rsidR="00007EE4" w:rsidRPr="0037549C" w:rsidRDefault="00007EE4" w:rsidP="00007EE4">
      <w:r w:rsidRPr="0037549C">
        <w:t>Член 5 – параграф 4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 xml:space="preserve">Когато заявителят не допълни заявлението с установените от Агенцията липсващи елементи съгласно приложение V в рамките на крайния срок, определен в съответствие с първа алинея, буква в), агенцията </w:t>
            </w:r>
            <w:r w:rsidRPr="0037549C">
              <w:rPr>
                <w:b/>
                <w:i/>
              </w:rPr>
              <w:t>може да отхвърли</w:t>
            </w:r>
            <w:r w:rsidRPr="0037549C">
              <w:t xml:space="preserve"> такова заявление. Агенцията определя и съобщава на заявителя без ненужно забавяне датата, на която заявлението е сметнато за пълно.</w:t>
            </w:r>
          </w:p>
        </w:tc>
        <w:tc>
          <w:tcPr>
            <w:tcW w:w="4876" w:type="dxa"/>
            <w:hideMark/>
          </w:tcPr>
          <w:p w:rsidR="00007EE4" w:rsidRPr="0037549C" w:rsidRDefault="00007EE4" w:rsidP="00EB78CD">
            <w:pPr>
              <w:pStyle w:val="Normal6"/>
              <w:rPr>
                <w:szCs w:val="24"/>
              </w:rPr>
            </w:pPr>
            <w:r w:rsidRPr="0037549C">
              <w:t xml:space="preserve">Когато заявителят не допълни заявлението с установените от Агенцията липсващи елементи съгласно приложение V в рамките на крайния срок, определен в съответствие с първа алинея, буква в), агенцията </w:t>
            </w:r>
            <w:r w:rsidRPr="0037549C">
              <w:rPr>
                <w:b/>
                <w:i/>
              </w:rPr>
              <w:t>отхвърля</w:t>
            </w:r>
            <w:r w:rsidRPr="0037549C">
              <w:t xml:space="preserve"> такова заявление. Агенцията определя и съобщава на заявителя без ненужно забавяне датата, на която заявлението е сметнато за пълно.</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6</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1 – буква б</w:t>
      </w:r>
    </w:p>
    <w:p w:rsidR="00007EE4" w:rsidRPr="0037549C" w:rsidRDefault="00007EE4" w:rsidP="00007EE4">
      <w:pPr>
        <w:keepNext/>
      </w:pPr>
      <w:r w:rsidRPr="0037549C">
        <w:t>Директива 2011/65/ЕС</w:t>
      </w:r>
    </w:p>
    <w:p w:rsidR="00007EE4" w:rsidRPr="0037549C" w:rsidRDefault="00007EE4" w:rsidP="00007EE4">
      <w:r w:rsidRPr="0037549C">
        <w:t>Член 5 – параграф 4а – алинея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Агенцията определя кои части от нейните становища и от приложенията към тях, ако има такива, следва да бъдат направени обществено достояние на нейния уебсайт и прави тези части публично достъпни на своя уебсайт.</w:t>
            </w:r>
          </w:p>
        </w:tc>
        <w:tc>
          <w:tcPr>
            <w:tcW w:w="4876" w:type="dxa"/>
            <w:hideMark/>
          </w:tcPr>
          <w:p w:rsidR="00007EE4" w:rsidRPr="0037549C" w:rsidRDefault="00007EE4" w:rsidP="00EB78CD">
            <w:pPr>
              <w:pStyle w:val="Normal6"/>
              <w:rPr>
                <w:szCs w:val="24"/>
              </w:rPr>
            </w:pPr>
            <w:r w:rsidRPr="0037549C">
              <w:t>Агенцията определя кои части от нейните становища и от приложенията към тях, ако има такива, следва да бъдат направени обществено достояние на нейния уебсайт и прави тези части публично достъпни на своя уебсайт</w:t>
            </w:r>
            <w:r w:rsidRPr="0037549C">
              <w:rPr>
                <w:b/>
                <w:i/>
              </w:rPr>
              <w:t>, в т.ч. всички искания, отправени в съответствие с втора алинея, буква в)</w:t>
            </w:r>
            <w:r w:rsidRPr="0037549C">
              <w:t>.</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7</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1 – буква б а (нова)</w:t>
      </w:r>
    </w:p>
    <w:p w:rsidR="00007EE4" w:rsidRPr="0037549C" w:rsidRDefault="00007EE4" w:rsidP="00007EE4">
      <w:pPr>
        <w:keepNext/>
      </w:pPr>
      <w:r w:rsidRPr="0037549C">
        <w:t>Директива 2011/65/ЕС</w:t>
      </w:r>
    </w:p>
    <w:p w:rsidR="00007EE4" w:rsidRPr="0037549C" w:rsidRDefault="00007EE4" w:rsidP="00007EE4">
      <w:r w:rsidRPr="0037549C">
        <w:t>Член 5 – параграф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в сила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ба)</w:t>
            </w:r>
            <w:r w:rsidRPr="0037549C">
              <w:rPr>
                <w:b/>
                <w:i/>
              </w:rPr>
              <w:tab/>
              <w:t xml:space="preserve">параграф 5 се заменя със </w:t>
            </w:r>
            <w:r w:rsidRPr="0037549C">
              <w:rPr>
                <w:b/>
                <w:i/>
              </w:rPr>
              <w:lastRenderedPageBreak/>
              <w:t>следното:</w:t>
            </w:r>
          </w:p>
        </w:tc>
      </w:tr>
      <w:tr w:rsidR="00007EE4" w:rsidRPr="0037549C" w:rsidTr="00EB78CD">
        <w:trPr>
          <w:jc w:val="center"/>
        </w:trPr>
        <w:tc>
          <w:tcPr>
            <w:tcW w:w="4876" w:type="dxa"/>
            <w:hideMark/>
          </w:tcPr>
          <w:p w:rsidR="00007EE4" w:rsidRPr="0037549C" w:rsidRDefault="00007EE4" w:rsidP="00EB78CD">
            <w:pPr>
              <w:pStyle w:val="Normal6"/>
            </w:pPr>
            <w:r w:rsidRPr="0037549C">
              <w:lastRenderedPageBreak/>
              <w:t>5. Заявлението за подновяване на освобождаване се подава не по-късно от 18 месеца преди изтичането на правото на освобождаване. До вземането на решение от Комисията относно заявлението за подновяване съществуващото право на освобождаване продължава да бъде в сила при всички случаи.</w:t>
            </w:r>
          </w:p>
        </w:tc>
        <w:tc>
          <w:tcPr>
            <w:tcW w:w="4876" w:type="dxa"/>
            <w:hideMark/>
          </w:tcPr>
          <w:p w:rsidR="00007EE4" w:rsidRPr="0037549C" w:rsidRDefault="00007EE4" w:rsidP="00EB78CD">
            <w:pPr>
              <w:pStyle w:val="Normal6"/>
              <w:rPr>
                <w:szCs w:val="24"/>
              </w:rPr>
            </w:pPr>
            <w:r w:rsidRPr="0037549C">
              <w:t xml:space="preserve">„5. Заявлението за подновяване на освобождаване се подава не по-късно от 18 месеца преди изтичането на правото на освобождаване. </w:t>
            </w:r>
            <w:r w:rsidRPr="0037549C">
              <w:rPr>
                <w:b/>
                <w:i/>
              </w:rPr>
              <w:t xml:space="preserve">Комисията приема решението по заявлението в срок от шест месеца от получаването на становищата на Агенцията. </w:t>
            </w:r>
            <w:r w:rsidRPr="0037549C">
              <w:t>До вземането на решение от Комисията относно заявлението за подновяване съществуващото право на освобождаване продължава да бъде в сила при всички случаи.</w:t>
            </w:r>
            <w:r w:rsidRPr="0037549C">
              <w:rPr>
                <w:b/>
                <w:i/>
              </w:rPr>
              <w:t>“</w:t>
            </w:r>
          </w:p>
        </w:tc>
      </w:tr>
    </w:tbl>
    <w:p w:rsidR="00007EE4" w:rsidRPr="0037549C" w:rsidRDefault="00007EE4" w:rsidP="00007EE4">
      <w:pPr>
        <w:pStyle w:val="CrossRef"/>
      </w:pPr>
      <w:bookmarkStart w:id="7" w:name="_GoBack"/>
      <w:bookmarkEnd w:id="7"/>
    </w:p>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8</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а</w:t>
      </w:r>
    </w:p>
    <w:p w:rsidR="00007EE4" w:rsidRPr="0037549C" w:rsidRDefault="00007EE4" w:rsidP="00007EE4">
      <w:pPr>
        <w:keepNext/>
      </w:pPr>
      <w:r w:rsidRPr="0037549C">
        <w:t>Директива 2011/65/ЕС</w:t>
      </w:r>
    </w:p>
    <w:p w:rsidR="00007EE4" w:rsidRPr="0037549C" w:rsidRDefault="00007EE4" w:rsidP="00007EE4">
      <w:r w:rsidRPr="0037549C">
        <w:t>Член 6 – параграф 1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„С цел постигане на целите, определени в член 1, и като се вземе предвид принципът на предпазните мерки, Комисията взема решение за преразглеждане въз основа на обстойна оценка, както и за изменение на списъка на ограничените вещества в приложение II, периодично по собствена инициатива или след представяне на досие за ограничения, изготвено от държава членка и съдържащо информацията, посочена в параграф 2.“;</w:t>
            </w:r>
          </w:p>
        </w:tc>
        <w:tc>
          <w:tcPr>
            <w:tcW w:w="4876" w:type="dxa"/>
            <w:hideMark/>
          </w:tcPr>
          <w:p w:rsidR="00007EE4" w:rsidRPr="0037549C" w:rsidRDefault="00007EE4" w:rsidP="00EB78CD">
            <w:pPr>
              <w:pStyle w:val="Normal6"/>
              <w:rPr>
                <w:szCs w:val="24"/>
              </w:rPr>
            </w:pPr>
            <w:r w:rsidRPr="0037549C">
              <w:t xml:space="preserve">„За постигане на целите, определени в член 1, и като се вземе предвид принципът на предпазните мерки, Комисията взема решение за преразглеждане въз основа на обстойна оценка, както и за изменение на списъка на ограничените вещества в приложение II, периодично </w:t>
            </w:r>
            <w:r w:rsidRPr="0037549C">
              <w:rPr>
                <w:b/>
                <w:i/>
              </w:rPr>
              <w:t>и най-малко веднъж на всеки 36 месеца</w:t>
            </w:r>
            <w:r w:rsidRPr="0037549C">
              <w:t xml:space="preserve"> по собствена инициатива или след представяне на досие за ограничения, изготвено от държава членка и съдържащо информацията, посочена в параграф 2.“;</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9</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Член 6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Преразглеждането и изменението на списъка на ограничените вещества в приложение II се основават на досиета за ограничения, изготвени от агенцията — по искане на Комисията, или от държава членка.</w:t>
            </w:r>
          </w:p>
        </w:tc>
        <w:tc>
          <w:tcPr>
            <w:tcW w:w="4876" w:type="dxa"/>
            <w:hideMark/>
          </w:tcPr>
          <w:p w:rsidR="00007EE4" w:rsidRPr="0037549C" w:rsidRDefault="00007EE4" w:rsidP="00EB78CD">
            <w:pPr>
              <w:pStyle w:val="Normal6"/>
              <w:rPr>
                <w:szCs w:val="24"/>
              </w:rPr>
            </w:pPr>
            <w:r w:rsidRPr="0037549C">
              <w:t xml:space="preserve">Преразглеждането и изменението на списъка на ограничените вещества </w:t>
            </w:r>
            <w:r w:rsidRPr="0037549C">
              <w:rPr>
                <w:b/>
                <w:i/>
              </w:rPr>
              <w:t>или на група вещества</w:t>
            </w:r>
            <w:r w:rsidRPr="0037549C">
              <w:t xml:space="preserve"> в приложение II се основават на досиета за ограничения, изготвени от агенцията — по искане на Комисията, или от държава членка.</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10</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Член 6 – параграф 2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 xml:space="preserve">Агенцията или държавите членки вземат предвид всяка налична информация и всяка съответна оценка </w:t>
            </w:r>
            <w:r w:rsidRPr="0037549C">
              <w:rPr>
                <w:b/>
                <w:i/>
              </w:rPr>
              <w:t>на риска</w:t>
            </w:r>
            <w:r w:rsidRPr="0037549C">
              <w:t>, представена за целите на друг правен акт на Съюза, обхващаща жизнения цикъл на веществото, използвано в ЕЕО, и по-специално етапа, в който то представлява отпадък. За тази цел други органи, създадени съгласно правото на Съюза и изпълняващи подобни задачи, предоставят при поискване информация на агенцията или на съответната държава членка.</w:t>
            </w:r>
          </w:p>
        </w:tc>
        <w:tc>
          <w:tcPr>
            <w:tcW w:w="4876" w:type="dxa"/>
            <w:hideMark/>
          </w:tcPr>
          <w:p w:rsidR="00007EE4" w:rsidRPr="0037549C" w:rsidRDefault="00007EE4" w:rsidP="00EB78CD">
            <w:pPr>
              <w:pStyle w:val="Normal6"/>
              <w:rPr>
                <w:szCs w:val="24"/>
              </w:rPr>
            </w:pPr>
            <w:r w:rsidRPr="0037549C">
              <w:t xml:space="preserve">Агенцията или държавите членки вземат предвид всяка налична информация и всяка съответна оценка, представена за целите на друг правен акт на Съюза, обхващаща </w:t>
            </w:r>
            <w:r w:rsidRPr="0037549C">
              <w:rPr>
                <w:b/>
                <w:i/>
              </w:rPr>
              <w:t>която и да е част от</w:t>
            </w:r>
            <w:r w:rsidRPr="0037549C">
              <w:t xml:space="preserve"> жизнения цикъл на веществото, използвано в ЕЕО, и по-специално етапа, в който то представлява отпадък. За тази цел други органи, създадени съгласно правото на Съюза и изпълняващи подобни задачи, предоставят при поискване информация на агенцията или на съответната държава членка.</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11</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Член 6 – параграф 2 – алинея 3 – буква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(-a)</w:t>
            </w:r>
            <w:r w:rsidRPr="0037549C">
              <w:rPr>
                <w:b/>
                <w:i/>
              </w:rPr>
              <w:tab/>
              <w:t>идентичността на веществото;</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12</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 xml:space="preserve">Член 6 – параграф 2 – алинея 3 – буква -а </w:t>
      </w:r>
      <w:proofErr w:type="spellStart"/>
      <w:r w:rsidRPr="0037549C">
        <w:t>а</w:t>
      </w:r>
      <w:proofErr w:type="spellEnd"/>
      <w:r w:rsidRPr="0037549C">
        <w:t xml:space="preserve">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w:t>
            </w:r>
            <w:proofErr w:type="spellStart"/>
            <w:r w:rsidRPr="0037549C">
              <w:rPr>
                <w:b/>
                <w:i/>
              </w:rPr>
              <w:t>aa</w:t>
            </w:r>
            <w:proofErr w:type="spellEnd"/>
            <w:r w:rsidRPr="0037549C">
              <w:rPr>
                <w:b/>
                <w:i/>
              </w:rPr>
              <w:t>)</w:t>
            </w:r>
            <w:r w:rsidRPr="0037549C">
              <w:rPr>
                <w:b/>
                <w:i/>
              </w:rPr>
              <w:tab/>
              <w:t>точна и ясна формулировка за вписването на предложеното ограничение в приложение II;</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13</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Член 6 – параграф 2 – алинея 3 – буква -а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w:t>
            </w:r>
            <w:proofErr w:type="spellStart"/>
            <w:r w:rsidRPr="0037549C">
              <w:rPr>
                <w:b/>
                <w:i/>
              </w:rPr>
              <w:t>aб</w:t>
            </w:r>
            <w:proofErr w:type="spellEnd"/>
            <w:r w:rsidRPr="0037549C">
              <w:rPr>
                <w:b/>
                <w:i/>
              </w:rPr>
              <w:t>)</w:t>
            </w:r>
            <w:r w:rsidRPr="0037549C">
              <w:rPr>
                <w:b/>
                <w:i/>
              </w:rPr>
              <w:tab/>
              <w:t>предоставяне на справки и научни доказателства за ограничението;</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14</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Член 6 – параграф 2 – алинея 3 – буква б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ба)</w:t>
            </w:r>
            <w:r w:rsidRPr="0037549C">
              <w:rPr>
                <w:b/>
                <w:i/>
              </w:rPr>
              <w:tab/>
              <w:t>информация за възможните алтернативи и тяхната наличност и пригодност;</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15</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 xml:space="preserve">Член 6 – параграф 2 – алинея 3 – буква б </w:t>
      </w:r>
      <w:proofErr w:type="spellStart"/>
      <w:r w:rsidRPr="0037549C">
        <w:t>б</w:t>
      </w:r>
      <w:proofErr w:type="spellEnd"/>
      <w:r w:rsidRPr="0037549C">
        <w:t xml:space="preserve">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proofErr w:type="spellStart"/>
            <w:r w:rsidRPr="0037549C">
              <w:rPr>
                <w:b/>
                <w:i/>
              </w:rPr>
              <w:t>бб</w:t>
            </w:r>
            <w:proofErr w:type="spellEnd"/>
            <w:r w:rsidRPr="0037549C">
              <w:rPr>
                <w:b/>
                <w:i/>
              </w:rPr>
              <w:t>)</w:t>
            </w:r>
            <w:r w:rsidRPr="0037549C">
              <w:rPr>
                <w:b/>
                <w:i/>
              </w:rPr>
              <w:tab/>
              <w:t>обосновка за разглеждането на въпроса за налагане на ограничение на равнището на Съюза като най-подходяща мярка.</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16</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3 – буква в</w:t>
      </w:r>
    </w:p>
    <w:p w:rsidR="00007EE4" w:rsidRPr="0037549C" w:rsidRDefault="00007EE4" w:rsidP="00007EE4">
      <w:pPr>
        <w:keepNext/>
      </w:pPr>
      <w:r w:rsidRPr="0037549C">
        <w:t>Директива 2011/65/ЕС</w:t>
      </w:r>
    </w:p>
    <w:p w:rsidR="00007EE4" w:rsidRPr="0037549C" w:rsidRDefault="00007EE4" w:rsidP="00007EE4">
      <w:r w:rsidRPr="0037549C">
        <w:t>Член 6 – параграф 2 – алинея 3 – буква б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proofErr w:type="spellStart"/>
            <w:r w:rsidRPr="0037549C">
              <w:rPr>
                <w:b/>
                <w:i/>
              </w:rPr>
              <w:t>бв</w:t>
            </w:r>
            <w:proofErr w:type="spellEnd"/>
            <w:r w:rsidRPr="0037549C">
              <w:rPr>
                <w:b/>
                <w:i/>
              </w:rPr>
              <w:t>)</w:t>
            </w:r>
            <w:r w:rsidRPr="0037549C">
              <w:rPr>
                <w:b/>
                <w:i/>
              </w:rPr>
              <w:tab/>
              <w:t>социално-икономическа оценка.</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17</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4 a (нова)</w:t>
      </w:r>
    </w:p>
    <w:p w:rsidR="00007EE4" w:rsidRPr="0037549C" w:rsidRDefault="00007EE4" w:rsidP="00007EE4">
      <w:pPr>
        <w:keepNext/>
      </w:pPr>
      <w:r w:rsidRPr="0037549C">
        <w:t>Директива 2011/65/ЕС</w:t>
      </w:r>
    </w:p>
    <w:p w:rsidR="00007EE4" w:rsidRPr="0037549C" w:rsidRDefault="00007EE4" w:rsidP="00007EE4">
      <w:r w:rsidRPr="0037549C">
        <w:t>Член 20 – параграф 1а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(4a)</w:t>
            </w:r>
            <w:r w:rsidRPr="0037549C">
              <w:rPr>
                <w:b/>
                <w:i/>
              </w:rPr>
              <w:tab/>
              <w:t>В член 20 се вмъква следният параграф:</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„1а.</w:t>
            </w:r>
            <w:r w:rsidRPr="0037549C">
              <w:rPr>
                <w:b/>
                <w:i/>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18</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1 – параграф 1 – точка 4 б (нова)</w:t>
      </w:r>
    </w:p>
    <w:p w:rsidR="00007EE4" w:rsidRPr="0037549C" w:rsidRDefault="00007EE4" w:rsidP="00007EE4">
      <w:pPr>
        <w:keepNext/>
      </w:pPr>
      <w:r w:rsidRPr="0037549C">
        <w:t>Директива 2011/65/ЕС</w:t>
      </w:r>
    </w:p>
    <w:p w:rsidR="00007EE4" w:rsidRPr="0037549C" w:rsidRDefault="00007EE4" w:rsidP="00007EE4">
      <w:r w:rsidRPr="0037549C">
        <w:t>Член 24 – параграф 2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(4б)</w:t>
            </w:r>
            <w:r w:rsidRPr="0037549C">
              <w:rPr>
                <w:b/>
                <w:i/>
              </w:rPr>
              <w:tab/>
              <w:t>В член 24 се добавя следният параграф:</w:t>
            </w:r>
          </w:p>
        </w:tc>
      </w:tr>
      <w:tr w:rsidR="00007EE4" w:rsidRPr="0037549C" w:rsidTr="00EB78CD">
        <w:trPr>
          <w:jc w:val="center"/>
        </w:trPr>
        <w:tc>
          <w:tcPr>
            <w:tcW w:w="4876" w:type="dxa"/>
          </w:tcPr>
          <w:p w:rsidR="00007EE4" w:rsidRPr="0037549C" w:rsidRDefault="00007EE4" w:rsidP="00EB78CD">
            <w:pPr>
              <w:pStyle w:val="Normal6"/>
            </w:pPr>
          </w:p>
        </w:tc>
        <w:tc>
          <w:tcPr>
            <w:tcW w:w="4876" w:type="dxa"/>
            <w:hideMark/>
          </w:tcPr>
          <w:p w:rsidR="00007EE4" w:rsidRPr="0037549C" w:rsidRDefault="00007EE4" w:rsidP="00EB78CD">
            <w:pPr>
              <w:pStyle w:val="Normal6"/>
              <w:rPr>
                <w:szCs w:val="24"/>
              </w:rPr>
            </w:pPr>
            <w:r w:rsidRPr="0037549C">
              <w:rPr>
                <w:b/>
                <w:i/>
              </w:rPr>
              <w:t>,,2а.</w:t>
            </w:r>
            <w:r w:rsidRPr="0037549C">
              <w:rPr>
                <w:b/>
                <w:i/>
              </w:rPr>
              <w:tab/>
              <w:t>Комисията следи положението с ресурсите на Европейската агенция по химикали и със задачите, работното натоварване и правомощията на нейните научни комитети, като при необходимост представя законодателно предложение, за да бъдат отчетени всички нужди на агенцията, произтичащи от задачите, въведени с настоящия регламент, и за да се подобри управлението на нейните научни комитети.“</w:t>
            </w:r>
          </w:p>
        </w:tc>
      </w:tr>
    </w:tbl>
    <w:p w:rsidR="00007EE4" w:rsidRPr="0037549C" w:rsidRDefault="00007EE4" w:rsidP="00007EE4"/>
    <w:p w:rsidR="00007EE4" w:rsidRPr="0037549C" w:rsidRDefault="00007EE4" w:rsidP="00007EE4">
      <w:pPr>
        <w:pStyle w:val="AmNumberTabs"/>
      </w:pPr>
      <w:r w:rsidRPr="0037549C">
        <w:t>Изменение</w:t>
      </w:r>
      <w:r w:rsidRPr="0037549C">
        <w:tab/>
      </w:r>
      <w:r w:rsidRPr="0037549C">
        <w:tab/>
        <w:t>19</w:t>
      </w:r>
    </w:p>
    <w:p w:rsidR="00007EE4" w:rsidRPr="0037549C" w:rsidRDefault="00007EE4" w:rsidP="00007EE4"/>
    <w:p w:rsidR="00007EE4" w:rsidRPr="0037549C" w:rsidRDefault="00007EE4" w:rsidP="00007EE4">
      <w:pPr>
        <w:pStyle w:val="NormalBold"/>
        <w:keepNext/>
      </w:pPr>
      <w:r w:rsidRPr="0037549C">
        <w:t>Предложение за директива</w:t>
      </w:r>
    </w:p>
    <w:p w:rsidR="00007EE4" w:rsidRPr="0037549C" w:rsidRDefault="00007EE4" w:rsidP="00007EE4">
      <w:pPr>
        <w:pStyle w:val="NormalBold"/>
      </w:pPr>
      <w:r w:rsidRPr="0037549C">
        <w:t>Член 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7EE4" w:rsidRPr="0037549C" w:rsidTr="00EB78CD">
        <w:trPr>
          <w:jc w:val="center"/>
        </w:trPr>
        <w:tc>
          <w:tcPr>
            <w:tcW w:w="9752" w:type="dxa"/>
            <w:gridSpan w:val="2"/>
          </w:tcPr>
          <w:p w:rsidR="00007EE4" w:rsidRPr="0037549C" w:rsidRDefault="00007EE4" w:rsidP="00EB78CD">
            <w:pPr>
              <w:keepNext/>
            </w:pPr>
          </w:p>
        </w:tc>
      </w:tr>
      <w:tr w:rsidR="00007EE4" w:rsidRPr="0037549C" w:rsidTr="00EB78CD">
        <w:trPr>
          <w:jc w:val="center"/>
        </w:trPr>
        <w:tc>
          <w:tcPr>
            <w:tcW w:w="4876" w:type="dxa"/>
            <w:hideMark/>
          </w:tcPr>
          <w:p w:rsidR="00007EE4" w:rsidRPr="0037549C" w:rsidRDefault="00007EE4" w:rsidP="00EB78CD">
            <w:pPr>
              <w:pStyle w:val="ColumnHeading"/>
              <w:keepNext/>
            </w:pPr>
            <w:r w:rsidRPr="0037549C">
              <w:t>Текст, предложен от Комисията</w:t>
            </w:r>
          </w:p>
        </w:tc>
        <w:tc>
          <w:tcPr>
            <w:tcW w:w="4876" w:type="dxa"/>
            <w:hideMark/>
          </w:tcPr>
          <w:p w:rsidR="00007EE4" w:rsidRPr="0037549C" w:rsidRDefault="00007EE4" w:rsidP="00EB78CD">
            <w:pPr>
              <w:pStyle w:val="ColumnHeading"/>
              <w:keepNext/>
            </w:pPr>
            <w:r w:rsidRPr="0037549C">
              <w:t>Изменение</w:t>
            </w:r>
          </w:p>
        </w:tc>
      </w:tr>
      <w:tr w:rsidR="00007EE4" w:rsidRPr="0037549C" w:rsidTr="00EB78CD">
        <w:trPr>
          <w:jc w:val="center"/>
        </w:trPr>
        <w:tc>
          <w:tcPr>
            <w:tcW w:w="4876" w:type="dxa"/>
            <w:hideMark/>
          </w:tcPr>
          <w:p w:rsidR="00007EE4" w:rsidRPr="0037549C" w:rsidRDefault="00007EE4" w:rsidP="00EB78CD">
            <w:pPr>
              <w:pStyle w:val="Normal6"/>
            </w:pPr>
            <w:r w:rsidRPr="0037549C">
              <w:t xml:space="preserve">Разпоредбите на настоящата директива се прилагат от [ОВ: </w:t>
            </w:r>
            <w:r w:rsidRPr="0037549C">
              <w:rPr>
                <w:b/>
                <w:i/>
              </w:rPr>
              <w:t>12</w:t>
            </w:r>
            <w:r w:rsidRPr="0037549C">
              <w:t> месеца след публикуването на настоящата директива].</w:t>
            </w:r>
          </w:p>
        </w:tc>
        <w:tc>
          <w:tcPr>
            <w:tcW w:w="4876" w:type="dxa"/>
            <w:hideMark/>
          </w:tcPr>
          <w:p w:rsidR="00007EE4" w:rsidRPr="0037549C" w:rsidRDefault="00007EE4" w:rsidP="00EB78CD">
            <w:pPr>
              <w:pStyle w:val="Normal6"/>
              <w:rPr>
                <w:szCs w:val="24"/>
              </w:rPr>
            </w:pPr>
            <w:r w:rsidRPr="0037549C">
              <w:t xml:space="preserve">Разпоредбите на настоящата директива се прилагат от [ОВ: </w:t>
            </w:r>
            <w:r w:rsidRPr="0037549C">
              <w:rPr>
                <w:b/>
                <w:i/>
              </w:rPr>
              <w:t>18</w:t>
            </w:r>
            <w:r w:rsidRPr="0037549C">
              <w:t> месеца след публикуването на настоящата директива].</w:t>
            </w:r>
          </w:p>
        </w:tc>
      </w:tr>
    </w:tbl>
    <w:p w:rsidR="00E365E1" w:rsidRPr="0037549C" w:rsidRDefault="00E365E1" w:rsidP="00DC3C32"/>
    <w:sectPr w:rsidR="00E365E1" w:rsidRPr="0037549C" w:rsidSect="003754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C32" w:rsidRPr="0037549C" w:rsidRDefault="00DC3C32">
      <w:r w:rsidRPr="0037549C">
        <w:separator/>
      </w:r>
    </w:p>
  </w:endnote>
  <w:endnote w:type="continuationSeparator" w:id="0">
    <w:p w:rsidR="00DC3C32" w:rsidRPr="0037549C" w:rsidRDefault="00DC3C32">
      <w:r w:rsidRPr="003754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C32" w:rsidRPr="0037549C" w:rsidRDefault="00DC3C32">
      <w:r w:rsidRPr="0037549C">
        <w:separator/>
      </w:r>
    </w:p>
  </w:footnote>
  <w:footnote w:type="continuationSeparator" w:id="0">
    <w:p w:rsidR="00DC3C32" w:rsidRPr="0037549C" w:rsidRDefault="00DC3C32">
      <w:r w:rsidRPr="0037549C">
        <w:continuationSeparator/>
      </w:r>
    </w:p>
  </w:footnote>
  <w:footnote w:id="1">
    <w:p w:rsidR="00FD0ED8" w:rsidRPr="00AE65B9" w:rsidRDefault="00FD0ED8" w:rsidP="00FD0ED8">
      <w:pPr>
        <w:pStyle w:val="FootnoteText"/>
        <w:ind w:left="567" w:hanging="567"/>
        <w:rPr>
          <w:sz w:val="24"/>
          <w:szCs w:val="24"/>
          <w:lang w:val="bg-BG"/>
        </w:rPr>
      </w:pPr>
      <w:r w:rsidRPr="00AE65B9">
        <w:rPr>
          <w:rStyle w:val="FootnoteReference"/>
          <w:sz w:val="24"/>
          <w:szCs w:val="24"/>
        </w:rPr>
        <w:footnoteRef/>
      </w:r>
      <w:r w:rsidRPr="00AE65B9">
        <w:rPr>
          <w:sz w:val="24"/>
          <w:szCs w:val="24"/>
        </w:rPr>
        <w:t xml:space="preserve"> </w:t>
      </w:r>
      <w:r w:rsidRPr="00AE65B9">
        <w:rPr>
          <w:sz w:val="24"/>
          <w:szCs w:val="24"/>
          <w:lang w:val="bg-BG"/>
        </w:rPr>
        <w:tab/>
        <w:t>Въпросът е върнат за междуинституционални преговори в компет</w:t>
      </w:r>
      <w:r w:rsidR="00937279">
        <w:rPr>
          <w:sz w:val="24"/>
          <w:szCs w:val="24"/>
          <w:lang w:val="bg-BG"/>
        </w:rPr>
        <w:t>ентната комисия съгласно член 60</w:t>
      </w:r>
      <w:r w:rsidRPr="00AE65B9">
        <w:rPr>
          <w:sz w:val="24"/>
          <w:szCs w:val="24"/>
          <w:lang w:val="bg-BG"/>
        </w:rPr>
        <w:t>, параграф 4, четвърта алинея от Правилника за дейността (А</w:t>
      </w:r>
      <w:r>
        <w:rPr>
          <w:sz w:val="24"/>
          <w:szCs w:val="24"/>
          <w:lang w:val="bg-BG"/>
        </w:rPr>
        <w:t>10</w:t>
      </w:r>
      <w:r w:rsidRPr="00AE65B9">
        <w:rPr>
          <w:sz w:val="24"/>
          <w:szCs w:val="24"/>
          <w:lang w:val="bg-BG"/>
        </w:rPr>
        <w:t>-00</w:t>
      </w:r>
      <w:r>
        <w:rPr>
          <w:sz w:val="24"/>
          <w:szCs w:val="24"/>
          <w:lang w:val="bg-BG"/>
        </w:rPr>
        <w:t>19</w:t>
      </w:r>
      <w:r w:rsidRPr="00AE65B9">
        <w:rPr>
          <w:sz w:val="24"/>
          <w:szCs w:val="24"/>
          <w:lang w:val="bg-BG"/>
        </w:rPr>
        <w:t>/20</w:t>
      </w:r>
      <w:r>
        <w:rPr>
          <w:sz w:val="24"/>
          <w:szCs w:val="24"/>
          <w:lang w:val="bg-BG"/>
        </w:rPr>
        <w:t>25</w:t>
      </w:r>
      <w:r w:rsidRPr="00AE65B9">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4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BG"/>
    <w:docVar w:name="dvnumam" w:val="19"/>
    <w:docVar w:name="dvpe" w:val="763.254"/>
    <w:docVar w:name="dvrapporteur" w:val="Докладчик: "/>
    <w:docVar w:name="dvstar" w:val="***I"/>
    <w:docVar w:name="dvtitre" w:val="Законодателна резолюция на Европейския парламент от ... 2025 г. относно предложението за директива на Европейския парламент и на Съвета за изменение на Директива 2011/65/ЕС на Европейския парламент и на Съвета по отношение на прехвърлянето на научни и технически задачи на Европейската агенция по химикали(COM(2023)0781 – C9-0448/2023 – 2023/0454(COD))"/>
  </w:docVars>
  <w:rsids>
    <w:rsidRoot w:val="00DC3C32"/>
    <w:rsid w:val="00002272"/>
    <w:rsid w:val="00007EE4"/>
    <w:rsid w:val="00064002"/>
    <w:rsid w:val="000677B9"/>
    <w:rsid w:val="000831BA"/>
    <w:rsid w:val="00090777"/>
    <w:rsid w:val="000A42CC"/>
    <w:rsid w:val="000E7DD9"/>
    <w:rsid w:val="0010095E"/>
    <w:rsid w:val="00125B37"/>
    <w:rsid w:val="00187494"/>
    <w:rsid w:val="001C2A9B"/>
    <w:rsid w:val="001F32AE"/>
    <w:rsid w:val="002767FF"/>
    <w:rsid w:val="002B18FE"/>
    <w:rsid w:val="002B5493"/>
    <w:rsid w:val="00343214"/>
    <w:rsid w:val="00361C00"/>
    <w:rsid w:val="0037549C"/>
    <w:rsid w:val="00395FA1"/>
    <w:rsid w:val="003E15D4"/>
    <w:rsid w:val="00411CCE"/>
    <w:rsid w:val="0041666E"/>
    <w:rsid w:val="00421060"/>
    <w:rsid w:val="004606BA"/>
    <w:rsid w:val="00471C19"/>
    <w:rsid w:val="004867E3"/>
    <w:rsid w:val="00494A28"/>
    <w:rsid w:val="004C0004"/>
    <w:rsid w:val="004C5D52"/>
    <w:rsid w:val="0050519A"/>
    <w:rsid w:val="005072A1"/>
    <w:rsid w:val="00514517"/>
    <w:rsid w:val="00545827"/>
    <w:rsid w:val="00560270"/>
    <w:rsid w:val="005C2568"/>
    <w:rsid w:val="005D0051"/>
    <w:rsid w:val="005F1B17"/>
    <w:rsid w:val="006037C0"/>
    <w:rsid w:val="006631B6"/>
    <w:rsid w:val="00680577"/>
    <w:rsid w:val="006F74FA"/>
    <w:rsid w:val="00731ADD"/>
    <w:rsid w:val="00734777"/>
    <w:rsid w:val="00747932"/>
    <w:rsid w:val="00751A4A"/>
    <w:rsid w:val="00756632"/>
    <w:rsid w:val="00762C74"/>
    <w:rsid w:val="00782ACE"/>
    <w:rsid w:val="00786EC0"/>
    <w:rsid w:val="007D1690"/>
    <w:rsid w:val="007E22AD"/>
    <w:rsid w:val="00817416"/>
    <w:rsid w:val="00842779"/>
    <w:rsid w:val="00865F67"/>
    <w:rsid w:val="00881A7B"/>
    <w:rsid w:val="008840E5"/>
    <w:rsid w:val="00887B3E"/>
    <w:rsid w:val="008C2AC6"/>
    <w:rsid w:val="00930C23"/>
    <w:rsid w:val="0093193B"/>
    <w:rsid w:val="0093727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C3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ED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4F60A9-C2DA-4B2C-AA54-4E938A2C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007EE4"/>
    <w:rPr>
      <w:b/>
    </w:rPr>
  </w:style>
  <w:style w:type="paragraph" w:customStyle="1" w:styleId="NormalHanging12a">
    <w:name w:val="NormalHanging12a"/>
    <w:basedOn w:val="Normal"/>
    <w:rsid w:val="00007EE4"/>
    <w:pPr>
      <w:spacing w:after="240"/>
      <w:ind w:left="567" w:hanging="567"/>
    </w:pPr>
  </w:style>
  <w:style w:type="paragraph" w:customStyle="1" w:styleId="AmNumberTabs">
    <w:name w:val="AmNumberTabs"/>
    <w:basedOn w:val="Normal"/>
    <w:rsid w:val="00007E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07EE4"/>
    <w:pPr>
      <w:spacing w:before="480" w:after="240"/>
    </w:pPr>
  </w:style>
  <w:style w:type="character" w:customStyle="1" w:styleId="Normal6Char">
    <w:name w:val="Normal6 Char"/>
    <w:basedOn w:val="DefaultParagraphFont"/>
    <w:link w:val="Normal6"/>
    <w:locked/>
    <w:rsid w:val="00007EE4"/>
    <w:rPr>
      <w:sz w:val="24"/>
      <w:lang w:val="bg-BG"/>
    </w:rPr>
  </w:style>
  <w:style w:type="paragraph" w:customStyle="1" w:styleId="Normal6">
    <w:name w:val="Normal6"/>
    <w:basedOn w:val="Normal"/>
    <w:link w:val="Normal6Char"/>
    <w:rsid w:val="00007EE4"/>
    <w:pPr>
      <w:spacing w:after="120"/>
    </w:pPr>
  </w:style>
  <w:style w:type="character" w:customStyle="1" w:styleId="NormalBoldChar">
    <w:name w:val="NormalBold Char"/>
    <w:basedOn w:val="DefaultParagraphFont"/>
    <w:link w:val="NormalBold"/>
    <w:locked/>
    <w:rsid w:val="00007EE4"/>
    <w:rPr>
      <w:b/>
      <w:sz w:val="24"/>
      <w:lang w:val="bg-BG"/>
    </w:rPr>
  </w:style>
  <w:style w:type="paragraph" w:customStyle="1" w:styleId="ColumnHeading">
    <w:name w:val="ColumnHeading"/>
    <w:basedOn w:val="Normal"/>
    <w:rsid w:val="00007EE4"/>
    <w:pPr>
      <w:spacing w:after="240"/>
      <w:jc w:val="center"/>
    </w:pPr>
    <w:rPr>
      <w:i/>
    </w:rPr>
  </w:style>
  <w:style w:type="paragraph" w:customStyle="1" w:styleId="CrossRef">
    <w:name w:val="CrossRef"/>
    <w:basedOn w:val="Normal"/>
    <w:rsid w:val="00007EE4"/>
    <w:pPr>
      <w:spacing w:before="240"/>
      <w:jc w:val="center"/>
    </w:pPr>
    <w:rPr>
      <w:i/>
    </w:rPr>
  </w:style>
  <w:style w:type="character" w:styleId="Hyperlink">
    <w:name w:val="Hyperlink"/>
    <w:basedOn w:val="DefaultParagraphFont"/>
    <w:rsid w:val="005D00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144DB-534B-4F56-9E91-610698715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2191</Words>
  <Characters>13048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2025-06-06T10:06:00Z</dcterms:created>
  <dcterms:modified xsi:type="dcterms:W3CDTF">2025-06-06T10:06:00Z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P10_TA(2025)0046_</vt:lpwstr>
  </property>
  <property fmtid="{D5CDD505-2E9C-101B-9397-08002B2CF9AE}" pid="4" name="&lt;Type&gt;">
    <vt:lpwstr>RR</vt:lpwstr>
  </property>
</Properties>
</file>