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6A1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96A19" w:rsidRDefault="00CC67D8" w:rsidP="0010095E">
            <w:pPr>
              <w:pStyle w:val="EPName"/>
            </w:pPr>
            <w:r w:rsidRPr="00396A19">
              <w:t>Parlamento Europeo</w:t>
            </w:r>
          </w:p>
          <w:p w:rsidR="00751A4A" w:rsidRPr="00396A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6A19">
              <w:t>2024</w:t>
            </w:r>
            <w:r w:rsidR="00817416" w:rsidRPr="00396A19">
              <w:t>-202</w:t>
            </w:r>
            <w:r w:rsidRPr="00396A1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96A19" w:rsidRDefault="00187494" w:rsidP="0010095E">
            <w:pPr>
              <w:pStyle w:val="EPLogo"/>
            </w:pPr>
            <w:r w:rsidRPr="00396A1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96A19" w:rsidRDefault="00D058B8" w:rsidP="004C5D52">
      <w:pPr>
        <w:pStyle w:val="LineTop"/>
      </w:pPr>
    </w:p>
    <w:p w:rsidR="00680577" w:rsidRPr="00396A19" w:rsidRDefault="00CC67D8" w:rsidP="00680577">
      <w:pPr>
        <w:pStyle w:val="EPBodyTA1"/>
      </w:pPr>
      <w:r w:rsidRPr="00396A19">
        <w:t>TEXTOS APROBADOS</w:t>
      </w:r>
    </w:p>
    <w:p w:rsidR="00D058B8" w:rsidRPr="00396A19" w:rsidRDefault="00D058B8" w:rsidP="00D058B8">
      <w:pPr>
        <w:pStyle w:val="LineBottom"/>
      </w:pPr>
    </w:p>
    <w:p w:rsidR="00CC67D8" w:rsidRPr="00396A19" w:rsidRDefault="00CC67D8" w:rsidP="00CC67D8">
      <w:pPr>
        <w:pStyle w:val="ATHeading1"/>
      </w:pPr>
      <w:bookmarkStart w:id="0" w:name="TANumber"/>
      <w:r w:rsidRPr="00396A19">
        <w:t>P10_</w:t>
      </w:r>
      <w:proofErr w:type="gramStart"/>
      <w:r w:rsidRPr="00396A19">
        <w:t>TA(</w:t>
      </w:r>
      <w:proofErr w:type="gramEnd"/>
      <w:r w:rsidRPr="00396A19">
        <w:t>2025)00</w:t>
      </w:r>
      <w:r w:rsidR="00C347DA" w:rsidRPr="00396A19">
        <w:t>46</w:t>
      </w:r>
      <w:bookmarkEnd w:id="0"/>
    </w:p>
    <w:p w:rsidR="00CC67D8" w:rsidRPr="00396A19" w:rsidRDefault="00CC67D8" w:rsidP="00CC67D8">
      <w:pPr>
        <w:pStyle w:val="ATHeading2"/>
      </w:pPr>
      <w:bookmarkStart w:id="1" w:name="title"/>
      <w:r w:rsidRPr="00396A19">
        <w:t>Reasignación de tareas científicas y técnicas a la Agencia Europea de Sustancias y Mezclas Químicas</w:t>
      </w:r>
      <w:bookmarkEnd w:id="1"/>
    </w:p>
    <w:p w:rsidR="00CC67D8" w:rsidRPr="00396A19" w:rsidRDefault="00CC67D8" w:rsidP="00CC67D8">
      <w:pPr>
        <w:rPr>
          <w:i/>
          <w:vanish/>
        </w:rPr>
      </w:pPr>
      <w:r w:rsidRPr="00396A19">
        <w:rPr>
          <w:i/>
        </w:rPr>
        <w:fldChar w:fldCharType="begin"/>
      </w:r>
      <w:r w:rsidRPr="00396A19">
        <w:rPr>
          <w:i/>
        </w:rPr>
        <w:instrText xml:space="preserve"> TC"(</w:instrText>
      </w:r>
      <w:bookmarkStart w:id="2" w:name="DocNumber"/>
      <w:r w:rsidRPr="00396A19">
        <w:rPr>
          <w:i/>
        </w:rPr>
        <w:instrText>A10-0019/2025</w:instrText>
      </w:r>
      <w:bookmarkEnd w:id="2"/>
      <w:r w:rsidRPr="00396A19">
        <w:rPr>
          <w:i/>
        </w:rPr>
        <w:instrText xml:space="preserve"> - Ponente: </w:instrText>
      </w:r>
      <w:proofErr w:type="spellStart"/>
      <w:r w:rsidRPr="00396A19">
        <w:rPr>
          <w:i/>
        </w:rPr>
        <w:instrText>Dimitris</w:instrText>
      </w:r>
      <w:proofErr w:type="spellEnd"/>
      <w:r w:rsidRPr="00396A19">
        <w:rPr>
          <w:i/>
        </w:rPr>
        <w:instrText xml:space="preserve"> </w:instrText>
      </w:r>
      <w:proofErr w:type="spellStart"/>
      <w:r w:rsidRPr="00396A19">
        <w:rPr>
          <w:i/>
        </w:rPr>
        <w:instrText>Tsiodras</w:instrText>
      </w:r>
      <w:proofErr w:type="spellEnd"/>
      <w:r w:rsidRPr="00396A19">
        <w:rPr>
          <w:i/>
        </w:rPr>
        <w:instrText xml:space="preserve">)"\l3 \n&gt; \* MERGEFORMAT </w:instrText>
      </w:r>
      <w:r w:rsidRPr="00396A19">
        <w:rPr>
          <w:i/>
        </w:rPr>
        <w:fldChar w:fldCharType="end"/>
      </w:r>
    </w:p>
    <w:p w:rsidR="00CC67D8" w:rsidRPr="00396A19" w:rsidRDefault="00CC67D8" w:rsidP="00CC67D8">
      <w:pPr>
        <w:rPr>
          <w:vanish/>
        </w:rPr>
      </w:pPr>
      <w:bookmarkStart w:id="3" w:name="Commission"/>
      <w:r w:rsidRPr="00396A19">
        <w:rPr>
          <w:vanish/>
        </w:rPr>
        <w:t>Comisión de Medio Ambiente, Clima y Seguridad Alimentaria</w:t>
      </w:r>
      <w:bookmarkEnd w:id="3"/>
    </w:p>
    <w:p w:rsidR="00CC67D8" w:rsidRPr="00396A19" w:rsidRDefault="00CC67D8" w:rsidP="00CC67D8">
      <w:pPr>
        <w:rPr>
          <w:vanish/>
        </w:rPr>
      </w:pPr>
      <w:bookmarkStart w:id="4" w:name="PE"/>
      <w:r w:rsidRPr="00396A19">
        <w:rPr>
          <w:vanish/>
        </w:rPr>
        <w:t>PE763.254</w:t>
      </w:r>
      <w:bookmarkEnd w:id="4"/>
    </w:p>
    <w:p w:rsidR="00CC67D8" w:rsidRPr="00396A19" w:rsidRDefault="00C347DA" w:rsidP="00CC67D8">
      <w:pPr>
        <w:pStyle w:val="ATHeading3"/>
      </w:pPr>
      <w:bookmarkStart w:id="5" w:name="Sujet"/>
      <w:r w:rsidRPr="00396A19">
        <w:t xml:space="preserve">Enmiendas aprobadas por </w:t>
      </w:r>
      <w:r w:rsidR="00CC67D8" w:rsidRPr="00396A19">
        <w:t>el Parlamento Europeo e</w:t>
      </w:r>
      <w:r w:rsidRPr="00396A19">
        <w:t>l</w:t>
      </w:r>
      <w:r w:rsidR="00CC67D8" w:rsidRPr="00396A19">
        <w:t xml:space="preserve"> 1 de abril de 2025 sobre la propuesta de Directiva del Parlamento Europeo y del Consejo por la que se modifica la Directiva 2011/65/UE del Parlamento Europeo y del Consejo en lo que se refiere a la reasignación de tareas científicas y técnicas a la Agencia Europea de Sustancias y Mezclas Químicas</w:t>
      </w:r>
      <w:bookmarkEnd w:id="5"/>
      <w:r w:rsidR="00CC67D8" w:rsidRPr="00396A19">
        <w:t xml:space="preserve"> </w:t>
      </w:r>
      <w:bookmarkStart w:id="6" w:name="References"/>
      <w:r w:rsidR="00CC67D8" w:rsidRPr="00396A19">
        <w:t>(COM(2023)0781 – C9-0448/2023 – 2023/0454(COD))</w:t>
      </w:r>
      <w:bookmarkEnd w:id="6"/>
      <w:r w:rsidRPr="00396A19">
        <w:rPr>
          <w:rStyle w:val="FootnoteReference"/>
        </w:rPr>
        <w:footnoteReference w:id="1"/>
      </w:r>
    </w:p>
    <w:p w:rsidR="00C15628" w:rsidRPr="00396A19" w:rsidRDefault="00C15628" w:rsidP="00C15628">
      <w:pPr>
        <w:pStyle w:val="NormalBold"/>
      </w:pPr>
      <w:r w:rsidRPr="00396A19">
        <w:t>(Procedimiento legislativo ordinario: primera lectura)</w:t>
      </w:r>
    </w:p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1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Considerando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  <w:r w:rsidRPr="00396A19">
              <w:rPr>
                <w:lang w:val="es-ES_tradnl"/>
              </w:rPr>
              <w:t>(1)</w:t>
            </w:r>
            <w:r w:rsidRPr="00396A19">
              <w:rPr>
                <w:lang w:val="es-ES_tradnl"/>
              </w:rPr>
              <w:tab/>
              <w:t>La Comisión, en su Comunicación «Pacto Verde Europeo»</w:t>
            </w:r>
            <w:r w:rsidRPr="00396A19">
              <w:rPr>
                <w:vertAlign w:val="superscript"/>
                <w:lang w:val="es-ES_tradnl"/>
              </w:rPr>
              <w:t>2</w:t>
            </w:r>
            <w:r w:rsidRPr="00396A19">
              <w:rPr>
                <w:lang w:val="es-ES_tradnl"/>
              </w:rPr>
              <w:t>, estableció como objetivo que las evaluaciones de la seguridad química avancen hacia un enfoque de una evaluación por sustancia, pidiendo procesos de evaluación del riesgo más transparentes y sencillos con el fin de reducir la carga de todas las partes interesadas, acelerar la toma de decisiones y aumentar la coherencia y la previsibilidad de las decisiones y dictámenes científicos. En su Comunicación sobre la Estrategia de Sostenibilidad para las Sustancias Químicas</w:t>
            </w:r>
            <w:r w:rsidRPr="00396A19">
              <w:rPr>
                <w:vertAlign w:val="superscript"/>
                <w:lang w:val="es-ES_tradnl"/>
              </w:rPr>
              <w:t>3</w:t>
            </w:r>
            <w:r w:rsidRPr="00396A19">
              <w:rPr>
                <w:lang w:val="es-ES_tradnl"/>
              </w:rPr>
              <w:t xml:space="preserve">, la Comisión concluye que, para </w:t>
            </w:r>
            <w:r w:rsidRPr="00396A19">
              <w:rPr>
                <w:lang w:val="es-ES_tradnl"/>
              </w:rPr>
              <w:lastRenderedPageBreak/>
              <w:t xml:space="preserve">alcanzar ese objetivo, parte del trabajo científico y técnico sobre sustancias químicas realizado a escala de la Unión en apoyo de la legislación de la Unión debe reasignarse a las agencias de la Unión más adecuadas. Esto simplificaría la configuración actual, mejoraría la calidad y la coherencia de las evaluaciones de seguridad en toda la legislación de la Unión y garantizaría un uso </w:t>
            </w:r>
            <w:bookmarkStart w:id="7" w:name="_GoBack"/>
            <w:bookmarkEnd w:id="7"/>
            <w:r w:rsidRPr="00396A19">
              <w:rPr>
                <w:lang w:val="es-ES_tradnl"/>
              </w:rPr>
              <w:t>más eficiente de los recursos existentes.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lang w:val="es-ES_tradnl"/>
              </w:rPr>
              <w:lastRenderedPageBreak/>
              <w:t>(1)</w:t>
            </w:r>
            <w:r w:rsidRPr="00396A19">
              <w:rPr>
                <w:lang w:val="es-ES_tradnl"/>
              </w:rPr>
              <w:tab/>
              <w:t>La Comisión, en su Comunicación «Pacto Verde Europeo»</w:t>
            </w:r>
            <w:r w:rsidRPr="00396A19">
              <w:rPr>
                <w:vertAlign w:val="superscript"/>
                <w:lang w:val="es-ES_tradnl"/>
              </w:rPr>
              <w:t>2</w:t>
            </w:r>
            <w:r w:rsidRPr="00396A19">
              <w:rPr>
                <w:lang w:val="es-ES_tradnl"/>
              </w:rPr>
              <w:t>, estableció como objetivo que las evaluaciones de la seguridad química avancen hacia un enfoque de una evaluación por sustancia, pidiendo procesos de evaluación del riesgo más transparentes y sencillos con el fin de reducir la carga de todas las partes interesadas, acelerar la toma de decisiones y aumentar la coherencia y la previsibilidad de las decisiones y dictámenes científicos. En su Comunicación sobre la Estrategia de Sostenibilidad para las Sustancias Químicas</w:t>
            </w:r>
            <w:r w:rsidRPr="00396A19">
              <w:rPr>
                <w:vertAlign w:val="superscript"/>
                <w:lang w:val="es-ES_tradnl"/>
              </w:rPr>
              <w:t>3</w:t>
            </w:r>
            <w:r w:rsidRPr="00396A19">
              <w:rPr>
                <w:lang w:val="es-ES_tradnl"/>
              </w:rPr>
              <w:t xml:space="preserve">, la Comisión concluye que, para </w:t>
            </w:r>
            <w:r w:rsidRPr="00396A19">
              <w:rPr>
                <w:lang w:val="es-ES_tradnl"/>
              </w:rPr>
              <w:lastRenderedPageBreak/>
              <w:t xml:space="preserve">alcanzar ese objetivo, parte del trabajo científico y técnico sobre sustancias químicas realizado a escala de la Unión en apoyo de la legislación de la Unión debe reasignarse a las agencias de la Unión más adecuadas. Esto simplificaría la configuración actual, mejoraría la calidad y la coherencia de las evaluaciones de seguridad en toda la legislación de la Unión y garantizaría un uso más eficiente de los recursos existentes. </w:t>
            </w:r>
            <w:r w:rsidRPr="00396A19">
              <w:rPr>
                <w:b/>
                <w:i/>
                <w:lang w:val="es-ES_tradnl"/>
              </w:rPr>
              <w:t>También se espera que este enfoque promueva la rentabilidad y la competitividad mediante la simplificación de los procedimientos reglamentarios y la reducción de las cargas administrativas, garantizando que las empresas puedan adaptarse eficazmente a la evolución de los marcos reguladores.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  <w:r w:rsidRPr="00396A19">
              <w:rPr>
                <w:lang w:val="es-ES_tradnl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lang w:val="es-ES_tradnl"/>
              </w:rPr>
              <w:t>__________________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  <w:r w:rsidRPr="00396A19">
              <w:rPr>
                <w:vertAlign w:val="superscript"/>
                <w:lang w:val="es-ES_tradnl"/>
              </w:rPr>
              <w:t>2</w:t>
            </w:r>
            <w:r w:rsidRPr="00396A19">
              <w:rPr>
                <w:lang w:val="es-ES_tradnl"/>
              </w:rPr>
              <w:t xml:space="preserve"> Comunicación de la Comisión al Parlamento Europeo, al Consejo Europeo, al Consejo, al Comité Económico y Social Europeo y al Comité de las Regiones «El Pacto Verde Europeo» [COM(2019) 640 final, de 11 de diciembre de 2019].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vertAlign w:val="superscript"/>
                <w:lang w:val="es-ES_tradnl"/>
              </w:rPr>
              <w:t>2</w:t>
            </w:r>
            <w:r w:rsidRPr="00396A19">
              <w:rPr>
                <w:lang w:val="es-ES_tradnl"/>
              </w:rPr>
              <w:t xml:space="preserve"> Comunicación de la Comisión al Parlamento Europeo, al Consejo Europeo, al Consejo, al Comité Económico y Social Europeo y al Comité de las Regiones «El Pacto Verde Europeo» [COM(2019) 640 final, de 11 de diciembre de 2019].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  <w:r w:rsidRPr="00396A19">
              <w:rPr>
                <w:vertAlign w:val="superscript"/>
                <w:lang w:val="es-ES_tradnl"/>
              </w:rPr>
              <w:t>3</w:t>
            </w:r>
            <w:r w:rsidRPr="00396A19">
              <w:rPr>
                <w:lang w:val="es-ES_tradnl"/>
              </w:rPr>
              <w:t xml:space="preserve"> Comunicación de la Comisión al Parlamento Europeo, al Consejo, al Comité Económico y Social Europeo y al Comité de las Regiones: «Estrategia de Sostenibilidad para las Sustancias Químicas. Hacia un entorno sin sustancias tóxicas» [COM(2020) 667 final, de 14 de octubre de 2020].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vertAlign w:val="superscript"/>
                <w:lang w:val="es-ES_tradnl"/>
              </w:rPr>
              <w:t>3</w:t>
            </w:r>
            <w:r w:rsidRPr="00396A19">
              <w:rPr>
                <w:lang w:val="es-ES_tradnl"/>
              </w:rPr>
              <w:t xml:space="preserve"> Comunicación de la Comisión al Parlamento Europeo, al Consejo, al Comité Económico y Social Europeo y al Comité de las Regiones: «Estrategia de Sostenibilidad para las Sustancias Químicas. Hacia un entorno sin sustancias tóxicas» [COM(2020) 667 final, de 14 de octubre de 2020].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2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Considerando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  <w:r w:rsidRPr="00396A19">
              <w:rPr>
                <w:lang w:val="es-ES_tradnl"/>
              </w:rPr>
              <w:t>(2)</w:t>
            </w:r>
            <w:r w:rsidRPr="00396A19">
              <w:rPr>
                <w:lang w:val="es-ES_tradnl"/>
              </w:rPr>
              <w:tab/>
              <w:t xml:space="preserve">La reasignación de determinadas tareas científicas y técnicas a la Agencia Europea de Sustancias y Mezclas Químicas es necesaria para adaptar los procesos y niveles de control científico y digitalización a las normas y procesos </w:t>
            </w:r>
            <w:r w:rsidRPr="00396A19">
              <w:rPr>
                <w:lang w:val="es-ES_tradnl"/>
              </w:rPr>
              <w:lastRenderedPageBreak/>
              <w:t>actuales de la Agencia Europea de Sustancias y Mezclas Químicas. Esto también es necesario para garantizar un nivel coherente de calidad científica, transparencia, capacidad de búsqueda de datos e interoperabilidad, en consonancia con el objetivo de una evaluación por sustancia.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lang w:val="es-ES_tradnl"/>
              </w:rPr>
              <w:lastRenderedPageBreak/>
              <w:t>(2)</w:t>
            </w:r>
            <w:r w:rsidRPr="00396A19">
              <w:rPr>
                <w:lang w:val="es-ES_tradnl"/>
              </w:rPr>
              <w:tab/>
              <w:t xml:space="preserve">La reasignación de determinadas tareas científicas y técnicas a la Agencia Europea de Sustancias y Mezclas Químicas es necesaria para adaptar los procesos y niveles de control científico y digitalización a las normas y procesos </w:t>
            </w:r>
            <w:r w:rsidRPr="00396A19">
              <w:rPr>
                <w:lang w:val="es-ES_tradnl"/>
              </w:rPr>
              <w:lastRenderedPageBreak/>
              <w:t xml:space="preserve">actuales de la Agencia Europea de Sustancias y Mezclas Químicas. Esto también es necesario para garantizar un nivel coherente de calidad científica, transparencia, capacidad de búsqueda de datos e interoperabilidad, en consonancia con el objetivo de una evaluación por sustancia. </w:t>
            </w:r>
            <w:r w:rsidRPr="00396A19">
              <w:rPr>
                <w:b/>
                <w:i/>
                <w:lang w:val="es-ES_tradnl"/>
              </w:rPr>
              <w:t>Además, la digitalización y la racionalización de los procesos reducirán la duplicación de esfuerzos y los retrasos administrativos, lo que supondrá un ahorro de costes significativo y un aumento de la eficiencia tanto para los Estados miembros como para los agentes económicos.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3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Considerando 6 bis (nuevo)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b/>
                <w:i/>
                <w:lang w:val="es-ES_tradnl"/>
              </w:rPr>
              <w:t>(6 bis)</w:t>
            </w:r>
            <w:r w:rsidRPr="00396A19">
              <w:rPr>
                <w:b/>
                <w:i/>
                <w:lang w:val="es-ES_tradnl"/>
              </w:rPr>
              <w:tab/>
              <w:t>La lista de sustancias restringidas contemplada en la Directiva 2011/65/UE debe revisarse periódicamente para garantizar un elevado nivel de protección de la salud humana, el medio ambiente y la seguridad del consumidor. Es adecuado fijar un período de revisión de, al menos, treinta y seis meses teniendo en cuenta la evolución del mercado y los avances técnicos y científicos y tomando en consideración que los Estados miembros pueden presentar expedientes de restricción en cualquier momento y que pueden iniciarse y adoptarse medidas restrictivas horizontales en virtud del Reglamento (CE) n.º 1907/2006, el Reglamento (UE) 2019/1021 u otra normativa de la Unión relativa a los criterios de sostenibilidad aplicables a las sustancias y productos químicos peligrosos.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4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lastRenderedPageBreak/>
        <w:t>Propuesta de Directiva</w:t>
      </w:r>
    </w:p>
    <w:p w:rsidR="00C15628" w:rsidRPr="00396A19" w:rsidRDefault="00C15628" w:rsidP="00C15628">
      <w:pPr>
        <w:pStyle w:val="NormalBold"/>
      </w:pPr>
      <w:r w:rsidRPr="00396A19">
        <w:t>Considerando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  <w:r w:rsidRPr="00396A19">
              <w:rPr>
                <w:lang w:val="es-ES_tradnl"/>
              </w:rPr>
              <w:t>(8)</w:t>
            </w:r>
            <w:r w:rsidRPr="00396A19">
              <w:rPr>
                <w:lang w:val="es-ES_tradnl"/>
              </w:rPr>
              <w:tab/>
              <w:t xml:space="preserve">Para modificar las disposiciones de procedimiento con arreglo a la Directiva 2011/65/UE, es necesario un período transitorio de </w:t>
            </w:r>
            <w:r w:rsidRPr="00396A19">
              <w:rPr>
                <w:b/>
                <w:i/>
                <w:lang w:val="es-ES_tradnl"/>
              </w:rPr>
              <w:t>doce</w:t>
            </w:r>
            <w:r w:rsidRPr="00396A19">
              <w:rPr>
                <w:lang w:val="es-ES_tradnl"/>
              </w:rPr>
              <w:t xml:space="preserve"> meses para permitir la asignación adecuada de recursos y tareas a la Agencia Europea de Sustancias y Mezclas Químicas. Este plazo se considera suficiente para que los solicitantes potenciales o los Estados miembros puedan adaptarse a las etapas del procedimiento modificadas en virtud de dicha Directiva.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lang w:val="es-ES_tradnl"/>
              </w:rPr>
              <w:t>(8)</w:t>
            </w:r>
            <w:r w:rsidRPr="00396A19">
              <w:rPr>
                <w:lang w:val="es-ES_tradnl"/>
              </w:rPr>
              <w:tab/>
              <w:t xml:space="preserve">Para modificar las disposiciones de procedimiento con arreglo a la Directiva 2011/65/UE, es necesario un período transitorio de </w:t>
            </w:r>
            <w:r w:rsidRPr="00396A19">
              <w:rPr>
                <w:b/>
                <w:i/>
                <w:lang w:val="es-ES_tradnl"/>
              </w:rPr>
              <w:t>dieciocho</w:t>
            </w:r>
            <w:r w:rsidRPr="00396A19">
              <w:rPr>
                <w:lang w:val="es-ES_tradnl"/>
              </w:rPr>
              <w:t xml:space="preserve"> meses para permitir la asignación adecuada de recursos y tareas a la Agencia Europea de Sustancias y Mezclas Químicas. Este plazo se considera suficiente para que los solicitantes potenciales o los Estados miembros puedan adaptarse a las etapas del procedimiento modificadas en virtud de dicha Directiva.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5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1 – párrafo 1 – punto 1 – letra a</w:t>
      </w:r>
    </w:p>
    <w:p w:rsidR="00C15628" w:rsidRPr="00396A19" w:rsidRDefault="00C15628" w:rsidP="00C15628">
      <w:pPr>
        <w:keepNext/>
      </w:pPr>
      <w:r w:rsidRPr="00396A19">
        <w:t>Directiva 2011/65/UE</w:t>
      </w:r>
    </w:p>
    <w:p w:rsidR="00C15628" w:rsidRPr="00396A19" w:rsidRDefault="00C15628" w:rsidP="00C15628">
      <w:r w:rsidRPr="00396A19">
        <w:t>Artículo 5 – apartado 4 – párrafo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  <w:r w:rsidRPr="00396A19">
              <w:rPr>
                <w:lang w:val="es-ES_tradnl"/>
              </w:rPr>
              <w:t xml:space="preserve">En caso de </w:t>
            </w:r>
            <w:proofErr w:type="gramStart"/>
            <w:r w:rsidRPr="00396A19">
              <w:rPr>
                <w:lang w:val="es-ES_tradnl"/>
              </w:rPr>
              <w:t>que</w:t>
            </w:r>
            <w:proofErr w:type="gramEnd"/>
            <w:r w:rsidRPr="00396A19">
              <w:rPr>
                <w:lang w:val="es-ES_tradnl"/>
              </w:rPr>
              <w:t xml:space="preserve"> en el plazo previsto de conformidad con el párrafo primero, letra c), el solicitante no complete la solicitud con los elementos que falten y que la Agencia haya determinado de conformidad con el anexo V, la Agencia </w:t>
            </w:r>
            <w:r w:rsidRPr="00396A19">
              <w:rPr>
                <w:b/>
                <w:i/>
                <w:lang w:val="es-ES_tradnl"/>
              </w:rPr>
              <w:t>podrá rechazar</w:t>
            </w:r>
            <w:r w:rsidRPr="00396A19">
              <w:rPr>
                <w:lang w:val="es-ES_tradnl"/>
              </w:rPr>
              <w:t xml:space="preserve"> dicha solicitud. La Agencia establecerá y comunicará al solicitante, sin demora indebida, la fecha en que la solicitud se considere completa.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lang w:val="es-ES_tradnl"/>
              </w:rPr>
              <w:t xml:space="preserve">En caso de </w:t>
            </w:r>
            <w:proofErr w:type="gramStart"/>
            <w:r w:rsidRPr="00396A19">
              <w:rPr>
                <w:lang w:val="es-ES_tradnl"/>
              </w:rPr>
              <w:t>que</w:t>
            </w:r>
            <w:proofErr w:type="gramEnd"/>
            <w:r w:rsidRPr="00396A19">
              <w:rPr>
                <w:lang w:val="es-ES_tradnl"/>
              </w:rPr>
              <w:t xml:space="preserve"> en el plazo previsto de conformidad con el párrafo primero, letra c), el solicitante no complete la solicitud con los elementos que falten y que la Agencia haya determinado de conformidad con el anexo V, la Agencia </w:t>
            </w:r>
            <w:r w:rsidRPr="00396A19">
              <w:rPr>
                <w:b/>
                <w:i/>
                <w:lang w:val="es-ES_tradnl"/>
              </w:rPr>
              <w:t>rechazará</w:t>
            </w:r>
            <w:r w:rsidRPr="00396A19">
              <w:rPr>
                <w:lang w:val="es-ES_tradnl"/>
              </w:rPr>
              <w:t xml:space="preserve"> dicha solicitud. La Agencia establecerá y comunicará al solicitante, sin demora indebida, la fecha en que la solicitud se considere completa.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6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1 – párrafo 1 – punto 1 – letra b</w:t>
      </w:r>
    </w:p>
    <w:p w:rsidR="00C15628" w:rsidRPr="00396A19" w:rsidRDefault="00C15628" w:rsidP="00C15628">
      <w:pPr>
        <w:keepNext/>
      </w:pPr>
      <w:r w:rsidRPr="00396A19">
        <w:t>Directiva 2011/65/UE</w:t>
      </w:r>
    </w:p>
    <w:p w:rsidR="00C15628" w:rsidRPr="00396A19" w:rsidRDefault="00C15628" w:rsidP="00C15628">
      <w:r w:rsidRPr="00396A19">
        <w:t>Artículo 5 – apartado 4 bis – párrafo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  <w:r w:rsidRPr="00396A19">
              <w:rPr>
                <w:lang w:val="es-ES_tradnl"/>
              </w:rPr>
              <w:t>La Agencia determinará qué partes de sus dictámenes y de sus anexos deben ponerse a disposición del público en su sitio web y las hará públicas en ese sitio.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lang w:val="es-ES_tradnl"/>
              </w:rPr>
              <w:t>La Agencia determinará qué partes de sus dictámenes y de sus anexos deben ponerse a disposición del público en su sitio web y las hará públicas en ese sitio</w:t>
            </w:r>
            <w:r w:rsidRPr="00396A19">
              <w:rPr>
                <w:b/>
                <w:i/>
                <w:lang w:val="es-ES_tradnl"/>
              </w:rPr>
              <w:t>, incluidas todas las solicitudes presentadas de conformidad con el párrafo segundo, letra c)</w:t>
            </w:r>
            <w:r w:rsidRPr="00396A19">
              <w:rPr>
                <w:lang w:val="es-ES_tradnl"/>
              </w:rPr>
              <w:t>.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7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1 – párrafo 1 – punto 1 – letra b bis (nueva)</w:t>
      </w:r>
    </w:p>
    <w:p w:rsidR="00C15628" w:rsidRPr="00396A19" w:rsidRDefault="00C15628" w:rsidP="00C15628">
      <w:pPr>
        <w:keepNext/>
      </w:pPr>
      <w:r w:rsidRPr="00396A19">
        <w:t>Directiva 2011/65/UE</w:t>
      </w:r>
    </w:p>
    <w:p w:rsidR="00C15628" w:rsidRPr="00396A19" w:rsidRDefault="00C15628" w:rsidP="00C15628">
      <w:r w:rsidRPr="00396A19">
        <w:t>Artículo 5 – apartado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en vigor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b/>
                <w:i/>
                <w:lang w:val="es-ES_tradnl"/>
              </w:rPr>
              <w:t>b bis)</w:t>
            </w:r>
            <w:r w:rsidRPr="00396A19">
              <w:rPr>
                <w:b/>
                <w:i/>
                <w:lang w:val="es-ES_tradnl"/>
              </w:rPr>
              <w:tab/>
              <w:t>el apartado 5 se sustituye por el texto siguiente: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  <w:r w:rsidRPr="00396A19">
              <w:rPr>
                <w:lang w:val="es-ES_tradnl"/>
              </w:rPr>
              <w:t>5. Las solicitudes de prórroga de una exención deberán presentarse a más tardar 18 meses antes de la expiración de la exención. La exención existente seguirá siendo válida hasta que la Comisión adopte una decisión sobre la solicitud de prórroga.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b/>
                <w:i/>
                <w:lang w:val="es-ES_tradnl"/>
              </w:rPr>
              <w:t>«5.</w:t>
            </w:r>
            <w:r w:rsidRPr="00396A19">
              <w:rPr>
                <w:lang w:val="es-ES_tradnl"/>
              </w:rPr>
              <w:t xml:space="preserve"> Las solicitudes de prórroga de una exención deberán presentarse a más tardar 18 meses antes de la expiración de la exención. La </w:t>
            </w:r>
            <w:r w:rsidRPr="00396A19">
              <w:rPr>
                <w:b/>
                <w:i/>
                <w:lang w:val="es-ES_tradnl"/>
              </w:rPr>
              <w:t xml:space="preserve">Comisión adoptará la decisión sobre la solicitud en un plazo de 6 meses a partir de la recepción de los dictámenes de la Agencia. La </w:t>
            </w:r>
            <w:r w:rsidRPr="00396A19">
              <w:rPr>
                <w:lang w:val="es-ES_tradnl"/>
              </w:rPr>
              <w:t>exención existente seguirá siendo válida hasta que la Comisión adopte una decisión sobre la solicitud de prórroga.</w:t>
            </w:r>
            <w:r w:rsidRPr="00396A19">
              <w:rPr>
                <w:b/>
                <w:i/>
                <w:lang w:val="es-ES_tradnl"/>
              </w:rPr>
              <w:t>».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8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1 – párrafo 1 – punto 3 – letra a</w:t>
      </w:r>
    </w:p>
    <w:p w:rsidR="00C15628" w:rsidRPr="00396A19" w:rsidRDefault="00C15628" w:rsidP="00C15628">
      <w:pPr>
        <w:keepNext/>
      </w:pPr>
      <w:r w:rsidRPr="00396A19">
        <w:t>Directiva 2011/65/UE</w:t>
      </w:r>
    </w:p>
    <w:p w:rsidR="00C15628" w:rsidRPr="00396A19" w:rsidRDefault="00C15628" w:rsidP="00C15628">
      <w:r w:rsidRPr="00396A19">
        <w:t>Artículo 6 – apartado 1 – párrafo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  <w:r w:rsidRPr="00396A19">
              <w:rPr>
                <w:lang w:val="es-ES_tradnl"/>
              </w:rPr>
              <w:t>Con objeto de alcanzar los objetivos establecidos en el artículo 1 y teniendo en cuenta el principio de cautela, la Comisión considerará periódicamente por propia iniciativa o previa presentación, por parte de un Estado miembro, de una propuesta que contenga la información mencionada en el apartado 2, una revisión, basada en una evaluación exhaustiva, y una modificación de la lista de sustancias restringidas que figura en el anexo II.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lang w:val="es-ES_tradnl"/>
              </w:rPr>
              <w:t xml:space="preserve">Con objeto de alcanzar los objetivos establecidos en el artículo 1 y teniendo en cuenta el principio de cautela, la Comisión considerará periódicamente </w:t>
            </w:r>
            <w:r w:rsidRPr="00396A19">
              <w:rPr>
                <w:b/>
                <w:i/>
                <w:lang w:val="es-ES_tradnl"/>
              </w:rPr>
              <w:t xml:space="preserve">y al menos cada 36 meses </w:t>
            </w:r>
            <w:r w:rsidRPr="00396A19">
              <w:rPr>
                <w:lang w:val="es-ES_tradnl"/>
              </w:rPr>
              <w:t>por propia iniciativa o previa presentación, por parte de un Estado miembro, de una propuesta que contenga la información mencionada en el apartado 2, una revisión, basada en una evaluación exhaustiva, y una modificación de la lista de sustancias restringidas que figura en el anexo II.</w:t>
            </w:r>
            <w:r w:rsidRPr="00396A19">
              <w:rPr>
                <w:b/>
                <w:i/>
                <w:lang w:val="es-ES_tradnl"/>
              </w:rPr>
              <w:t>;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9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1 – párrafo 1 – punto 3 – letra c</w:t>
      </w:r>
    </w:p>
    <w:p w:rsidR="00C15628" w:rsidRPr="00396A19" w:rsidRDefault="00C15628" w:rsidP="00C15628">
      <w:pPr>
        <w:keepNext/>
      </w:pPr>
      <w:r w:rsidRPr="00396A19">
        <w:t>Directiva 2011/65/UE</w:t>
      </w:r>
    </w:p>
    <w:p w:rsidR="00C15628" w:rsidRPr="00396A19" w:rsidRDefault="00C15628" w:rsidP="00C15628">
      <w:r w:rsidRPr="00396A19">
        <w:t>Artículo 6 – apartado 2 – párrafo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  <w:r w:rsidRPr="00396A19">
              <w:rPr>
                <w:lang w:val="es-ES_tradnl"/>
              </w:rPr>
              <w:t>La revisión y modificación de la lista de sustancias restringidas del anexo II se basará en expedientes de restricción preparados por la Agencia a petición de la Comisión o preparados por un Estado miembro.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lang w:val="es-ES_tradnl"/>
              </w:rPr>
              <w:t xml:space="preserve">La revisión y modificación de la lista de sustancias restringidas </w:t>
            </w:r>
            <w:r w:rsidRPr="00396A19">
              <w:rPr>
                <w:b/>
                <w:i/>
                <w:lang w:val="es-ES_tradnl"/>
              </w:rPr>
              <w:t xml:space="preserve">o de un grupo de sustancias restringidas </w:t>
            </w:r>
            <w:r w:rsidRPr="00396A19">
              <w:rPr>
                <w:lang w:val="es-ES_tradnl"/>
              </w:rPr>
              <w:t>del anexo II se basará en expedientes de restricción preparados por la Agencia a petición de la Comisión o preparados por un Estado miembro.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10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1 – párrafo 1 – punto 3 – letra c</w:t>
      </w:r>
    </w:p>
    <w:p w:rsidR="00C15628" w:rsidRPr="00396A19" w:rsidRDefault="00C15628" w:rsidP="00C15628">
      <w:pPr>
        <w:keepNext/>
      </w:pPr>
      <w:r w:rsidRPr="00396A19">
        <w:t>Directiva 2011/65/UE</w:t>
      </w:r>
    </w:p>
    <w:p w:rsidR="00C15628" w:rsidRPr="00396A19" w:rsidRDefault="00C15628" w:rsidP="00C15628">
      <w:r w:rsidRPr="00396A19">
        <w:t>Artículo 6 – apartado 2 – párrafo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  <w:r w:rsidRPr="00396A19">
              <w:rPr>
                <w:lang w:val="es-ES_tradnl"/>
              </w:rPr>
              <w:t xml:space="preserve">La Agencia o un Estado miembro tendrá en cuenta toda la información disponible y todas las evaluaciones </w:t>
            </w:r>
            <w:r w:rsidRPr="00396A19">
              <w:rPr>
                <w:b/>
                <w:i/>
                <w:lang w:val="es-ES_tradnl"/>
              </w:rPr>
              <w:t xml:space="preserve">del riesgo </w:t>
            </w:r>
            <w:r w:rsidRPr="00396A19">
              <w:rPr>
                <w:lang w:val="es-ES_tradnl"/>
              </w:rPr>
              <w:t xml:space="preserve">pertinentes presentadas a efectos de otra legislación de la Unión relativa </w:t>
            </w:r>
            <w:r w:rsidRPr="00396A19">
              <w:rPr>
                <w:b/>
                <w:i/>
                <w:lang w:val="es-ES_tradnl"/>
              </w:rPr>
              <w:t>al</w:t>
            </w:r>
            <w:r w:rsidRPr="00396A19">
              <w:rPr>
                <w:lang w:val="es-ES_tradnl"/>
              </w:rPr>
              <w:t xml:space="preserve"> ciclo de vida de la sustancia utilizada en los aparatos eléctricos y electrónicos («AEE»), en particular la fase de residuo. A tales efectos, otros organismos creados con arreglo al Derecho de la Unión y que desempeñen un cometido similar facilitarán información a la Agencia o al Estado miembro de que se trate, previa solicitud.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lang w:val="es-ES_tradnl"/>
              </w:rPr>
              <w:t xml:space="preserve">La Agencia o un Estado miembro tendrá en cuenta toda la información disponible y todas las evaluaciones pertinentes presentadas a efectos de otra legislación de la Unión relativa </w:t>
            </w:r>
            <w:r w:rsidRPr="00396A19">
              <w:rPr>
                <w:b/>
                <w:i/>
                <w:lang w:val="es-ES_tradnl"/>
              </w:rPr>
              <w:t>a cualquier parte del</w:t>
            </w:r>
            <w:r w:rsidRPr="00396A19">
              <w:rPr>
                <w:lang w:val="es-ES_tradnl"/>
              </w:rPr>
              <w:t xml:space="preserve"> ciclo de vida de la sustancia utilizada en los aparatos eléctricos y electrónicos («AEE»), en particular la fase de residuo. A tales efectos, otros organismos creados con arreglo al Derecho de la Unión y que desempeñen un cometido similar facilitarán información a la Agencia o al Estado miembro de que se trate, previa solicitud.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11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1 – párrafo 1 – punto 3 – letra c</w:t>
      </w:r>
    </w:p>
    <w:p w:rsidR="00C15628" w:rsidRPr="00396A19" w:rsidRDefault="00C15628" w:rsidP="00C15628">
      <w:pPr>
        <w:keepNext/>
      </w:pPr>
      <w:r w:rsidRPr="00396A19">
        <w:t>Directiva 2011/65/UE</w:t>
      </w:r>
    </w:p>
    <w:p w:rsidR="00C15628" w:rsidRPr="00396A19" w:rsidRDefault="00C15628" w:rsidP="00C15628">
      <w:r w:rsidRPr="00396A19">
        <w:t>Artículo 6 – apartado 2 – párrafo 3 – letra -a (nueva)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b/>
                <w:i/>
                <w:lang w:val="es-ES_tradnl"/>
              </w:rPr>
              <w:t>-a)</w:t>
            </w:r>
            <w:r w:rsidRPr="00396A19">
              <w:rPr>
                <w:b/>
                <w:i/>
                <w:lang w:val="es-ES_tradnl"/>
              </w:rPr>
              <w:tab/>
              <w:t>la identidad de la sustancia;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12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1 – párrafo 1 – punto 3 – letra c</w:t>
      </w:r>
    </w:p>
    <w:p w:rsidR="00C15628" w:rsidRPr="00396A19" w:rsidRDefault="00C15628" w:rsidP="00C15628">
      <w:pPr>
        <w:keepNext/>
      </w:pPr>
      <w:r w:rsidRPr="00396A19">
        <w:t>Directiva 2011/65/UE</w:t>
      </w:r>
    </w:p>
    <w:p w:rsidR="00C15628" w:rsidRPr="00396A19" w:rsidRDefault="00C15628" w:rsidP="00C15628">
      <w:r w:rsidRPr="00396A19">
        <w:t>Artículo 6 – apartado 2 – párrafo 3 – letra -a bis (nueva)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b/>
                <w:i/>
                <w:lang w:val="es-ES_tradnl"/>
              </w:rPr>
              <w:t>-a bis)</w:t>
            </w:r>
            <w:r w:rsidRPr="00396A19">
              <w:rPr>
                <w:b/>
                <w:i/>
                <w:lang w:val="es-ES_tradnl"/>
              </w:rPr>
              <w:tab/>
              <w:t>una redacción clara y precisa de la entrada de la restricción propuesta en el anexo II;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13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1 – párrafo 1 – punto 3 – letra c</w:t>
      </w:r>
    </w:p>
    <w:p w:rsidR="00C15628" w:rsidRPr="00396A19" w:rsidRDefault="00C15628" w:rsidP="00C15628">
      <w:pPr>
        <w:keepNext/>
      </w:pPr>
      <w:r w:rsidRPr="00396A19">
        <w:t>Directiva 2011/65/UE</w:t>
      </w:r>
    </w:p>
    <w:p w:rsidR="00C15628" w:rsidRPr="00396A19" w:rsidRDefault="00C15628" w:rsidP="00C15628">
      <w:r w:rsidRPr="00396A19">
        <w:t>Artículo 6 – apartado 2 – párrafo 3 – letra -a ter (nueva)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b/>
                <w:i/>
                <w:lang w:val="es-ES_tradnl"/>
              </w:rPr>
              <w:t>-a ter)</w:t>
            </w:r>
            <w:r w:rsidRPr="00396A19">
              <w:rPr>
                <w:b/>
                <w:i/>
                <w:lang w:val="es-ES_tradnl"/>
              </w:rPr>
              <w:tab/>
              <w:t>referencias y pruebas científicas de la restricción;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14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1 – párrafo 1 – punto 3 – letra c</w:t>
      </w:r>
    </w:p>
    <w:p w:rsidR="00C15628" w:rsidRPr="00396A19" w:rsidRDefault="00C15628" w:rsidP="00C15628">
      <w:pPr>
        <w:keepNext/>
      </w:pPr>
      <w:r w:rsidRPr="00396A19">
        <w:t>Directiva 2011/65/UE</w:t>
      </w:r>
    </w:p>
    <w:p w:rsidR="00C15628" w:rsidRPr="00396A19" w:rsidRDefault="00C15628" w:rsidP="00C15628">
      <w:r w:rsidRPr="00396A19">
        <w:t>Artículo 6 – apartado 2 – párrafo 3 – letra b bis (nueva)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b/>
                <w:i/>
                <w:lang w:val="es-ES_tradnl"/>
              </w:rPr>
              <w:t>b bis)</w:t>
            </w:r>
            <w:r w:rsidRPr="00396A19">
              <w:rPr>
                <w:b/>
                <w:i/>
                <w:lang w:val="es-ES_tradnl"/>
              </w:rPr>
              <w:tab/>
              <w:t>información sobre posibles alternativas, su disponibilidad y su adecuación;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15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1 – párrafo 1 – punto 3 – letra c</w:t>
      </w:r>
    </w:p>
    <w:p w:rsidR="00C15628" w:rsidRPr="00396A19" w:rsidRDefault="00C15628" w:rsidP="00C15628">
      <w:pPr>
        <w:keepNext/>
      </w:pPr>
      <w:r w:rsidRPr="00396A19">
        <w:t>Directiva 2011/65/UE</w:t>
      </w:r>
    </w:p>
    <w:p w:rsidR="00C15628" w:rsidRPr="00396A19" w:rsidRDefault="00C15628" w:rsidP="00C15628">
      <w:r w:rsidRPr="00396A19">
        <w:t>Artículo 6 – apartado 2 – párrafo 3 – letra b ter (nueva)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b/>
                <w:i/>
                <w:lang w:val="es-ES_tradnl"/>
              </w:rPr>
              <w:t>b ter)</w:t>
            </w:r>
            <w:r w:rsidRPr="00396A19">
              <w:rPr>
                <w:b/>
                <w:i/>
                <w:lang w:val="es-ES_tradnl"/>
              </w:rPr>
              <w:tab/>
              <w:t>una justificación de que una restricción a escala de la Unión es la medida más adecuada.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16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1 – párrafo 1 – punto 3 – letra c</w:t>
      </w:r>
    </w:p>
    <w:p w:rsidR="00C15628" w:rsidRPr="00396A19" w:rsidRDefault="00C15628" w:rsidP="00C15628">
      <w:pPr>
        <w:keepNext/>
      </w:pPr>
      <w:r w:rsidRPr="00396A19">
        <w:t>Directiva 2011/65/UE</w:t>
      </w:r>
    </w:p>
    <w:p w:rsidR="00C15628" w:rsidRPr="00396A19" w:rsidRDefault="00C15628" w:rsidP="00C15628">
      <w:r w:rsidRPr="00396A19">
        <w:t>Artículo 6 – apartado 2 – párrafo 3 – letra b quater (nueva)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b/>
                <w:i/>
                <w:lang w:val="es-ES_tradnl"/>
              </w:rPr>
              <w:t>b quater)</w:t>
            </w:r>
            <w:r w:rsidRPr="00396A19">
              <w:rPr>
                <w:b/>
                <w:i/>
                <w:lang w:val="es-ES_tradnl"/>
              </w:rPr>
              <w:tab/>
              <w:t>una evaluación socioeconómica.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17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1 – párrafo 1 – punto 4 bis (nuevo)</w:t>
      </w:r>
    </w:p>
    <w:p w:rsidR="00C15628" w:rsidRPr="00396A19" w:rsidRDefault="00C15628" w:rsidP="00C15628">
      <w:pPr>
        <w:keepNext/>
      </w:pPr>
      <w:r w:rsidRPr="00396A19">
        <w:t>Directiva 2011/65/UE</w:t>
      </w:r>
    </w:p>
    <w:p w:rsidR="00C15628" w:rsidRPr="00396A19" w:rsidRDefault="00C15628" w:rsidP="00C15628">
      <w:r w:rsidRPr="00396A19">
        <w:t>Artículo 20 – apartado 1 bis (nuevo)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b/>
                <w:i/>
                <w:lang w:val="es-ES_tradnl"/>
              </w:rPr>
              <w:t>4 bis)</w:t>
            </w:r>
            <w:r w:rsidRPr="00396A19">
              <w:rPr>
                <w:b/>
                <w:i/>
                <w:lang w:val="es-ES_tradnl"/>
              </w:rPr>
              <w:tab/>
              <w:t>En el artículo 20 se inserta el apartado siguiente: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b/>
                <w:i/>
                <w:lang w:val="es-ES_tradnl"/>
              </w:rPr>
              <w:t>«1 bis.</w:t>
            </w:r>
            <w:r w:rsidRPr="00396A19">
              <w:rPr>
                <w:b/>
                <w:i/>
                <w:lang w:val="es-ES_tradnl"/>
              </w:rPr>
              <w:tab/>
              <w:t>Antes de la adopción de un acto delegado, la Comisión consultará a los expertos designados por cada Estado miembro de conformidad con los principios establecidos en el Acuerdo interinstitucional de 13 de abril de 2016 sobre la mejora de la legislación.».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18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1 – párrafo 1 – punto 4 ter (nuevo)</w:t>
      </w:r>
    </w:p>
    <w:p w:rsidR="00C15628" w:rsidRPr="00396A19" w:rsidRDefault="00C15628" w:rsidP="00C15628">
      <w:pPr>
        <w:keepNext/>
      </w:pPr>
      <w:r w:rsidRPr="00396A19">
        <w:t>Directiva 2011/65/UE</w:t>
      </w:r>
    </w:p>
    <w:p w:rsidR="00C15628" w:rsidRPr="00396A19" w:rsidRDefault="00C15628" w:rsidP="00C15628">
      <w:r w:rsidRPr="00396A19">
        <w:t>Artículo 24 – apartado 2 bis (nuevo)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b/>
                <w:i/>
                <w:lang w:val="es-ES_tradnl"/>
              </w:rPr>
              <w:t>4 ter)</w:t>
            </w:r>
            <w:r w:rsidRPr="00396A19">
              <w:rPr>
                <w:b/>
                <w:i/>
                <w:lang w:val="es-ES_tradnl"/>
              </w:rPr>
              <w:tab/>
              <w:t>En el artículo 24 se añade el apartado siguiente: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b/>
                <w:i/>
                <w:lang w:val="es-ES_tradnl"/>
              </w:rPr>
              <w:t>«2 bis.</w:t>
            </w:r>
            <w:r w:rsidRPr="00396A19">
              <w:rPr>
                <w:b/>
                <w:i/>
                <w:lang w:val="es-ES_tradnl"/>
              </w:rPr>
              <w:tab/>
              <w:t>La Comisión hará un seguimiento de la situación en lo que concierne a los recursos de la Agencia Europea de Sustancias y Mezclas Químicas y a las tareas, la carga de trabajo y el mandato de los comités científicos de la Agencia y presentará, en caso necesario, una propuesta legislativa para reflejar las necesidades de la Agencia derivadas de las tareas introducidas por el presente Reglamento y para mejorar la gobernanza de sus comités científicos.».</w:t>
            </w:r>
          </w:p>
        </w:tc>
      </w:tr>
    </w:tbl>
    <w:p w:rsidR="00C15628" w:rsidRPr="00396A19" w:rsidRDefault="00C15628" w:rsidP="00C15628"/>
    <w:p w:rsidR="00C15628" w:rsidRPr="00396A19" w:rsidRDefault="00C15628" w:rsidP="00C15628">
      <w:pPr>
        <w:pStyle w:val="AmNumberTabs"/>
      </w:pPr>
      <w:r w:rsidRPr="00396A19">
        <w:t>Enmienda</w:t>
      </w:r>
      <w:r w:rsidRPr="00396A19">
        <w:tab/>
      </w:r>
      <w:r w:rsidRPr="00396A19">
        <w:tab/>
        <w:t>19</w:t>
      </w:r>
    </w:p>
    <w:p w:rsidR="00C15628" w:rsidRPr="00396A19" w:rsidRDefault="00C15628" w:rsidP="00C15628"/>
    <w:p w:rsidR="00C15628" w:rsidRPr="00396A19" w:rsidRDefault="00C15628" w:rsidP="00C15628">
      <w:pPr>
        <w:pStyle w:val="NormalBold"/>
        <w:keepNext/>
      </w:pPr>
      <w:r w:rsidRPr="00396A19">
        <w:t>Propuesta de Directiva</w:t>
      </w:r>
    </w:p>
    <w:p w:rsidR="00C15628" w:rsidRPr="00396A19" w:rsidRDefault="00C15628" w:rsidP="00C15628">
      <w:pPr>
        <w:pStyle w:val="NormalBold"/>
      </w:pPr>
      <w:r w:rsidRPr="00396A19">
        <w:t>Artículo 2 – párrafo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15628" w:rsidRPr="00396A19" w:rsidTr="00224BC5">
        <w:trPr>
          <w:jc w:val="center"/>
        </w:trPr>
        <w:tc>
          <w:tcPr>
            <w:tcW w:w="9752" w:type="dxa"/>
            <w:gridSpan w:val="2"/>
          </w:tcPr>
          <w:p w:rsidR="00C15628" w:rsidRPr="00396A19" w:rsidRDefault="00C15628" w:rsidP="00224BC5">
            <w:pPr>
              <w:keepNext/>
            </w:pP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Texto de la Comisión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ColumnHeading"/>
              <w:keepNext/>
              <w:rPr>
                <w:lang w:val="es-ES_tradnl"/>
              </w:rPr>
            </w:pPr>
            <w:r w:rsidRPr="00396A19">
              <w:rPr>
                <w:lang w:val="es-ES_tradnl"/>
              </w:rPr>
              <w:t>Enmienda</w:t>
            </w:r>
          </w:p>
        </w:tc>
      </w:tr>
      <w:tr w:rsidR="00C15628" w:rsidRPr="00396A19" w:rsidTr="00224BC5">
        <w:trPr>
          <w:jc w:val="center"/>
        </w:trPr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lang w:val="es-ES_tradnl"/>
              </w:rPr>
            </w:pPr>
            <w:r w:rsidRPr="00396A19">
              <w:rPr>
                <w:lang w:val="es-ES_tradnl"/>
              </w:rPr>
              <w:t xml:space="preserve">Las disposiciones de la presente Directiva serán aplicables a partir del [DO: </w:t>
            </w:r>
            <w:r w:rsidRPr="00396A19">
              <w:rPr>
                <w:b/>
                <w:i/>
                <w:lang w:val="es-ES_tradnl"/>
              </w:rPr>
              <w:t>doce</w:t>
            </w:r>
            <w:r w:rsidRPr="00396A19">
              <w:rPr>
                <w:lang w:val="es-ES_tradnl"/>
              </w:rPr>
              <w:t xml:space="preserve"> meses después de la publicación de la presente Directiva].</w:t>
            </w:r>
          </w:p>
        </w:tc>
        <w:tc>
          <w:tcPr>
            <w:tcW w:w="4876" w:type="dxa"/>
            <w:hideMark/>
          </w:tcPr>
          <w:p w:rsidR="00C15628" w:rsidRPr="00396A19" w:rsidRDefault="00C15628" w:rsidP="00224BC5">
            <w:pPr>
              <w:pStyle w:val="Normal6"/>
              <w:rPr>
                <w:szCs w:val="24"/>
                <w:lang w:val="es-ES_tradnl"/>
              </w:rPr>
            </w:pPr>
            <w:r w:rsidRPr="00396A19">
              <w:rPr>
                <w:lang w:val="es-ES_tradnl"/>
              </w:rPr>
              <w:t xml:space="preserve">Las disposiciones de la presente Directiva serán aplicables a partir del [DO: </w:t>
            </w:r>
            <w:r w:rsidRPr="00396A19">
              <w:rPr>
                <w:b/>
                <w:i/>
                <w:lang w:val="es-ES_tradnl"/>
              </w:rPr>
              <w:t>dieciocho</w:t>
            </w:r>
            <w:r w:rsidRPr="00396A19">
              <w:rPr>
                <w:lang w:val="es-ES_tradnl"/>
              </w:rPr>
              <w:t xml:space="preserve"> meses después de la publicación de la presente Directiva].</w:t>
            </w:r>
          </w:p>
        </w:tc>
      </w:tr>
    </w:tbl>
    <w:p w:rsidR="00E365E1" w:rsidRPr="00396A19" w:rsidRDefault="00E365E1" w:rsidP="00CC67D8"/>
    <w:sectPr w:rsidR="00E365E1" w:rsidRPr="00396A19" w:rsidSect="00E52A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7D8" w:rsidRPr="00E52A7F" w:rsidRDefault="00CC67D8">
      <w:r w:rsidRPr="00E52A7F">
        <w:separator/>
      </w:r>
    </w:p>
  </w:endnote>
  <w:endnote w:type="continuationSeparator" w:id="0">
    <w:p w:rsidR="00CC67D8" w:rsidRPr="00E52A7F" w:rsidRDefault="00CC67D8">
      <w:r w:rsidRPr="00E52A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2A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2A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2A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7D8" w:rsidRPr="00E52A7F" w:rsidRDefault="00CC67D8">
      <w:r w:rsidRPr="00E52A7F">
        <w:separator/>
      </w:r>
    </w:p>
  </w:footnote>
  <w:footnote w:type="continuationSeparator" w:id="0">
    <w:p w:rsidR="00CC67D8" w:rsidRPr="00E52A7F" w:rsidRDefault="00CC67D8">
      <w:r w:rsidRPr="00E52A7F">
        <w:continuationSeparator/>
      </w:r>
    </w:p>
  </w:footnote>
  <w:footnote w:id="1">
    <w:p w:rsidR="00C347DA" w:rsidRPr="00396A19" w:rsidRDefault="00C347DA" w:rsidP="00396A19">
      <w:pPr>
        <w:pStyle w:val="FootnoteText"/>
        <w:ind w:left="567" w:hanging="567"/>
        <w:rPr>
          <w:lang w:val="es-ES"/>
        </w:rPr>
      </w:pPr>
      <w:r w:rsidRPr="00C347DA">
        <w:rPr>
          <w:rStyle w:val="FootnoteReference"/>
        </w:rPr>
        <w:footnoteRef/>
      </w:r>
      <w:r w:rsidRPr="00396A19">
        <w:rPr>
          <w:lang w:val="es-ES"/>
        </w:rPr>
        <w:t xml:space="preserve"> </w:t>
      </w:r>
      <w:r w:rsidRPr="00396A19">
        <w:rPr>
          <w:lang w:val="es-ES"/>
        </w:rPr>
        <w:tab/>
      </w:r>
      <w:r w:rsidRPr="00396A19">
        <w:rPr>
          <w:sz w:val="24"/>
          <w:szCs w:val="24"/>
          <w:lang w:val="es-ES_tradnl"/>
        </w:rPr>
        <w:t>De conformidad con el artículo 60, apartado 4, párrafo cuarto, del Reglamento interno, el asunto se devuelve a la comisión competente con vistas a la celebración de negociaciones interinstitucionales (A10-0019/2025).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2A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2A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52A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9/2025"/>
    <w:docVar w:name="dvlangue" w:val="ES"/>
    <w:docVar w:name="dvnumam" w:val="19"/>
    <w:docVar w:name="dvpe" w:val="763.254"/>
    <w:docVar w:name="dvrapporteur" w:val="Ponente: "/>
    <w:docVar w:name="dvstar" w:val="***I"/>
    <w:docVar w:name="dvtitre" w:val="Resolución legislativa del Parlamento Europeo, de 1 de abril de 2025, sobre la propuesta de Directiva del Parlamento Europeo y del Consejo por la que se modifica la Directiva 2011/65/UE del Parlamento Europeo y del Consejo en lo que se refiere a la reasignación de tareas científicas y técnicas a la Agencia Europea de Sustancias y Mezclas Químicas(COM(2023)0781 – C9-0448/2023 – 2023/0454(COD))"/>
  </w:docVars>
  <w:rsids>
    <w:rsidRoot w:val="00CC67D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A1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5B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9F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5628"/>
    <w:rsid w:val="00C23CD4"/>
    <w:rsid w:val="00C347DA"/>
    <w:rsid w:val="00C61C0C"/>
    <w:rsid w:val="00C941CB"/>
    <w:rsid w:val="00CC2357"/>
    <w:rsid w:val="00CC67D8"/>
    <w:rsid w:val="00CF071A"/>
    <w:rsid w:val="00D058B8"/>
    <w:rsid w:val="00D56C11"/>
    <w:rsid w:val="00D834A0"/>
    <w:rsid w:val="00D872DF"/>
    <w:rsid w:val="00D91E21"/>
    <w:rsid w:val="00DA7FCD"/>
    <w:rsid w:val="00E365E1"/>
    <w:rsid w:val="00E52A7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F02E4-0A24-4FDB-862E-14C2E7771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C15628"/>
    <w:rPr>
      <w:b/>
    </w:rPr>
  </w:style>
  <w:style w:type="paragraph" w:customStyle="1" w:styleId="NormalHanging12a">
    <w:name w:val="NormalHanging12a"/>
    <w:basedOn w:val="Normal"/>
    <w:rsid w:val="00C15628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C1562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C15628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C15628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C15628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C15628"/>
    <w:rPr>
      <w:b/>
      <w:sz w:val="24"/>
      <w:lang w:val="es-ES_tradnl"/>
    </w:rPr>
  </w:style>
  <w:style w:type="paragraph" w:customStyle="1" w:styleId="ColumnHeading">
    <w:name w:val="ColumnHeading"/>
    <w:basedOn w:val="Normal"/>
    <w:rsid w:val="00C15628"/>
    <w:pPr>
      <w:spacing w:after="240"/>
      <w:jc w:val="center"/>
    </w:pPr>
    <w:rPr>
      <w:i/>
      <w:lang w:val="es-ES"/>
    </w:rPr>
  </w:style>
  <w:style w:type="paragraph" w:customStyle="1" w:styleId="CrossRef">
    <w:name w:val="CrossRef"/>
    <w:basedOn w:val="Normal"/>
    <w:rsid w:val="00C15628"/>
    <w:pPr>
      <w:spacing w:before="240"/>
      <w:jc w:val="center"/>
    </w:pPr>
    <w:rPr>
      <w:i/>
      <w:lang w:val="es-ES"/>
    </w:rPr>
  </w:style>
  <w:style w:type="character" w:styleId="Hyperlink">
    <w:name w:val="Hyperlink"/>
    <w:basedOn w:val="DefaultParagraphFont"/>
    <w:rsid w:val="009C69F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C347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347DA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BCAE0-DEC4-49F2-8066-D461AF5AC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2472</Words>
  <Characters>13422</Characters>
  <Application>Microsoft Office Word</Application>
  <DocSecurity>0</DocSecurity>
  <Lines>745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2025-04-01T14:24:00Z</dcterms:created>
  <dcterms:modified xsi:type="dcterms:W3CDTF">2025-04-01T14:24:00Z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A10-0019/2025</vt:lpwstr>
  </property>
  <property fmtid="{D5CDD505-2E9C-101B-9397-08002B2CF9AE}" pid="4" name="&lt;Type&gt;">
    <vt:lpwstr>RR</vt:lpwstr>
  </property>
</Properties>
</file>