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246A2" w:rsidTr="0010095E">
        <w:trPr>
          <w:trHeight w:hRule="exact" w:val="1418"/>
        </w:trPr>
        <w:tc>
          <w:tcPr>
            <w:tcW w:w="6804" w:type="dxa"/>
            <w:shd w:val="clear" w:color="auto" w:fill="auto"/>
            <w:vAlign w:val="center"/>
          </w:tcPr>
          <w:p w:rsidR="00751A4A" w:rsidRPr="001246A2" w:rsidRDefault="00B31198" w:rsidP="0010095E">
            <w:pPr>
              <w:pStyle w:val="EPName"/>
            </w:pPr>
            <w:r w:rsidRPr="001246A2">
              <w:t>Euroopa Parlament</w:t>
            </w:r>
          </w:p>
          <w:p w:rsidR="00751A4A" w:rsidRPr="001246A2" w:rsidRDefault="005F1B17" w:rsidP="005F1B17">
            <w:pPr>
              <w:pStyle w:val="EPTerm"/>
              <w:rPr>
                <w:rStyle w:val="HideTWBExt"/>
                <w:noProof w:val="0"/>
                <w:vanish w:val="0"/>
                <w:color w:val="auto"/>
              </w:rPr>
            </w:pPr>
            <w:r w:rsidRPr="001246A2">
              <w:t>2024</w:t>
            </w:r>
            <w:r w:rsidR="00817416" w:rsidRPr="001246A2">
              <w:t>-202</w:t>
            </w:r>
            <w:r w:rsidRPr="001246A2">
              <w:t>9</w:t>
            </w:r>
          </w:p>
        </w:tc>
        <w:tc>
          <w:tcPr>
            <w:tcW w:w="2268" w:type="dxa"/>
            <w:shd w:val="clear" w:color="auto" w:fill="auto"/>
          </w:tcPr>
          <w:p w:rsidR="00751A4A" w:rsidRPr="001246A2" w:rsidRDefault="00187494" w:rsidP="0010095E">
            <w:pPr>
              <w:pStyle w:val="EPLogo"/>
            </w:pPr>
            <w:r w:rsidRPr="001246A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246A2" w:rsidRDefault="00D058B8" w:rsidP="004C5D52">
      <w:pPr>
        <w:pStyle w:val="LineTop"/>
      </w:pPr>
    </w:p>
    <w:p w:rsidR="00680577" w:rsidRPr="001246A2" w:rsidRDefault="00B31198" w:rsidP="00680577">
      <w:pPr>
        <w:pStyle w:val="EPBodyTA1"/>
      </w:pPr>
      <w:r w:rsidRPr="001246A2">
        <w:t>VASTUVÕETUD TEKSTID</w:t>
      </w:r>
    </w:p>
    <w:p w:rsidR="00D058B8" w:rsidRPr="001246A2" w:rsidRDefault="00D058B8" w:rsidP="00D058B8">
      <w:pPr>
        <w:pStyle w:val="LineBottom"/>
      </w:pPr>
    </w:p>
    <w:p w:rsidR="00B31198" w:rsidRPr="001246A2" w:rsidRDefault="00B31198" w:rsidP="00B31198">
      <w:pPr>
        <w:pStyle w:val="ATHeading1"/>
      </w:pPr>
      <w:bookmarkStart w:id="0" w:name="TANumber"/>
      <w:r w:rsidRPr="001246A2">
        <w:t>P10_TA(2025)00</w:t>
      </w:r>
      <w:bookmarkEnd w:id="0"/>
      <w:r w:rsidR="00623D6F" w:rsidRPr="001246A2">
        <w:t>46</w:t>
      </w:r>
      <w:bookmarkStart w:id="1" w:name="_GoBack"/>
      <w:bookmarkEnd w:id="1"/>
    </w:p>
    <w:p w:rsidR="00B31198" w:rsidRPr="001246A2" w:rsidRDefault="00B31198" w:rsidP="00B31198">
      <w:pPr>
        <w:pStyle w:val="ATHeading2"/>
      </w:pPr>
      <w:bookmarkStart w:id="2" w:name="title"/>
      <w:r w:rsidRPr="001246A2">
        <w:t>Teaduslike ja tehniliste ülesannete üleandmine Euroopa Kemikaaliametile</w:t>
      </w:r>
      <w:bookmarkEnd w:id="2"/>
    </w:p>
    <w:p w:rsidR="00B31198" w:rsidRPr="001246A2" w:rsidRDefault="00B31198" w:rsidP="00B31198">
      <w:pPr>
        <w:rPr>
          <w:i/>
          <w:vanish/>
        </w:rPr>
      </w:pPr>
      <w:r w:rsidRPr="001246A2">
        <w:rPr>
          <w:i/>
        </w:rPr>
        <w:fldChar w:fldCharType="begin"/>
      </w:r>
      <w:r w:rsidRPr="001246A2">
        <w:rPr>
          <w:i/>
        </w:rPr>
        <w:instrText xml:space="preserve"> TC"(</w:instrText>
      </w:r>
      <w:bookmarkStart w:id="3" w:name="DocNumber"/>
      <w:r w:rsidRPr="001246A2">
        <w:rPr>
          <w:i/>
        </w:rPr>
        <w:instrText>A10-0019/2025</w:instrText>
      </w:r>
      <w:bookmarkEnd w:id="3"/>
      <w:r w:rsidRPr="001246A2">
        <w:rPr>
          <w:i/>
        </w:rPr>
        <w:instrText xml:space="preserve"> - Raportöör: Dimitris Tsiodras)"\l3 \n&gt; \* MERGEFORMAT </w:instrText>
      </w:r>
      <w:r w:rsidRPr="001246A2">
        <w:rPr>
          <w:i/>
        </w:rPr>
        <w:fldChar w:fldCharType="end"/>
      </w:r>
    </w:p>
    <w:p w:rsidR="00B31198" w:rsidRPr="001246A2" w:rsidRDefault="00B31198" w:rsidP="00B31198">
      <w:pPr>
        <w:rPr>
          <w:vanish/>
        </w:rPr>
      </w:pPr>
      <w:bookmarkStart w:id="4" w:name="Commission"/>
      <w:r w:rsidRPr="001246A2">
        <w:rPr>
          <w:vanish/>
        </w:rPr>
        <w:t>Keskkonna-, kliima- ja toiduohutuse komisjon</w:t>
      </w:r>
      <w:bookmarkEnd w:id="4"/>
    </w:p>
    <w:p w:rsidR="00B31198" w:rsidRPr="001246A2" w:rsidRDefault="00B31198" w:rsidP="00B31198">
      <w:pPr>
        <w:rPr>
          <w:vanish/>
        </w:rPr>
      </w:pPr>
      <w:bookmarkStart w:id="5" w:name="PE"/>
      <w:r w:rsidRPr="001246A2">
        <w:rPr>
          <w:vanish/>
        </w:rPr>
        <w:t>PE763.254</w:t>
      </w:r>
      <w:bookmarkEnd w:id="5"/>
    </w:p>
    <w:p w:rsidR="00B31198" w:rsidRPr="001246A2" w:rsidRDefault="00020486" w:rsidP="00B31198">
      <w:pPr>
        <w:pStyle w:val="ATHeading3"/>
      </w:pPr>
      <w:bookmarkStart w:id="6" w:name="Sujet"/>
      <w:r w:rsidRPr="001246A2">
        <w:t>Euroopa Parlamendi 1</w:t>
      </w:r>
      <w:r w:rsidR="00B31198" w:rsidRPr="001246A2">
        <w:t>.</w:t>
      </w:r>
      <w:r w:rsidRPr="001246A2">
        <w:t> aprilli</w:t>
      </w:r>
      <w:r w:rsidR="005F468B" w:rsidRPr="001246A2">
        <w:t>l</w:t>
      </w:r>
      <w:r w:rsidRPr="001246A2">
        <w:t xml:space="preserve"> 2025. </w:t>
      </w:r>
      <w:r w:rsidR="00B31198" w:rsidRPr="001246A2">
        <w:t>aasta</w:t>
      </w:r>
      <w:r w:rsidR="005F468B" w:rsidRPr="001246A2">
        <w:t>l vastu võetud muudatusettepanekud</w:t>
      </w:r>
      <w:r w:rsidR="00B31198" w:rsidRPr="001246A2">
        <w:t xml:space="preserve"> ettepaneku</w:t>
      </w:r>
      <w:r w:rsidR="005F468B" w:rsidRPr="001246A2">
        <w:t>le</w:t>
      </w:r>
      <w:r w:rsidR="00B31198" w:rsidRPr="001246A2">
        <w:t xml:space="preserve"> võtta vastu Euroopa Parlamendi ja nõukogu direktiiv, millega muudetakse Euroopa P</w:t>
      </w:r>
      <w:r w:rsidRPr="001246A2">
        <w:t xml:space="preserve">arlamendi ja nõukogu direktiivi </w:t>
      </w:r>
      <w:r w:rsidR="00B31198" w:rsidRPr="001246A2">
        <w:t>2011/65/EL seoses teaduslike ja tehniliste ülesannete üleandmisega Euroopa Kemikaaliametile</w:t>
      </w:r>
      <w:bookmarkEnd w:id="6"/>
      <w:r w:rsidR="00B31198" w:rsidRPr="001246A2">
        <w:t xml:space="preserve"> </w:t>
      </w:r>
      <w:bookmarkStart w:id="7" w:name="References"/>
      <w:r w:rsidR="00B31198" w:rsidRPr="001246A2">
        <w:t>(COM(2023)0781 – C9-0448/2023 – 2023/0454(COD))</w:t>
      </w:r>
      <w:bookmarkEnd w:id="7"/>
      <w:r w:rsidR="005F468B" w:rsidRPr="001246A2">
        <w:rPr>
          <w:rStyle w:val="FootnoteReference"/>
        </w:rPr>
        <w:footnoteReference w:id="1"/>
      </w:r>
    </w:p>
    <w:p w:rsidR="000B2C14" w:rsidRPr="001246A2" w:rsidRDefault="000B2C14" w:rsidP="000B2C14">
      <w:pPr>
        <w:pStyle w:val="NormalBold"/>
      </w:pPr>
      <w:r w:rsidRPr="001246A2">
        <w:t>(Seadusandlik tavamenetlus: esimene lugemine)</w:t>
      </w:r>
    </w:p>
    <w:p w:rsidR="000B2C14" w:rsidRPr="001246A2" w:rsidRDefault="000B2C14" w:rsidP="00020486">
      <w:pPr>
        <w:pStyle w:val="NormalHanging12a"/>
      </w:pPr>
    </w:p>
    <w:p w:rsidR="000B2C14" w:rsidRPr="001246A2" w:rsidRDefault="000B2C14" w:rsidP="000B2C14">
      <w:pPr>
        <w:pStyle w:val="AmNumberTabs"/>
      </w:pPr>
      <w:r w:rsidRPr="001246A2">
        <w:t>Muudatusettepanek</w:t>
      </w:r>
      <w:r w:rsidRPr="001246A2">
        <w:tab/>
      </w:r>
      <w:r w:rsidRPr="001246A2">
        <w:tab/>
        <w:t>1</w:t>
      </w:r>
    </w:p>
    <w:p w:rsidR="000B2C14" w:rsidRPr="001246A2" w:rsidRDefault="000B2C14" w:rsidP="000B2C14"/>
    <w:p w:rsidR="000B2C14" w:rsidRPr="001246A2" w:rsidRDefault="000B2C14" w:rsidP="000B2C14">
      <w:pPr>
        <w:pStyle w:val="NormalBold"/>
        <w:keepNext/>
      </w:pPr>
      <w:r w:rsidRPr="001246A2">
        <w:t>Ettepanek võtta vastu direktiiv</w:t>
      </w:r>
    </w:p>
    <w:p w:rsidR="000B2C14" w:rsidRPr="001246A2" w:rsidRDefault="000B2C14" w:rsidP="000B2C14">
      <w:pPr>
        <w:pStyle w:val="NormalBold"/>
      </w:pPr>
      <w:r w:rsidRPr="001246A2">
        <w:t>Põhjendus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C14" w:rsidRPr="001246A2" w:rsidTr="00CD5035">
        <w:trPr>
          <w:jc w:val="center"/>
        </w:trPr>
        <w:tc>
          <w:tcPr>
            <w:tcW w:w="9752" w:type="dxa"/>
            <w:gridSpan w:val="2"/>
          </w:tcPr>
          <w:p w:rsidR="000B2C14" w:rsidRPr="001246A2" w:rsidRDefault="000B2C14" w:rsidP="00CD5035">
            <w:pPr>
              <w:keepNext/>
            </w:pPr>
          </w:p>
        </w:tc>
      </w:tr>
      <w:tr w:rsidR="000B2C14" w:rsidRPr="001246A2" w:rsidTr="00CD5035">
        <w:trPr>
          <w:jc w:val="center"/>
        </w:trPr>
        <w:tc>
          <w:tcPr>
            <w:tcW w:w="4876" w:type="dxa"/>
            <w:hideMark/>
          </w:tcPr>
          <w:p w:rsidR="000B2C14" w:rsidRPr="001246A2" w:rsidRDefault="000B2C14" w:rsidP="00CD5035">
            <w:pPr>
              <w:pStyle w:val="ColumnHeading"/>
              <w:keepNext/>
            </w:pPr>
            <w:r w:rsidRPr="001246A2">
              <w:t>Komisjoni ettepanek</w:t>
            </w:r>
          </w:p>
        </w:tc>
        <w:tc>
          <w:tcPr>
            <w:tcW w:w="4876" w:type="dxa"/>
            <w:hideMark/>
          </w:tcPr>
          <w:p w:rsidR="000B2C14" w:rsidRPr="001246A2" w:rsidRDefault="000B2C14" w:rsidP="00CD5035">
            <w:pPr>
              <w:pStyle w:val="ColumnHeading"/>
              <w:keepNext/>
            </w:pPr>
            <w:r w:rsidRPr="001246A2">
              <w:t>Muudatusettepanek</w:t>
            </w:r>
          </w:p>
        </w:tc>
      </w:tr>
      <w:tr w:rsidR="000B2C14" w:rsidRPr="001246A2" w:rsidTr="00CD5035">
        <w:trPr>
          <w:jc w:val="center"/>
        </w:trPr>
        <w:tc>
          <w:tcPr>
            <w:tcW w:w="4876" w:type="dxa"/>
            <w:hideMark/>
          </w:tcPr>
          <w:p w:rsidR="000B2C14" w:rsidRPr="001246A2" w:rsidRDefault="000B2C14" w:rsidP="00CD5035">
            <w:pPr>
              <w:pStyle w:val="Normal6"/>
            </w:pPr>
            <w:r w:rsidRPr="001246A2">
              <w:t>(1)</w:t>
            </w:r>
            <w:r w:rsidRPr="001246A2">
              <w:tab/>
              <w:t>Komisjon on oma teatises „Euroopa roheline kokkulepe“</w:t>
            </w:r>
            <w:r w:rsidRPr="001246A2">
              <w:rPr>
                <w:vertAlign w:val="superscript"/>
              </w:rPr>
              <w:t>2</w:t>
            </w:r>
            <w:r w:rsidRPr="001246A2">
              <w:t xml:space="preserve"> seadnud eesmärgi, et kemikaaliohutuse hindamised peaksid hakkama toimuma vastavalt põhimõtte „üks aine – üks hindamine“ kohasele menetlusele, milleks on vaja läbipaistvamaid ja lihtsamaid </w:t>
            </w:r>
            <w:proofErr w:type="spellStart"/>
            <w:r w:rsidRPr="001246A2">
              <w:t>riskihindamismenetlusi</w:t>
            </w:r>
            <w:proofErr w:type="spellEnd"/>
            <w:r w:rsidRPr="001246A2">
              <w:t>, et vähendada kõikide sidusrühmade koormust, kiirendada otsuste tegemist ning suurendada teaduslike otsuste ja arvamuste ühtsust ja prognoositavust. Komisjon jõudis oma teatises kestlikkust toetava kemikaalistrateegia kohta</w:t>
            </w:r>
            <w:r w:rsidRPr="001246A2">
              <w:rPr>
                <w:vertAlign w:val="superscript"/>
              </w:rPr>
              <w:t>3</w:t>
            </w:r>
            <w:r w:rsidRPr="001246A2">
              <w:t xml:space="preserve"> järeldusele, et selle eesmärgi saavutamiseks tuleb osa kemikaalidega seotud teadus- ja tehnilisest </w:t>
            </w:r>
            <w:r w:rsidRPr="001246A2">
              <w:lastRenderedPageBreak/>
              <w:t>tööst, mida tehakse liidu tasandil liidu õigusaktide toetamiseks, üle anda kõige sobivamatele liidu ametitele. See lihtsustaks kehtivat korda, parandaks liidu õigusaktide raames tehtavate ohutushindamiste kvaliteeti ja ühtsust ning tagaks olemasolevate vahendite tõhusama kasutamise.</w:t>
            </w:r>
          </w:p>
        </w:tc>
        <w:tc>
          <w:tcPr>
            <w:tcW w:w="4876" w:type="dxa"/>
            <w:hideMark/>
          </w:tcPr>
          <w:p w:rsidR="000B2C14" w:rsidRPr="001246A2" w:rsidRDefault="000B2C14" w:rsidP="00CD5035">
            <w:pPr>
              <w:pStyle w:val="Normal6"/>
              <w:rPr>
                <w:szCs w:val="24"/>
              </w:rPr>
            </w:pPr>
            <w:r w:rsidRPr="001246A2">
              <w:lastRenderedPageBreak/>
              <w:t>(1)</w:t>
            </w:r>
            <w:r w:rsidRPr="001246A2">
              <w:tab/>
              <w:t>Komisjon on oma teatises „Euroopa roheline kokkulepe“</w:t>
            </w:r>
            <w:r w:rsidRPr="001246A2">
              <w:rPr>
                <w:vertAlign w:val="superscript"/>
              </w:rPr>
              <w:t>2</w:t>
            </w:r>
            <w:r w:rsidRPr="001246A2">
              <w:t xml:space="preserve"> seadnud eesmärgi, et kemikaaliohutuse hindamised peaksid hakkama toimuma vastavalt põhimõtte „üks aine – üks hindamine“ kohasele menetlusele, milleks on vaja läbipaistvamaid ja lihtsamaid </w:t>
            </w:r>
            <w:proofErr w:type="spellStart"/>
            <w:r w:rsidRPr="001246A2">
              <w:t>riskihindamismenetlusi</w:t>
            </w:r>
            <w:proofErr w:type="spellEnd"/>
            <w:r w:rsidRPr="001246A2">
              <w:t>, et vähendada kõikide sidusrühmade koormust, kiirendada otsuste tegemist ning suurendada teaduslike otsuste ja arvamuste ühtsust ja prognoositavust. Komisjon jõudis oma teatises kestlikkust toetava kemikaalistrateegia kohta</w:t>
            </w:r>
            <w:r w:rsidRPr="001246A2">
              <w:rPr>
                <w:vertAlign w:val="superscript"/>
              </w:rPr>
              <w:t>3</w:t>
            </w:r>
            <w:r w:rsidRPr="001246A2">
              <w:t xml:space="preserve"> järeldusele, et selle eesmärgi saavutamiseks tuleb osa kemikaalidega seotud teadus- ja tehnilisest </w:t>
            </w:r>
            <w:r w:rsidRPr="001246A2">
              <w:lastRenderedPageBreak/>
              <w:t xml:space="preserve">tööst, mida tehakse liidu tasandil liidu õigusaktide toetamiseks, üle anda kõige sobivamatele liidu ametitele. See lihtsustaks kehtivat korda, parandaks liidu õigusaktide raames tehtavate ohutushindamiste kvaliteeti ja ühtsust ning tagaks olemasolevate vahendite tõhusama kasutamise. </w:t>
            </w:r>
            <w:r w:rsidRPr="001246A2">
              <w:rPr>
                <w:b/>
                <w:i/>
              </w:rPr>
              <w:t>See lähenemisviis peaks eeldatavasti edendama ka kulutõhusust ja konkurentsivõimet, lihtsustades regulatiivmenetlusi ja vähendades halduskoormust, tagades, et ettevõtjad saavad tõhusalt kohaneda muutuvate õigusraamistikega.</w:t>
            </w:r>
          </w:p>
        </w:tc>
      </w:tr>
      <w:tr w:rsidR="000B2C14" w:rsidRPr="001246A2" w:rsidTr="00CD5035">
        <w:trPr>
          <w:jc w:val="center"/>
        </w:trPr>
        <w:tc>
          <w:tcPr>
            <w:tcW w:w="4876" w:type="dxa"/>
            <w:hideMark/>
          </w:tcPr>
          <w:p w:rsidR="000B2C14" w:rsidRPr="001246A2" w:rsidRDefault="000B2C14" w:rsidP="00CD5035">
            <w:pPr>
              <w:pStyle w:val="Normal6"/>
            </w:pPr>
            <w:r w:rsidRPr="001246A2">
              <w:lastRenderedPageBreak/>
              <w:t>__________________</w:t>
            </w:r>
          </w:p>
        </w:tc>
        <w:tc>
          <w:tcPr>
            <w:tcW w:w="4876" w:type="dxa"/>
            <w:hideMark/>
          </w:tcPr>
          <w:p w:rsidR="000B2C14" w:rsidRPr="001246A2" w:rsidRDefault="000B2C14" w:rsidP="00CD5035">
            <w:pPr>
              <w:pStyle w:val="Normal6"/>
              <w:rPr>
                <w:szCs w:val="24"/>
              </w:rPr>
            </w:pPr>
            <w:r w:rsidRPr="001246A2">
              <w:t>__________________</w:t>
            </w:r>
          </w:p>
        </w:tc>
      </w:tr>
      <w:tr w:rsidR="000B2C14" w:rsidRPr="001246A2" w:rsidTr="00CD5035">
        <w:trPr>
          <w:jc w:val="center"/>
        </w:trPr>
        <w:tc>
          <w:tcPr>
            <w:tcW w:w="4876" w:type="dxa"/>
            <w:hideMark/>
          </w:tcPr>
          <w:p w:rsidR="000B2C14" w:rsidRPr="001246A2" w:rsidRDefault="000B2C14" w:rsidP="00CD5035">
            <w:pPr>
              <w:pStyle w:val="Normal6"/>
            </w:pPr>
            <w:r w:rsidRPr="001246A2">
              <w:rPr>
                <w:vertAlign w:val="superscript"/>
              </w:rPr>
              <w:t>2</w:t>
            </w:r>
            <w:r w:rsidRPr="001246A2">
              <w:t xml:space="preserve"> Komisjoni 11. detsembri 2019. aasta teatis Euroopa Parlamendile, Euroopa Ülemkogule, nõukogule, Euroopa Majandus- ja Sotsiaalkomiteele ning Regioonide Komiteele „Euroopa roheline kokkulepe“ (COM(2019) 640 </w:t>
            </w:r>
            <w:proofErr w:type="spellStart"/>
            <w:r w:rsidRPr="001246A2">
              <w:t>final</w:t>
            </w:r>
            <w:proofErr w:type="spellEnd"/>
            <w:r w:rsidRPr="001246A2">
              <w:t>).</w:t>
            </w:r>
          </w:p>
        </w:tc>
        <w:tc>
          <w:tcPr>
            <w:tcW w:w="4876" w:type="dxa"/>
            <w:hideMark/>
          </w:tcPr>
          <w:p w:rsidR="000B2C14" w:rsidRPr="001246A2" w:rsidRDefault="000B2C14" w:rsidP="00CD5035">
            <w:pPr>
              <w:pStyle w:val="Normal6"/>
              <w:rPr>
                <w:szCs w:val="24"/>
              </w:rPr>
            </w:pPr>
            <w:r w:rsidRPr="001246A2">
              <w:rPr>
                <w:vertAlign w:val="superscript"/>
              </w:rPr>
              <w:t>2</w:t>
            </w:r>
            <w:r w:rsidRPr="001246A2">
              <w:t xml:space="preserve"> Komisjoni 11. detsembri 2019. aasta teatis Euroopa Parlamendile, Euroopa Ülemkogule, nõukogule, Euroopa Majandus- ja Sotsiaalkomiteele ning Regioonide Komiteele „Euroopa roheline kokkulepe“ (COM(2019) 640 </w:t>
            </w:r>
            <w:proofErr w:type="spellStart"/>
            <w:r w:rsidRPr="001246A2">
              <w:t>final</w:t>
            </w:r>
            <w:proofErr w:type="spellEnd"/>
            <w:r w:rsidRPr="001246A2">
              <w:t>).</w:t>
            </w:r>
          </w:p>
        </w:tc>
      </w:tr>
      <w:tr w:rsidR="000B2C14" w:rsidRPr="001246A2" w:rsidTr="00CD5035">
        <w:trPr>
          <w:jc w:val="center"/>
        </w:trPr>
        <w:tc>
          <w:tcPr>
            <w:tcW w:w="4876" w:type="dxa"/>
            <w:hideMark/>
          </w:tcPr>
          <w:p w:rsidR="000B2C14" w:rsidRPr="001246A2" w:rsidRDefault="000B2C14" w:rsidP="00CD5035">
            <w:pPr>
              <w:pStyle w:val="Normal6"/>
            </w:pPr>
            <w:r w:rsidRPr="001246A2">
              <w:rPr>
                <w:vertAlign w:val="superscript"/>
              </w:rPr>
              <w:t>3</w:t>
            </w:r>
            <w:r w:rsidRPr="001246A2">
              <w:t xml:space="preserve"> Komisjoni 14. oktoobri 2020. aasta teatis Euroopa Parlamendile, nõukogule, Euroopa Majandus- ja Sotsiaalkomiteele ning Regioonide Komiteele „Kestlikkust toetav kemikaalistrateegia. Mürgivaba keskkonna loomise suunas“ (COM(2020) 667 </w:t>
            </w:r>
            <w:proofErr w:type="spellStart"/>
            <w:r w:rsidRPr="001246A2">
              <w:t>final</w:t>
            </w:r>
            <w:proofErr w:type="spellEnd"/>
            <w:r w:rsidRPr="001246A2">
              <w:t>).</w:t>
            </w:r>
          </w:p>
        </w:tc>
        <w:tc>
          <w:tcPr>
            <w:tcW w:w="4876" w:type="dxa"/>
            <w:hideMark/>
          </w:tcPr>
          <w:p w:rsidR="000B2C14" w:rsidRPr="001246A2" w:rsidRDefault="000B2C14" w:rsidP="00CD5035">
            <w:pPr>
              <w:pStyle w:val="Normal6"/>
              <w:rPr>
                <w:szCs w:val="24"/>
              </w:rPr>
            </w:pPr>
            <w:r w:rsidRPr="001246A2">
              <w:rPr>
                <w:vertAlign w:val="superscript"/>
              </w:rPr>
              <w:t>3</w:t>
            </w:r>
            <w:r w:rsidRPr="001246A2">
              <w:t xml:space="preserve"> Komisjoni 14. oktoobri 2020. aasta teatis Euroopa Parlamendile, nõukogule, Euroopa Majandus- ja Sotsiaalkomiteele ning Regioonide Komiteele „Kestlikkust toetav kemikaalistrateegia. Mürgivaba keskkonna loomise suunas“ (COM(2020) 667 </w:t>
            </w:r>
            <w:proofErr w:type="spellStart"/>
            <w:r w:rsidRPr="001246A2">
              <w:t>final</w:t>
            </w:r>
            <w:proofErr w:type="spellEnd"/>
            <w:r w:rsidRPr="001246A2">
              <w:t>).</w:t>
            </w:r>
          </w:p>
        </w:tc>
      </w:tr>
    </w:tbl>
    <w:p w:rsidR="000B2C14" w:rsidRPr="001246A2" w:rsidRDefault="000B2C14" w:rsidP="000B2C14"/>
    <w:p w:rsidR="000B2C14" w:rsidRPr="001246A2" w:rsidRDefault="000B2C14" w:rsidP="000B2C14">
      <w:pPr>
        <w:pStyle w:val="AmNumberTabs"/>
      </w:pPr>
      <w:r w:rsidRPr="001246A2">
        <w:t>Muudatusettepanek</w:t>
      </w:r>
      <w:r w:rsidRPr="001246A2">
        <w:tab/>
      </w:r>
      <w:r w:rsidRPr="001246A2">
        <w:tab/>
        <w:t>2</w:t>
      </w:r>
    </w:p>
    <w:p w:rsidR="000B2C14" w:rsidRPr="001246A2" w:rsidRDefault="000B2C14" w:rsidP="000B2C14"/>
    <w:p w:rsidR="000B2C14" w:rsidRPr="001246A2" w:rsidRDefault="000B2C14" w:rsidP="000B2C14">
      <w:pPr>
        <w:pStyle w:val="NormalBold"/>
        <w:keepNext/>
      </w:pPr>
      <w:r w:rsidRPr="001246A2">
        <w:t>Ettepanek võtta vastu direktiiv</w:t>
      </w:r>
    </w:p>
    <w:p w:rsidR="000B2C14" w:rsidRPr="001246A2" w:rsidRDefault="000B2C14" w:rsidP="000B2C14">
      <w:pPr>
        <w:pStyle w:val="NormalBold"/>
      </w:pPr>
      <w:r w:rsidRPr="001246A2">
        <w:t>Põhjendus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C14" w:rsidRPr="001246A2" w:rsidTr="00CD5035">
        <w:trPr>
          <w:jc w:val="center"/>
        </w:trPr>
        <w:tc>
          <w:tcPr>
            <w:tcW w:w="9752" w:type="dxa"/>
            <w:gridSpan w:val="2"/>
          </w:tcPr>
          <w:p w:rsidR="000B2C14" w:rsidRPr="001246A2" w:rsidRDefault="000B2C14" w:rsidP="00CD5035">
            <w:pPr>
              <w:keepNext/>
            </w:pPr>
          </w:p>
        </w:tc>
      </w:tr>
      <w:tr w:rsidR="000B2C14" w:rsidRPr="001246A2" w:rsidTr="00CD5035">
        <w:trPr>
          <w:jc w:val="center"/>
        </w:trPr>
        <w:tc>
          <w:tcPr>
            <w:tcW w:w="4876" w:type="dxa"/>
            <w:hideMark/>
          </w:tcPr>
          <w:p w:rsidR="000B2C14" w:rsidRPr="001246A2" w:rsidRDefault="000B2C14" w:rsidP="00CD5035">
            <w:pPr>
              <w:pStyle w:val="ColumnHeading"/>
              <w:keepNext/>
            </w:pPr>
            <w:r w:rsidRPr="001246A2">
              <w:t>Komisjoni ettepanek</w:t>
            </w:r>
          </w:p>
        </w:tc>
        <w:tc>
          <w:tcPr>
            <w:tcW w:w="4876" w:type="dxa"/>
            <w:hideMark/>
          </w:tcPr>
          <w:p w:rsidR="000B2C14" w:rsidRPr="001246A2" w:rsidRDefault="000B2C14" w:rsidP="00CD5035">
            <w:pPr>
              <w:pStyle w:val="ColumnHeading"/>
              <w:keepNext/>
            </w:pPr>
            <w:r w:rsidRPr="001246A2">
              <w:t>Muudatusettepanek</w:t>
            </w:r>
          </w:p>
        </w:tc>
      </w:tr>
      <w:tr w:rsidR="000B2C14" w:rsidRPr="001246A2" w:rsidTr="00CD5035">
        <w:trPr>
          <w:jc w:val="center"/>
        </w:trPr>
        <w:tc>
          <w:tcPr>
            <w:tcW w:w="4876" w:type="dxa"/>
            <w:hideMark/>
          </w:tcPr>
          <w:p w:rsidR="000B2C14" w:rsidRPr="001246A2" w:rsidRDefault="000B2C14" w:rsidP="00CD5035">
            <w:pPr>
              <w:pStyle w:val="Normal6"/>
            </w:pPr>
            <w:r w:rsidRPr="001246A2">
              <w:t>(2)</w:t>
            </w:r>
            <w:r w:rsidRPr="001246A2">
              <w:tab/>
              <w:t xml:space="preserve">Teatavate teaduslike ja tehniliste ülesannete üleandmine Euroopa Kemikaaliametile on vajalik selleks, et viia teadusliku kontrolli kord ja tasemed ning digitaliseerimine kooskõlla Euroopa Kemikaaliameti kehtivate standardite ja menetlustega. See on vajalik ka selleks, et tagada ühtne teadusliku kvaliteedi, läbipaistvuse, andmete otsinguga </w:t>
            </w:r>
            <w:proofErr w:type="spellStart"/>
            <w:r w:rsidRPr="001246A2">
              <w:t>leitavuse</w:t>
            </w:r>
            <w:proofErr w:type="spellEnd"/>
            <w:r w:rsidRPr="001246A2">
              <w:t xml:space="preserve"> ja koostalitlusvõime tase kooskõlas põhimõtte „üks aine – üks hindamine“ </w:t>
            </w:r>
            <w:r w:rsidRPr="001246A2">
              <w:lastRenderedPageBreak/>
              <w:t>rakendamise eesmärgiga.</w:t>
            </w:r>
          </w:p>
        </w:tc>
        <w:tc>
          <w:tcPr>
            <w:tcW w:w="4876" w:type="dxa"/>
            <w:hideMark/>
          </w:tcPr>
          <w:p w:rsidR="000B2C14" w:rsidRPr="001246A2" w:rsidRDefault="000B2C14" w:rsidP="00CD5035">
            <w:pPr>
              <w:pStyle w:val="Normal6"/>
              <w:rPr>
                <w:szCs w:val="24"/>
              </w:rPr>
            </w:pPr>
            <w:r w:rsidRPr="001246A2">
              <w:lastRenderedPageBreak/>
              <w:t>(2)</w:t>
            </w:r>
            <w:r w:rsidRPr="001246A2">
              <w:tab/>
              <w:t xml:space="preserve">Teatavate teaduslike ja tehniliste ülesannete üleandmine Euroopa Kemikaaliametile on vajalik selleks, et viia teadusliku kontrolli kord ja tasemed ning digitaliseerimine kooskõlla Euroopa Kemikaaliameti kehtivate standardite ja menetlustega. See on vajalik ka selleks, et tagada ühtne teadusliku kvaliteedi, läbipaistvuse, andmete otsinguga </w:t>
            </w:r>
            <w:proofErr w:type="spellStart"/>
            <w:r w:rsidRPr="001246A2">
              <w:t>leitavuse</w:t>
            </w:r>
            <w:proofErr w:type="spellEnd"/>
            <w:r w:rsidRPr="001246A2">
              <w:t xml:space="preserve"> ja koostalitlusvõime tase kooskõlas põhimõtte „üks aine – üks hindamine“ rakendamise eesmärgiga. </w:t>
            </w:r>
            <w:r w:rsidRPr="001246A2">
              <w:rPr>
                <w:b/>
                <w:i/>
              </w:rPr>
              <w:t xml:space="preserve">Lisaks </w:t>
            </w:r>
            <w:r w:rsidRPr="001246A2">
              <w:rPr>
                <w:b/>
                <w:i/>
              </w:rPr>
              <w:lastRenderedPageBreak/>
              <w:t>vähendavad digitaliseerimine ja ühtlustatud protsessid dubleerivaid jõupingutusi ja halduslikke viivitusi, võimaldades märkimisväärset kulude kokkuhoidu ja tõhususe kasvu nii liikmesriikide kui ka ettevõtjate jaoks.</w:t>
            </w:r>
          </w:p>
        </w:tc>
      </w:tr>
    </w:tbl>
    <w:p w:rsidR="000B2C14" w:rsidRPr="001246A2" w:rsidRDefault="000B2C14" w:rsidP="000B2C14"/>
    <w:p w:rsidR="000B2C14" w:rsidRPr="001246A2" w:rsidRDefault="000B2C14" w:rsidP="000B2C14">
      <w:pPr>
        <w:pStyle w:val="AmNumberTabs"/>
      </w:pPr>
      <w:r w:rsidRPr="001246A2">
        <w:t>Muudatusettepanek</w:t>
      </w:r>
      <w:r w:rsidRPr="001246A2">
        <w:tab/>
      </w:r>
      <w:r w:rsidRPr="001246A2">
        <w:tab/>
        <w:t>3</w:t>
      </w:r>
    </w:p>
    <w:p w:rsidR="000B2C14" w:rsidRPr="001246A2" w:rsidRDefault="000B2C14" w:rsidP="000B2C14"/>
    <w:p w:rsidR="000B2C14" w:rsidRPr="001246A2" w:rsidRDefault="000B2C14" w:rsidP="000B2C14">
      <w:pPr>
        <w:pStyle w:val="NormalBold"/>
        <w:keepNext/>
      </w:pPr>
      <w:r w:rsidRPr="001246A2">
        <w:t>Ettepanek võtta vastu direktiiv</w:t>
      </w:r>
    </w:p>
    <w:p w:rsidR="000B2C14" w:rsidRPr="001246A2" w:rsidRDefault="000B2C14" w:rsidP="000B2C14">
      <w:pPr>
        <w:pStyle w:val="NormalBold"/>
      </w:pPr>
      <w:r w:rsidRPr="001246A2">
        <w:t>Põhjendus 6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C14" w:rsidRPr="001246A2" w:rsidTr="00CD5035">
        <w:trPr>
          <w:jc w:val="center"/>
        </w:trPr>
        <w:tc>
          <w:tcPr>
            <w:tcW w:w="9752" w:type="dxa"/>
            <w:gridSpan w:val="2"/>
          </w:tcPr>
          <w:p w:rsidR="000B2C14" w:rsidRPr="001246A2" w:rsidRDefault="000B2C14" w:rsidP="00CD5035">
            <w:pPr>
              <w:keepNext/>
            </w:pPr>
          </w:p>
        </w:tc>
      </w:tr>
      <w:tr w:rsidR="000B2C14" w:rsidRPr="001246A2" w:rsidTr="00CD5035">
        <w:trPr>
          <w:jc w:val="center"/>
        </w:trPr>
        <w:tc>
          <w:tcPr>
            <w:tcW w:w="4876" w:type="dxa"/>
            <w:hideMark/>
          </w:tcPr>
          <w:p w:rsidR="000B2C14" w:rsidRPr="001246A2" w:rsidRDefault="000B2C14" w:rsidP="00CD5035">
            <w:pPr>
              <w:pStyle w:val="ColumnHeading"/>
              <w:keepNext/>
            </w:pPr>
            <w:r w:rsidRPr="001246A2">
              <w:t>Komisjoni ettepanek</w:t>
            </w:r>
          </w:p>
        </w:tc>
        <w:tc>
          <w:tcPr>
            <w:tcW w:w="4876" w:type="dxa"/>
            <w:hideMark/>
          </w:tcPr>
          <w:p w:rsidR="000B2C14" w:rsidRPr="001246A2" w:rsidRDefault="000B2C14" w:rsidP="00CD5035">
            <w:pPr>
              <w:pStyle w:val="ColumnHeading"/>
              <w:keepNext/>
            </w:pPr>
            <w:r w:rsidRPr="001246A2">
              <w:t>Muudatusettepanek</w:t>
            </w:r>
          </w:p>
        </w:tc>
      </w:tr>
      <w:tr w:rsidR="000B2C14" w:rsidRPr="001246A2" w:rsidTr="00CD5035">
        <w:trPr>
          <w:jc w:val="center"/>
        </w:trPr>
        <w:tc>
          <w:tcPr>
            <w:tcW w:w="4876" w:type="dxa"/>
          </w:tcPr>
          <w:p w:rsidR="000B2C14" w:rsidRPr="001246A2" w:rsidRDefault="000B2C14" w:rsidP="00CD5035">
            <w:pPr>
              <w:pStyle w:val="Normal6"/>
            </w:pPr>
          </w:p>
        </w:tc>
        <w:tc>
          <w:tcPr>
            <w:tcW w:w="4876" w:type="dxa"/>
            <w:hideMark/>
          </w:tcPr>
          <w:p w:rsidR="000B2C14" w:rsidRPr="001246A2" w:rsidRDefault="000B2C14" w:rsidP="00CD5035">
            <w:pPr>
              <w:pStyle w:val="Normal6"/>
              <w:rPr>
                <w:szCs w:val="24"/>
              </w:rPr>
            </w:pPr>
            <w:r w:rsidRPr="001246A2">
              <w:rPr>
                <w:b/>
                <w:i/>
              </w:rPr>
              <w:t>(6a)</w:t>
            </w:r>
            <w:r w:rsidRPr="001246A2">
              <w:rPr>
                <w:b/>
                <w:i/>
              </w:rPr>
              <w:tab/>
              <w:t xml:space="preserve">Direktiivis 2011/65/EL osutatud piiratud kasutusega ainete loetelu tuleks korrapäraselt läbi vaadata, et tagada inimeste tervise, keskkonna ja tarbijate ohutuse kõrgetasemeline kaitse. On asjakohane kehtestada vähemalt 36-kuuline läbivaatamisperiood, võttes arvesse turu arengut ning tehnika ja teaduse arengut ning asjaolu, et liikmesriigid võivad piirangutoimikuid esitada igal ajal ning määruse (EÜ) nr 1907/2006, määruse (EL) 2019/1021 või muude liidu õigusaktide alusel, mis käsitlevad ohtlike ainete ja kemikaalide </w:t>
            </w:r>
            <w:proofErr w:type="spellStart"/>
            <w:r w:rsidRPr="001246A2">
              <w:rPr>
                <w:b/>
                <w:i/>
              </w:rPr>
              <w:t>kestlikkuskriteeriume</w:t>
            </w:r>
            <w:proofErr w:type="spellEnd"/>
            <w:r w:rsidRPr="001246A2">
              <w:rPr>
                <w:b/>
                <w:i/>
              </w:rPr>
              <w:t>, võib algatada ja vastu võtta horisontaalseid piiravaid meetmeid.</w:t>
            </w:r>
          </w:p>
        </w:tc>
      </w:tr>
    </w:tbl>
    <w:p w:rsidR="000B2C14" w:rsidRPr="001246A2" w:rsidRDefault="000B2C14" w:rsidP="000B2C14"/>
    <w:p w:rsidR="000B2C14" w:rsidRPr="001246A2" w:rsidRDefault="000B2C14" w:rsidP="000B2C14">
      <w:pPr>
        <w:pStyle w:val="AmNumberTabs"/>
      </w:pPr>
      <w:r w:rsidRPr="001246A2">
        <w:t>Muudatusettepanek</w:t>
      </w:r>
      <w:r w:rsidRPr="001246A2">
        <w:tab/>
      </w:r>
      <w:r w:rsidRPr="001246A2">
        <w:tab/>
        <w:t>4</w:t>
      </w:r>
    </w:p>
    <w:p w:rsidR="000B2C14" w:rsidRPr="001246A2" w:rsidRDefault="000B2C14" w:rsidP="000B2C14"/>
    <w:p w:rsidR="000B2C14" w:rsidRPr="001246A2" w:rsidRDefault="000B2C14" w:rsidP="000B2C14">
      <w:pPr>
        <w:pStyle w:val="NormalBold"/>
        <w:keepNext/>
      </w:pPr>
      <w:r w:rsidRPr="001246A2">
        <w:t>Ettepanek võtta vastu direktiiv</w:t>
      </w:r>
    </w:p>
    <w:p w:rsidR="000B2C14" w:rsidRPr="001246A2" w:rsidRDefault="000B2C14" w:rsidP="000B2C14">
      <w:pPr>
        <w:pStyle w:val="NormalBold"/>
      </w:pPr>
      <w:r w:rsidRPr="001246A2">
        <w:t>Põhjendus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C14" w:rsidRPr="001246A2" w:rsidTr="00CD5035">
        <w:trPr>
          <w:jc w:val="center"/>
        </w:trPr>
        <w:tc>
          <w:tcPr>
            <w:tcW w:w="9752" w:type="dxa"/>
            <w:gridSpan w:val="2"/>
          </w:tcPr>
          <w:p w:rsidR="000B2C14" w:rsidRPr="001246A2" w:rsidRDefault="000B2C14" w:rsidP="00CD5035">
            <w:pPr>
              <w:keepNext/>
            </w:pPr>
          </w:p>
        </w:tc>
      </w:tr>
      <w:tr w:rsidR="000B2C14" w:rsidRPr="001246A2" w:rsidTr="00CD5035">
        <w:trPr>
          <w:jc w:val="center"/>
        </w:trPr>
        <w:tc>
          <w:tcPr>
            <w:tcW w:w="4876" w:type="dxa"/>
            <w:hideMark/>
          </w:tcPr>
          <w:p w:rsidR="000B2C14" w:rsidRPr="001246A2" w:rsidRDefault="000B2C14" w:rsidP="00CD5035">
            <w:pPr>
              <w:pStyle w:val="ColumnHeading"/>
              <w:keepNext/>
            </w:pPr>
            <w:r w:rsidRPr="001246A2">
              <w:t>Komisjoni ettepanek</w:t>
            </w:r>
          </w:p>
        </w:tc>
        <w:tc>
          <w:tcPr>
            <w:tcW w:w="4876" w:type="dxa"/>
            <w:hideMark/>
          </w:tcPr>
          <w:p w:rsidR="000B2C14" w:rsidRPr="001246A2" w:rsidRDefault="000B2C14" w:rsidP="00CD5035">
            <w:pPr>
              <w:pStyle w:val="ColumnHeading"/>
              <w:keepNext/>
            </w:pPr>
            <w:r w:rsidRPr="001246A2">
              <w:t>Muudatusettepanek</w:t>
            </w:r>
          </w:p>
        </w:tc>
      </w:tr>
      <w:tr w:rsidR="000B2C14" w:rsidRPr="001246A2" w:rsidTr="00CD5035">
        <w:trPr>
          <w:jc w:val="center"/>
        </w:trPr>
        <w:tc>
          <w:tcPr>
            <w:tcW w:w="4876" w:type="dxa"/>
            <w:hideMark/>
          </w:tcPr>
          <w:p w:rsidR="000B2C14" w:rsidRPr="001246A2" w:rsidRDefault="000B2C14" w:rsidP="00CD5035">
            <w:pPr>
              <w:pStyle w:val="Normal6"/>
            </w:pPr>
            <w:r w:rsidRPr="001246A2">
              <w:t>(8)</w:t>
            </w:r>
            <w:r w:rsidRPr="001246A2">
              <w:tab/>
              <w:t xml:space="preserve">Direktiivi 2011/65/EL kohaste menetlussätete muutmiseks on vaja </w:t>
            </w:r>
            <w:r w:rsidRPr="001246A2">
              <w:rPr>
                <w:b/>
                <w:i/>
              </w:rPr>
              <w:t>12</w:t>
            </w:r>
            <w:r w:rsidRPr="001246A2">
              <w:t xml:space="preserve">-kuulist üleminekuperioodi, et tagada Euroopa Kemikaaliametile piisav vahendite eraldamine ja ülesannete jaotus. Seda ajavahemikku loetakse küllaldaseks, et võimalikud taotlejad või liikmesriigid saaksid kohaneda kõnealuse direktiivi </w:t>
            </w:r>
            <w:r w:rsidRPr="001246A2">
              <w:lastRenderedPageBreak/>
              <w:t>kohaste muudetud menetlusetappidega.</w:t>
            </w:r>
          </w:p>
        </w:tc>
        <w:tc>
          <w:tcPr>
            <w:tcW w:w="4876" w:type="dxa"/>
            <w:hideMark/>
          </w:tcPr>
          <w:p w:rsidR="000B2C14" w:rsidRPr="001246A2" w:rsidRDefault="000B2C14" w:rsidP="00CD5035">
            <w:pPr>
              <w:pStyle w:val="Normal6"/>
              <w:rPr>
                <w:szCs w:val="24"/>
              </w:rPr>
            </w:pPr>
            <w:r w:rsidRPr="001246A2">
              <w:lastRenderedPageBreak/>
              <w:t>(8)</w:t>
            </w:r>
            <w:r w:rsidRPr="001246A2">
              <w:tab/>
              <w:t xml:space="preserve">Direktiivi 2011/65/EL kohaste menetlussätete muutmiseks on vaja </w:t>
            </w:r>
            <w:r w:rsidRPr="001246A2">
              <w:rPr>
                <w:b/>
                <w:i/>
              </w:rPr>
              <w:t>18</w:t>
            </w:r>
            <w:r w:rsidRPr="001246A2">
              <w:noBreakHyphen/>
              <w:t xml:space="preserve">kuulist üleminekuperioodi, et tagada Euroopa Kemikaaliametile piisav vahendite eraldamine ja ülesannete jaotus. Seda ajavahemikku loetakse küllaldaseks, et võimalikud taotlejad või liikmesriigid saaksid kohaneda kõnealuse direktiivi </w:t>
            </w:r>
            <w:r w:rsidRPr="001246A2">
              <w:lastRenderedPageBreak/>
              <w:t>kohaste muudetud menetlusetappidega.</w:t>
            </w:r>
          </w:p>
        </w:tc>
      </w:tr>
    </w:tbl>
    <w:p w:rsidR="000B2C14" w:rsidRPr="001246A2" w:rsidRDefault="000B2C14" w:rsidP="000B2C14"/>
    <w:p w:rsidR="000B2C14" w:rsidRPr="001246A2" w:rsidRDefault="000B2C14" w:rsidP="000B2C14">
      <w:pPr>
        <w:pStyle w:val="AmNumberTabs"/>
      </w:pPr>
      <w:r w:rsidRPr="001246A2">
        <w:t>Muudatusettepanek</w:t>
      </w:r>
      <w:r w:rsidRPr="001246A2">
        <w:tab/>
      </w:r>
      <w:r w:rsidRPr="001246A2">
        <w:tab/>
        <w:t>5</w:t>
      </w:r>
    </w:p>
    <w:p w:rsidR="000B2C14" w:rsidRPr="001246A2" w:rsidRDefault="000B2C14" w:rsidP="000B2C14"/>
    <w:p w:rsidR="000B2C14" w:rsidRPr="001246A2" w:rsidRDefault="000B2C14" w:rsidP="000B2C14">
      <w:pPr>
        <w:pStyle w:val="NormalBold"/>
        <w:keepNext/>
      </w:pPr>
      <w:r w:rsidRPr="001246A2">
        <w:t>Ettepanek võtta vastu direktiiv</w:t>
      </w:r>
    </w:p>
    <w:p w:rsidR="000B2C14" w:rsidRPr="001246A2" w:rsidRDefault="000B2C14" w:rsidP="000B2C14">
      <w:pPr>
        <w:pStyle w:val="NormalBold"/>
      </w:pPr>
      <w:r w:rsidRPr="001246A2">
        <w:t>Artikkel 1 – lõik 1 – punkt 1 – alapunkt a</w:t>
      </w:r>
    </w:p>
    <w:p w:rsidR="000B2C14" w:rsidRPr="001246A2" w:rsidRDefault="000B2C14" w:rsidP="000B2C14">
      <w:pPr>
        <w:keepNext/>
      </w:pPr>
      <w:r w:rsidRPr="001246A2">
        <w:t>Direktiiv 2011/65/EL</w:t>
      </w:r>
    </w:p>
    <w:p w:rsidR="000B2C14" w:rsidRPr="001246A2" w:rsidRDefault="000B2C14" w:rsidP="000B2C14">
      <w:r w:rsidRPr="001246A2">
        <w:t>Artikkel 5 – lõige 4 – lõik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C14" w:rsidRPr="001246A2" w:rsidTr="00CD5035">
        <w:trPr>
          <w:jc w:val="center"/>
        </w:trPr>
        <w:tc>
          <w:tcPr>
            <w:tcW w:w="9752" w:type="dxa"/>
            <w:gridSpan w:val="2"/>
          </w:tcPr>
          <w:p w:rsidR="000B2C14" w:rsidRPr="001246A2" w:rsidRDefault="000B2C14" w:rsidP="00CD5035">
            <w:pPr>
              <w:keepNext/>
            </w:pPr>
          </w:p>
        </w:tc>
      </w:tr>
      <w:tr w:rsidR="000B2C14" w:rsidRPr="001246A2" w:rsidTr="00CD5035">
        <w:trPr>
          <w:jc w:val="center"/>
        </w:trPr>
        <w:tc>
          <w:tcPr>
            <w:tcW w:w="4876" w:type="dxa"/>
            <w:hideMark/>
          </w:tcPr>
          <w:p w:rsidR="000B2C14" w:rsidRPr="001246A2" w:rsidRDefault="000B2C14" w:rsidP="00CD5035">
            <w:pPr>
              <w:pStyle w:val="ColumnHeading"/>
              <w:keepNext/>
            </w:pPr>
            <w:r w:rsidRPr="001246A2">
              <w:t>Komisjoni ettepanek</w:t>
            </w:r>
          </w:p>
        </w:tc>
        <w:tc>
          <w:tcPr>
            <w:tcW w:w="4876" w:type="dxa"/>
            <w:hideMark/>
          </w:tcPr>
          <w:p w:rsidR="000B2C14" w:rsidRPr="001246A2" w:rsidRDefault="000B2C14" w:rsidP="00CD5035">
            <w:pPr>
              <w:pStyle w:val="ColumnHeading"/>
              <w:keepNext/>
            </w:pPr>
            <w:r w:rsidRPr="001246A2">
              <w:t>Muudatusettepanek</w:t>
            </w:r>
          </w:p>
        </w:tc>
      </w:tr>
      <w:tr w:rsidR="000B2C14" w:rsidRPr="001246A2" w:rsidTr="00CD5035">
        <w:trPr>
          <w:jc w:val="center"/>
        </w:trPr>
        <w:tc>
          <w:tcPr>
            <w:tcW w:w="4876" w:type="dxa"/>
            <w:hideMark/>
          </w:tcPr>
          <w:p w:rsidR="000B2C14" w:rsidRPr="001246A2" w:rsidRDefault="000B2C14" w:rsidP="00CD5035">
            <w:pPr>
              <w:pStyle w:val="Normal6"/>
            </w:pPr>
            <w:r w:rsidRPr="001246A2">
              <w:t xml:space="preserve">Kui taotleja ei täienda esimese lõigu punktis c sätestatud tähtaja jooksul taotlust puuduvate elementidega, mille amet on kooskõlas V lisaga kindlaks teinud, </w:t>
            </w:r>
            <w:r w:rsidRPr="001246A2">
              <w:rPr>
                <w:b/>
                <w:i/>
              </w:rPr>
              <w:t>võib</w:t>
            </w:r>
            <w:r w:rsidRPr="001246A2">
              <w:t xml:space="preserve"> amet sellise taotluse tagasi</w:t>
            </w:r>
            <w:r w:rsidRPr="001246A2">
              <w:rPr>
                <w:b/>
                <w:i/>
              </w:rPr>
              <w:t xml:space="preserve"> lükata</w:t>
            </w:r>
            <w:r w:rsidRPr="001246A2">
              <w:t>. Amet määrab kindlaks kuupäeva, mil taotlus loetakse nõuetekohaseks, ja teatab sellest taotlejale põhjendamatu viivituseta.</w:t>
            </w:r>
          </w:p>
        </w:tc>
        <w:tc>
          <w:tcPr>
            <w:tcW w:w="4876" w:type="dxa"/>
            <w:hideMark/>
          </w:tcPr>
          <w:p w:rsidR="000B2C14" w:rsidRPr="001246A2" w:rsidRDefault="000B2C14" w:rsidP="00CD5035">
            <w:pPr>
              <w:pStyle w:val="Normal6"/>
              <w:rPr>
                <w:szCs w:val="24"/>
              </w:rPr>
            </w:pPr>
            <w:r w:rsidRPr="001246A2">
              <w:t xml:space="preserve">Kui taotleja ei täienda esimese lõigu punktis c sätestatud tähtaja jooksul taotlust puuduvate elementidega, mille amet on kooskõlas V lisaga kindlaks teinud, </w:t>
            </w:r>
            <w:r w:rsidRPr="001246A2">
              <w:rPr>
                <w:b/>
                <w:i/>
              </w:rPr>
              <w:t>lükkab</w:t>
            </w:r>
            <w:r w:rsidRPr="001246A2">
              <w:t xml:space="preserve"> amet sellise taotluse tagasi. Amet määrab kindlaks kuupäeva, mil taotlus loetakse nõuetekohaseks, ja teatab sellest taotlejale põhjendamatu viivituseta.</w:t>
            </w:r>
          </w:p>
        </w:tc>
      </w:tr>
    </w:tbl>
    <w:p w:rsidR="000B2C14" w:rsidRPr="001246A2" w:rsidRDefault="000B2C14" w:rsidP="000B2C14"/>
    <w:p w:rsidR="000B2C14" w:rsidRPr="001246A2" w:rsidRDefault="000B2C14" w:rsidP="000B2C14">
      <w:pPr>
        <w:pStyle w:val="AmNumberTabs"/>
      </w:pPr>
      <w:r w:rsidRPr="001246A2">
        <w:t>Muudatusettepanek</w:t>
      </w:r>
      <w:r w:rsidRPr="001246A2">
        <w:tab/>
      </w:r>
      <w:r w:rsidRPr="001246A2">
        <w:tab/>
        <w:t>6</w:t>
      </w:r>
    </w:p>
    <w:p w:rsidR="000B2C14" w:rsidRPr="001246A2" w:rsidRDefault="000B2C14" w:rsidP="000B2C14"/>
    <w:p w:rsidR="000B2C14" w:rsidRPr="001246A2" w:rsidRDefault="000B2C14" w:rsidP="000B2C14">
      <w:pPr>
        <w:pStyle w:val="NormalBold"/>
        <w:keepNext/>
      </w:pPr>
      <w:r w:rsidRPr="001246A2">
        <w:t>Ettepanek võtta vastu direktiiv</w:t>
      </w:r>
    </w:p>
    <w:p w:rsidR="000B2C14" w:rsidRPr="001246A2" w:rsidRDefault="000B2C14" w:rsidP="000B2C14">
      <w:pPr>
        <w:pStyle w:val="NormalBold"/>
      </w:pPr>
      <w:r w:rsidRPr="001246A2">
        <w:t>Artikkel 1 – lõik 1 – punkt 1 – alapunkt b</w:t>
      </w:r>
    </w:p>
    <w:p w:rsidR="000B2C14" w:rsidRPr="001246A2" w:rsidRDefault="000B2C14" w:rsidP="000B2C14">
      <w:pPr>
        <w:keepNext/>
      </w:pPr>
      <w:r w:rsidRPr="001246A2">
        <w:t>Direktiiv 2011/65/EL</w:t>
      </w:r>
    </w:p>
    <w:p w:rsidR="000B2C14" w:rsidRPr="001246A2" w:rsidRDefault="000B2C14" w:rsidP="000B2C14">
      <w:r w:rsidRPr="001246A2">
        <w:t>Artikkel 5 – lõige 4a – lõik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C14" w:rsidRPr="001246A2" w:rsidTr="00CD5035">
        <w:trPr>
          <w:jc w:val="center"/>
        </w:trPr>
        <w:tc>
          <w:tcPr>
            <w:tcW w:w="9752" w:type="dxa"/>
            <w:gridSpan w:val="2"/>
          </w:tcPr>
          <w:p w:rsidR="000B2C14" w:rsidRPr="001246A2" w:rsidRDefault="000B2C14" w:rsidP="00CD5035">
            <w:pPr>
              <w:keepNext/>
            </w:pPr>
          </w:p>
        </w:tc>
      </w:tr>
      <w:tr w:rsidR="000B2C14" w:rsidRPr="001246A2" w:rsidTr="00CD5035">
        <w:trPr>
          <w:jc w:val="center"/>
        </w:trPr>
        <w:tc>
          <w:tcPr>
            <w:tcW w:w="4876" w:type="dxa"/>
            <w:hideMark/>
          </w:tcPr>
          <w:p w:rsidR="000B2C14" w:rsidRPr="001246A2" w:rsidRDefault="000B2C14" w:rsidP="00CD5035">
            <w:pPr>
              <w:pStyle w:val="ColumnHeading"/>
              <w:keepNext/>
            </w:pPr>
            <w:r w:rsidRPr="001246A2">
              <w:t>Komisjoni ettepanek</w:t>
            </w:r>
          </w:p>
        </w:tc>
        <w:tc>
          <w:tcPr>
            <w:tcW w:w="4876" w:type="dxa"/>
            <w:hideMark/>
          </w:tcPr>
          <w:p w:rsidR="000B2C14" w:rsidRPr="001246A2" w:rsidRDefault="000B2C14" w:rsidP="00CD5035">
            <w:pPr>
              <w:pStyle w:val="ColumnHeading"/>
              <w:keepNext/>
            </w:pPr>
            <w:r w:rsidRPr="001246A2">
              <w:t>Muudatusettepanek</w:t>
            </w:r>
          </w:p>
        </w:tc>
      </w:tr>
      <w:tr w:rsidR="000B2C14" w:rsidRPr="001246A2" w:rsidTr="00CD5035">
        <w:trPr>
          <w:jc w:val="center"/>
        </w:trPr>
        <w:tc>
          <w:tcPr>
            <w:tcW w:w="4876" w:type="dxa"/>
            <w:hideMark/>
          </w:tcPr>
          <w:p w:rsidR="000B2C14" w:rsidRPr="001246A2" w:rsidRDefault="000B2C14" w:rsidP="00CD5035">
            <w:pPr>
              <w:pStyle w:val="Normal6"/>
            </w:pPr>
            <w:r w:rsidRPr="001246A2">
              <w:t>Amet määrab kindlaks, millised tema arvamuse ja selle lisade osad tuleks tema veebisaidil üldsusele kättesaadavaks teha, ning teeb need oma veebisaidil üldsusele kättesaadavaks.</w:t>
            </w:r>
          </w:p>
        </w:tc>
        <w:tc>
          <w:tcPr>
            <w:tcW w:w="4876" w:type="dxa"/>
            <w:hideMark/>
          </w:tcPr>
          <w:p w:rsidR="000B2C14" w:rsidRPr="001246A2" w:rsidRDefault="000B2C14" w:rsidP="00CD5035">
            <w:pPr>
              <w:pStyle w:val="Normal6"/>
              <w:rPr>
                <w:szCs w:val="24"/>
              </w:rPr>
            </w:pPr>
            <w:r w:rsidRPr="001246A2">
              <w:t>Amet määrab kindlaks, millised tema arvamuse ja selle lisade osad tuleks tema veebisaidil üldsusele kättesaadavaks teha, ning teeb need oma veebisaidil üldsusele kättesaadavaks</w:t>
            </w:r>
            <w:r w:rsidRPr="001246A2">
              <w:rPr>
                <w:b/>
                <w:i/>
              </w:rPr>
              <w:t>, sealhulgas mis tahes nõudmised, mis on esitatud teise lõigu punkti c kohaselt</w:t>
            </w:r>
            <w:r w:rsidRPr="001246A2">
              <w:t>.</w:t>
            </w:r>
          </w:p>
        </w:tc>
      </w:tr>
    </w:tbl>
    <w:p w:rsidR="000B2C14" w:rsidRPr="001246A2" w:rsidRDefault="000B2C14" w:rsidP="000B2C14"/>
    <w:p w:rsidR="000B2C14" w:rsidRPr="001246A2" w:rsidRDefault="000B2C14" w:rsidP="000B2C14">
      <w:pPr>
        <w:pStyle w:val="AmNumberTabs"/>
      </w:pPr>
      <w:r w:rsidRPr="001246A2">
        <w:t>Muudatusettepanek</w:t>
      </w:r>
      <w:r w:rsidRPr="001246A2">
        <w:tab/>
      </w:r>
      <w:r w:rsidRPr="001246A2">
        <w:tab/>
        <w:t>7</w:t>
      </w:r>
    </w:p>
    <w:p w:rsidR="000B2C14" w:rsidRPr="001246A2" w:rsidRDefault="000B2C14" w:rsidP="000B2C14"/>
    <w:p w:rsidR="000B2C14" w:rsidRPr="001246A2" w:rsidRDefault="000B2C14" w:rsidP="000B2C14">
      <w:pPr>
        <w:pStyle w:val="NormalBold"/>
        <w:keepNext/>
      </w:pPr>
      <w:r w:rsidRPr="001246A2">
        <w:t>Ettepanek võtta vastu direktiiv</w:t>
      </w:r>
    </w:p>
    <w:p w:rsidR="000B2C14" w:rsidRPr="001246A2" w:rsidRDefault="000B2C14" w:rsidP="000B2C14">
      <w:pPr>
        <w:pStyle w:val="NormalBold"/>
      </w:pPr>
      <w:r w:rsidRPr="001246A2">
        <w:t>Artikkel 1 – lõik 1 – punkt 1 – alapunkt b a (uus)</w:t>
      </w:r>
    </w:p>
    <w:p w:rsidR="000B2C14" w:rsidRPr="001246A2" w:rsidRDefault="000B2C14" w:rsidP="000B2C14">
      <w:pPr>
        <w:keepNext/>
      </w:pPr>
      <w:r w:rsidRPr="001246A2">
        <w:t>Direktiiv 2011/65/EL</w:t>
      </w:r>
    </w:p>
    <w:p w:rsidR="000B2C14" w:rsidRPr="001246A2" w:rsidRDefault="000B2C14" w:rsidP="000B2C14">
      <w:r w:rsidRPr="001246A2">
        <w:t>Artikkel 5 – lõige 5</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B2C14" w:rsidRPr="001246A2" w:rsidTr="00CD5035">
        <w:trPr>
          <w:jc w:val="center"/>
        </w:trPr>
        <w:tc>
          <w:tcPr>
            <w:tcW w:w="9752" w:type="dxa"/>
            <w:gridSpan w:val="2"/>
          </w:tcPr>
          <w:p w:rsidR="000B2C14" w:rsidRPr="001246A2" w:rsidRDefault="000B2C14" w:rsidP="00CD5035">
            <w:pPr>
              <w:keepNext/>
            </w:pPr>
          </w:p>
        </w:tc>
      </w:tr>
      <w:tr w:rsidR="000B2C14" w:rsidRPr="001246A2" w:rsidTr="00CD5035">
        <w:trPr>
          <w:jc w:val="center"/>
        </w:trPr>
        <w:tc>
          <w:tcPr>
            <w:tcW w:w="4876" w:type="dxa"/>
            <w:hideMark/>
          </w:tcPr>
          <w:p w:rsidR="000B2C14" w:rsidRPr="001246A2" w:rsidRDefault="000B2C14" w:rsidP="00CD5035">
            <w:pPr>
              <w:pStyle w:val="ColumnHeading"/>
              <w:keepNext/>
            </w:pPr>
            <w:r w:rsidRPr="001246A2">
              <w:t>Kehtiv tekst</w:t>
            </w:r>
          </w:p>
        </w:tc>
        <w:tc>
          <w:tcPr>
            <w:tcW w:w="4876" w:type="dxa"/>
            <w:hideMark/>
          </w:tcPr>
          <w:p w:rsidR="000B2C14" w:rsidRPr="001246A2" w:rsidRDefault="000B2C14" w:rsidP="00CD5035">
            <w:pPr>
              <w:pStyle w:val="ColumnHeading"/>
              <w:keepNext/>
            </w:pPr>
            <w:r w:rsidRPr="001246A2">
              <w:t>Muudatusettepanek</w:t>
            </w:r>
          </w:p>
        </w:tc>
      </w:tr>
      <w:tr w:rsidR="000B2C14" w:rsidRPr="001246A2" w:rsidTr="00CD5035">
        <w:trPr>
          <w:jc w:val="center"/>
        </w:trPr>
        <w:tc>
          <w:tcPr>
            <w:tcW w:w="4876" w:type="dxa"/>
          </w:tcPr>
          <w:p w:rsidR="000B2C14" w:rsidRPr="001246A2" w:rsidRDefault="000B2C14" w:rsidP="00CD5035">
            <w:pPr>
              <w:pStyle w:val="Normal6"/>
            </w:pPr>
          </w:p>
        </w:tc>
        <w:tc>
          <w:tcPr>
            <w:tcW w:w="4876" w:type="dxa"/>
            <w:hideMark/>
          </w:tcPr>
          <w:p w:rsidR="000B2C14" w:rsidRPr="001246A2" w:rsidRDefault="000B2C14" w:rsidP="00CD5035">
            <w:pPr>
              <w:pStyle w:val="Normal6"/>
              <w:rPr>
                <w:szCs w:val="24"/>
              </w:rPr>
            </w:pPr>
            <w:proofErr w:type="spellStart"/>
            <w:r w:rsidRPr="001246A2">
              <w:rPr>
                <w:b/>
                <w:i/>
              </w:rPr>
              <w:t>ba</w:t>
            </w:r>
            <w:proofErr w:type="spellEnd"/>
            <w:r w:rsidRPr="001246A2">
              <w:rPr>
                <w:b/>
                <w:i/>
              </w:rPr>
              <w:t>)</w:t>
            </w:r>
            <w:r w:rsidRPr="001246A2">
              <w:rPr>
                <w:b/>
                <w:i/>
              </w:rPr>
              <w:tab/>
              <w:t>lõige 5 asendatakse järgmisega:</w:t>
            </w:r>
          </w:p>
        </w:tc>
      </w:tr>
      <w:tr w:rsidR="000B2C14" w:rsidRPr="001246A2" w:rsidTr="00CD5035">
        <w:trPr>
          <w:jc w:val="center"/>
        </w:trPr>
        <w:tc>
          <w:tcPr>
            <w:tcW w:w="4876" w:type="dxa"/>
            <w:hideMark/>
          </w:tcPr>
          <w:p w:rsidR="000B2C14" w:rsidRPr="001246A2" w:rsidRDefault="000B2C14" w:rsidP="00CD5035">
            <w:pPr>
              <w:pStyle w:val="Normal6"/>
            </w:pPr>
            <w:r w:rsidRPr="001246A2">
              <w:t>5. Erandi uuendamise taotlus esitatakse hiljemalt 18 kuud enne erandi kehtivusaja lõppu. Kehtiv erand jääb kehtima, kuni komisjon on teinud uuendamise taotluse kohta otsuse.</w:t>
            </w:r>
          </w:p>
        </w:tc>
        <w:tc>
          <w:tcPr>
            <w:tcW w:w="4876" w:type="dxa"/>
            <w:hideMark/>
          </w:tcPr>
          <w:p w:rsidR="000B2C14" w:rsidRPr="001246A2" w:rsidRDefault="000B2C14" w:rsidP="00CD5035">
            <w:pPr>
              <w:pStyle w:val="Normal6"/>
              <w:rPr>
                <w:szCs w:val="24"/>
              </w:rPr>
            </w:pPr>
            <w:r w:rsidRPr="001246A2">
              <w:rPr>
                <w:b/>
                <w:i/>
              </w:rPr>
              <w:t>„</w:t>
            </w:r>
            <w:r w:rsidRPr="001246A2">
              <w:t xml:space="preserve">5. Erandi uuendamise taotlus esitatakse hiljemalt 18 kuud enne erandi kehtivusaja lõppu. </w:t>
            </w:r>
            <w:r w:rsidRPr="001246A2">
              <w:rPr>
                <w:b/>
                <w:i/>
              </w:rPr>
              <w:t xml:space="preserve">Komisjon võtab taotlust käsitleva otsuse vastu kuue kuu jooksul alates ameti arvamuste saamisest. </w:t>
            </w:r>
            <w:r w:rsidRPr="001246A2">
              <w:t>Kehtiv erand jääb kehtima, kuni komisjon on teinud uuendamise taotluse kohta otsuse.</w:t>
            </w:r>
            <w:r w:rsidRPr="001246A2">
              <w:rPr>
                <w:b/>
                <w:i/>
              </w:rPr>
              <w:t>“;</w:t>
            </w:r>
          </w:p>
        </w:tc>
      </w:tr>
    </w:tbl>
    <w:p w:rsidR="000B2C14" w:rsidRPr="001246A2" w:rsidRDefault="000B2C14" w:rsidP="000B2C14"/>
    <w:p w:rsidR="000B2C14" w:rsidRPr="001246A2" w:rsidRDefault="000B2C14" w:rsidP="000B2C14">
      <w:pPr>
        <w:pStyle w:val="AmNumberTabs"/>
      </w:pPr>
      <w:r w:rsidRPr="001246A2">
        <w:t>Muudatusettepanek</w:t>
      </w:r>
      <w:r w:rsidRPr="001246A2">
        <w:tab/>
      </w:r>
      <w:r w:rsidRPr="001246A2">
        <w:tab/>
        <w:t>8</w:t>
      </w:r>
    </w:p>
    <w:p w:rsidR="000B2C14" w:rsidRPr="001246A2" w:rsidRDefault="000B2C14" w:rsidP="000B2C14"/>
    <w:p w:rsidR="000B2C14" w:rsidRPr="001246A2" w:rsidRDefault="000B2C14" w:rsidP="000B2C14">
      <w:pPr>
        <w:pStyle w:val="NormalBold"/>
        <w:keepNext/>
      </w:pPr>
      <w:r w:rsidRPr="001246A2">
        <w:t>Ettepanek võtta vastu direktiiv</w:t>
      </w:r>
    </w:p>
    <w:p w:rsidR="000B2C14" w:rsidRPr="001246A2" w:rsidRDefault="000B2C14" w:rsidP="000B2C14">
      <w:pPr>
        <w:pStyle w:val="NormalBold"/>
      </w:pPr>
      <w:r w:rsidRPr="001246A2">
        <w:t>Artikkel 1 – lõik 1 – punkt 3 – alapunkt a</w:t>
      </w:r>
    </w:p>
    <w:p w:rsidR="000B2C14" w:rsidRPr="001246A2" w:rsidRDefault="000B2C14" w:rsidP="000B2C14">
      <w:pPr>
        <w:keepNext/>
      </w:pPr>
      <w:r w:rsidRPr="001246A2">
        <w:t>Direktiiv 2011/65/EL</w:t>
      </w:r>
    </w:p>
    <w:p w:rsidR="000B2C14" w:rsidRPr="001246A2" w:rsidRDefault="000B2C14" w:rsidP="000B2C14">
      <w:r w:rsidRPr="001246A2">
        <w:t>Artikkel 6 – lõige 1 – lõik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C14" w:rsidRPr="001246A2" w:rsidTr="00CD5035">
        <w:trPr>
          <w:jc w:val="center"/>
        </w:trPr>
        <w:tc>
          <w:tcPr>
            <w:tcW w:w="9752" w:type="dxa"/>
            <w:gridSpan w:val="2"/>
          </w:tcPr>
          <w:p w:rsidR="000B2C14" w:rsidRPr="001246A2" w:rsidRDefault="000B2C14" w:rsidP="00CD5035">
            <w:pPr>
              <w:keepNext/>
            </w:pPr>
          </w:p>
        </w:tc>
      </w:tr>
      <w:tr w:rsidR="000B2C14" w:rsidRPr="001246A2" w:rsidTr="00CD5035">
        <w:trPr>
          <w:jc w:val="center"/>
        </w:trPr>
        <w:tc>
          <w:tcPr>
            <w:tcW w:w="4876" w:type="dxa"/>
            <w:hideMark/>
          </w:tcPr>
          <w:p w:rsidR="000B2C14" w:rsidRPr="001246A2" w:rsidRDefault="000B2C14" w:rsidP="00CD5035">
            <w:pPr>
              <w:pStyle w:val="ColumnHeading"/>
              <w:keepNext/>
            </w:pPr>
            <w:r w:rsidRPr="001246A2">
              <w:t>Komisjoni ettepanek</w:t>
            </w:r>
          </w:p>
        </w:tc>
        <w:tc>
          <w:tcPr>
            <w:tcW w:w="4876" w:type="dxa"/>
            <w:hideMark/>
          </w:tcPr>
          <w:p w:rsidR="000B2C14" w:rsidRPr="001246A2" w:rsidRDefault="000B2C14" w:rsidP="00CD5035">
            <w:pPr>
              <w:pStyle w:val="ColumnHeading"/>
              <w:keepNext/>
            </w:pPr>
            <w:r w:rsidRPr="001246A2">
              <w:t>Muudatusettepanek</w:t>
            </w:r>
          </w:p>
        </w:tc>
      </w:tr>
      <w:tr w:rsidR="000B2C14" w:rsidRPr="001246A2" w:rsidTr="00CD5035">
        <w:trPr>
          <w:jc w:val="center"/>
        </w:trPr>
        <w:tc>
          <w:tcPr>
            <w:tcW w:w="4876" w:type="dxa"/>
            <w:hideMark/>
          </w:tcPr>
          <w:p w:rsidR="000B2C14" w:rsidRPr="001246A2" w:rsidRDefault="000B2C14" w:rsidP="00CD5035">
            <w:pPr>
              <w:pStyle w:val="Normal6"/>
            </w:pPr>
            <w:r w:rsidRPr="001246A2">
              <w:t>„Artiklis 1 sätestatud eesmärkide saavutamiseks ja võttes arvesse ettevaatuspõhimõtet, kaalub komisjon korrapäraselt omal algatusel või pärast liikmesriigi koostatud piirangutoimiku esitamist, millesse on lisatud lõikes 2 osutatud teave, kas vaadata põhjaliku hindamise alusel läbi II lisas esitatud piiratud kasutusega ainete loetelu ja seda muuta.“;</w:t>
            </w:r>
          </w:p>
        </w:tc>
        <w:tc>
          <w:tcPr>
            <w:tcW w:w="4876" w:type="dxa"/>
            <w:hideMark/>
          </w:tcPr>
          <w:p w:rsidR="000B2C14" w:rsidRPr="001246A2" w:rsidRDefault="000B2C14" w:rsidP="00CD5035">
            <w:pPr>
              <w:pStyle w:val="Normal6"/>
              <w:rPr>
                <w:szCs w:val="24"/>
              </w:rPr>
            </w:pPr>
            <w:r w:rsidRPr="001246A2">
              <w:t xml:space="preserve">„Artiklis 1 sätestatud eesmärkide saavutamiseks ja võttes arvesse ettevaatuspõhimõtet, kaalub komisjon korrapäraselt </w:t>
            </w:r>
            <w:r w:rsidRPr="001246A2">
              <w:rPr>
                <w:b/>
                <w:i/>
              </w:rPr>
              <w:t xml:space="preserve">ja vähemalt iga 36 kuu tagant </w:t>
            </w:r>
            <w:r w:rsidRPr="001246A2">
              <w:t>omal algatusel või pärast liikmesriigi koostatud piirangutoimiku esitamist, millesse on lisatud lõikes 2 osutatud teave, kas vaadata põhjaliku hindamise alusel läbi II lisas esitatud piiratud kasutusega ainete loetelu ja seda muuta.“;</w:t>
            </w:r>
          </w:p>
        </w:tc>
      </w:tr>
    </w:tbl>
    <w:p w:rsidR="000B2C14" w:rsidRPr="001246A2" w:rsidRDefault="000B2C14" w:rsidP="000B2C14"/>
    <w:p w:rsidR="000B2C14" w:rsidRPr="001246A2" w:rsidRDefault="000B2C14" w:rsidP="000B2C14">
      <w:pPr>
        <w:pStyle w:val="AmNumberTabs"/>
      </w:pPr>
      <w:r w:rsidRPr="001246A2">
        <w:t>Muudatusettepanek</w:t>
      </w:r>
      <w:r w:rsidRPr="001246A2">
        <w:tab/>
      </w:r>
      <w:r w:rsidRPr="001246A2">
        <w:tab/>
        <w:t>9</w:t>
      </w:r>
    </w:p>
    <w:p w:rsidR="000B2C14" w:rsidRPr="001246A2" w:rsidRDefault="000B2C14" w:rsidP="000B2C14"/>
    <w:p w:rsidR="000B2C14" w:rsidRPr="001246A2" w:rsidRDefault="000B2C14" w:rsidP="000B2C14">
      <w:pPr>
        <w:pStyle w:val="NormalBold"/>
        <w:keepNext/>
      </w:pPr>
      <w:r w:rsidRPr="001246A2">
        <w:t>Ettepanek võtta vastu direktiiv</w:t>
      </w:r>
    </w:p>
    <w:p w:rsidR="000B2C14" w:rsidRPr="001246A2" w:rsidRDefault="000B2C14" w:rsidP="000B2C14">
      <w:pPr>
        <w:pStyle w:val="NormalBold"/>
      </w:pPr>
      <w:r w:rsidRPr="001246A2">
        <w:t>Artikkel 1 – lõik 1 – punkt 3 – alapunkt c</w:t>
      </w:r>
    </w:p>
    <w:p w:rsidR="000B2C14" w:rsidRPr="001246A2" w:rsidRDefault="000B2C14" w:rsidP="000B2C14">
      <w:pPr>
        <w:keepNext/>
      </w:pPr>
      <w:r w:rsidRPr="001246A2">
        <w:t>Direktiiv 2011/65/EL</w:t>
      </w:r>
    </w:p>
    <w:p w:rsidR="000B2C14" w:rsidRPr="001246A2" w:rsidRDefault="000B2C14" w:rsidP="000B2C14">
      <w:r w:rsidRPr="001246A2">
        <w:t>Artikkel 6 – lõige 2 – lõik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C14" w:rsidRPr="001246A2" w:rsidTr="00CD5035">
        <w:trPr>
          <w:jc w:val="center"/>
        </w:trPr>
        <w:tc>
          <w:tcPr>
            <w:tcW w:w="9752" w:type="dxa"/>
            <w:gridSpan w:val="2"/>
          </w:tcPr>
          <w:p w:rsidR="000B2C14" w:rsidRPr="001246A2" w:rsidRDefault="000B2C14" w:rsidP="00CD5035">
            <w:pPr>
              <w:keepNext/>
            </w:pPr>
          </w:p>
        </w:tc>
      </w:tr>
      <w:tr w:rsidR="000B2C14" w:rsidRPr="001246A2" w:rsidTr="00CD5035">
        <w:trPr>
          <w:jc w:val="center"/>
        </w:trPr>
        <w:tc>
          <w:tcPr>
            <w:tcW w:w="4876" w:type="dxa"/>
            <w:hideMark/>
          </w:tcPr>
          <w:p w:rsidR="000B2C14" w:rsidRPr="001246A2" w:rsidRDefault="000B2C14" w:rsidP="00CD5035">
            <w:pPr>
              <w:pStyle w:val="ColumnHeading"/>
              <w:keepNext/>
            </w:pPr>
            <w:r w:rsidRPr="001246A2">
              <w:t>Komisjoni ettepanek</w:t>
            </w:r>
          </w:p>
        </w:tc>
        <w:tc>
          <w:tcPr>
            <w:tcW w:w="4876" w:type="dxa"/>
            <w:hideMark/>
          </w:tcPr>
          <w:p w:rsidR="000B2C14" w:rsidRPr="001246A2" w:rsidRDefault="000B2C14" w:rsidP="00CD5035">
            <w:pPr>
              <w:pStyle w:val="ColumnHeading"/>
              <w:keepNext/>
            </w:pPr>
            <w:r w:rsidRPr="001246A2">
              <w:t>Muudatusettepanek</w:t>
            </w:r>
          </w:p>
        </w:tc>
      </w:tr>
      <w:tr w:rsidR="000B2C14" w:rsidRPr="001246A2" w:rsidTr="00CD5035">
        <w:trPr>
          <w:jc w:val="center"/>
        </w:trPr>
        <w:tc>
          <w:tcPr>
            <w:tcW w:w="4876" w:type="dxa"/>
            <w:hideMark/>
          </w:tcPr>
          <w:p w:rsidR="000B2C14" w:rsidRPr="001246A2" w:rsidRDefault="000B2C14" w:rsidP="00CD5035">
            <w:pPr>
              <w:pStyle w:val="Normal6"/>
            </w:pPr>
            <w:r w:rsidRPr="001246A2">
              <w:t>II lisas esitatud piiratud kasutusega ainete loetelu läbivaatamine ja muutmine põhineb piirangutoimikutel, mille amet on koostanud komisjoni taotlusel või mille on koostanud liikmesriik.</w:t>
            </w:r>
          </w:p>
        </w:tc>
        <w:tc>
          <w:tcPr>
            <w:tcW w:w="4876" w:type="dxa"/>
            <w:hideMark/>
          </w:tcPr>
          <w:p w:rsidR="000B2C14" w:rsidRPr="001246A2" w:rsidRDefault="000B2C14" w:rsidP="00CD5035">
            <w:pPr>
              <w:pStyle w:val="Normal6"/>
              <w:rPr>
                <w:szCs w:val="24"/>
              </w:rPr>
            </w:pPr>
            <w:r w:rsidRPr="001246A2">
              <w:t xml:space="preserve">II lisas esitatud piiratud kasutusega ainete loetelu </w:t>
            </w:r>
            <w:r w:rsidRPr="001246A2">
              <w:rPr>
                <w:b/>
                <w:i/>
              </w:rPr>
              <w:t xml:space="preserve">või ainete rühma </w:t>
            </w:r>
            <w:r w:rsidRPr="001246A2">
              <w:t xml:space="preserve">läbivaatamine ja muutmine põhineb piirangutoimikutel, mille amet on koostanud komisjoni taotlusel või mille on koostanud </w:t>
            </w:r>
            <w:r w:rsidRPr="001246A2">
              <w:lastRenderedPageBreak/>
              <w:t>liikmesriik.</w:t>
            </w:r>
          </w:p>
        </w:tc>
      </w:tr>
    </w:tbl>
    <w:p w:rsidR="000B2C14" w:rsidRPr="001246A2" w:rsidRDefault="000B2C14" w:rsidP="000B2C14"/>
    <w:p w:rsidR="000B2C14" w:rsidRPr="001246A2" w:rsidRDefault="000B2C14" w:rsidP="000B2C14">
      <w:pPr>
        <w:pStyle w:val="AmNumberTabs"/>
      </w:pPr>
      <w:r w:rsidRPr="001246A2">
        <w:t>Muudatusettepanek</w:t>
      </w:r>
      <w:r w:rsidRPr="001246A2">
        <w:tab/>
      </w:r>
      <w:r w:rsidRPr="001246A2">
        <w:tab/>
        <w:t>10</w:t>
      </w:r>
    </w:p>
    <w:p w:rsidR="000B2C14" w:rsidRPr="001246A2" w:rsidRDefault="000B2C14" w:rsidP="000B2C14"/>
    <w:p w:rsidR="000B2C14" w:rsidRPr="001246A2" w:rsidRDefault="000B2C14" w:rsidP="000B2C14">
      <w:pPr>
        <w:pStyle w:val="NormalBold"/>
        <w:keepNext/>
      </w:pPr>
      <w:r w:rsidRPr="001246A2">
        <w:t>Ettepanek võtta vastu direktiiv</w:t>
      </w:r>
    </w:p>
    <w:p w:rsidR="000B2C14" w:rsidRPr="001246A2" w:rsidRDefault="000B2C14" w:rsidP="000B2C14">
      <w:pPr>
        <w:pStyle w:val="NormalBold"/>
      </w:pPr>
      <w:r w:rsidRPr="001246A2">
        <w:t>Artikkel 1 – lõik 1 – punkt 3 – alapunkt c</w:t>
      </w:r>
    </w:p>
    <w:p w:rsidR="000B2C14" w:rsidRPr="001246A2" w:rsidRDefault="000B2C14" w:rsidP="000B2C14">
      <w:pPr>
        <w:keepNext/>
      </w:pPr>
      <w:r w:rsidRPr="001246A2">
        <w:t>Direktiiv 2011/65/EL</w:t>
      </w:r>
    </w:p>
    <w:p w:rsidR="000B2C14" w:rsidRPr="001246A2" w:rsidRDefault="000B2C14" w:rsidP="000B2C14">
      <w:r w:rsidRPr="001246A2">
        <w:t>Artikkel 6 – lõige 2 – lõik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C14" w:rsidRPr="001246A2" w:rsidTr="00CD5035">
        <w:trPr>
          <w:jc w:val="center"/>
        </w:trPr>
        <w:tc>
          <w:tcPr>
            <w:tcW w:w="9752" w:type="dxa"/>
            <w:gridSpan w:val="2"/>
          </w:tcPr>
          <w:p w:rsidR="000B2C14" w:rsidRPr="001246A2" w:rsidRDefault="000B2C14" w:rsidP="00CD5035">
            <w:pPr>
              <w:keepNext/>
            </w:pPr>
          </w:p>
        </w:tc>
      </w:tr>
      <w:tr w:rsidR="000B2C14" w:rsidRPr="001246A2" w:rsidTr="00CD5035">
        <w:trPr>
          <w:jc w:val="center"/>
        </w:trPr>
        <w:tc>
          <w:tcPr>
            <w:tcW w:w="4876" w:type="dxa"/>
            <w:hideMark/>
          </w:tcPr>
          <w:p w:rsidR="000B2C14" w:rsidRPr="001246A2" w:rsidRDefault="000B2C14" w:rsidP="00CD5035">
            <w:pPr>
              <w:pStyle w:val="ColumnHeading"/>
              <w:keepNext/>
            </w:pPr>
            <w:r w:rsidRPr="001246A2">
              <w:t>Komisjoni ettepanek</w:t>
            </w:r>
          </w:p>
        </w:tc>
        <w:tc>
          <w:tcPr>
            <w:tcW w:w="4876" w:type="dxa"/>
            <w:hideMark/>
          </w:tcPr>
          <w:p w:rsidR="000B2C14" w:rsidRPr="001246A2" w:rsidRDefault="000B2C14" w:rsidP="00CD5035">
            <w:pPr>
              <w:pStyle w:val="ColumnHeading"/>
              <w:keepNext/>
            </w:pPr>
            <w:r w:rsidRPr="001246A2">
              <w:t>Muudatusettepanek</w:t>
            </w:r>
          </w:p>
        </w:tc>
      </w:tr>
      <w:tr w:rsidR="000B2C14" w:rsidRPr="001246A2" w:rsidTr="00CD5035">
        <w:trPr>
          <w:jc w:val="center"/>
        </w:trPr>
        <w:tc>
          <w:tcPr>
            <w:tcW w:w="4876" w:type="dxa"/>
            <w:hideMark/>
          </w:tcPr>
          <w:p w:rsidR="000B2C14" w:rsidRPr="001246A2" w:rsidRDefault="000B2C14" w:rsidP="00CD5035">
            <w:pPr>
              <w:pStyle w:val="Normal6"/>
            </w:pPr>
            <w:r w:rsidRPr="001246A2">
              <w:t xml:space="preserve">Amet või liikmesriik võtab arvesse kogu kättesaadavat teavet ja kõiki asjakohaseid </w:t>
            </w:r>
            <w:r w:rsidRPr="001246A2">
              <w:rPr>
                <w:b/>
                <w:i/>
              </w:rPr>
              <w:t>riskihindamisi</w:t>
            </w:r>
            <w:r w:rsidRPr="001246A2">
              <w:t>, mis on esitatud muudest liidu õigusaktidest tulenevatel põhjustel, mis hõlmavad elektri- ja elektroonikaseadmetes kasutatava aine olelusringi, eelkõige jäätmeetappi. Sel eesmärgil annavad muud liidu õiguse alusel asutatud ja sarnaseid ülesandeid täitvad asutused taotluse korral teavet ametile või asjaomasele liikmesriigile.</w:t>
            </w:r>
          </w:p>
        </w:tc>
        <w:tc>
          <w:tcPr>
            <w:tcW w:w="4876" w:type="dxa"/>
            <w:hideMark/>
          </w:tcPr>
          <w:p w:rsidR="000B2C14" w:rsidRPr="001246A2" w:rsidRDefault="000B2C14" w:rsidP="00CD5035">
            <w:pPr>
              <w:pStyle w:val="Normal6"/>
              <w:rPr>
                <w:szCs w:val="24"/>
              </w:rPr>
            </w:pPr>
            <w:r w:rsidRPr="001246A2">
              <w:t xml:space="preserve">Amet või liikmesriik võtab arvesse kogu kättesaadavat teavet ja kõiki asjakohaseid </w:t>
            </w:r>
            <w:r w:rsidRPr="001246A2">
              <w:rPr>
                <w:b/>
                <w:i/>
              </w:rPr>
              <w:t>hindamisi</w:t>
            </w:r>
            <w:r w:rsidRPr="001246A2">
              <w:t>, mis on esitatud muudest liidu õigusaktidest tulenevatel põhjustel, mis hõlmavad elektri- ja elektroonikaseadmetes kasutatava aine olelusringi</w:t>
            </w:r>
            <w:r w:rsidRPr="001246A2">
              <w:rPr>
                <w:b/>
                <w:i/>
              </w:rPr>
              <w:t xml:space="preserve"> mis tahes osa</w:t>
            </w:r>
            <w:r w:rsidRPr="001246A2">
              <w:t>, eelkõige jäätmeetappi. Sel eesmärgil annavad muud liidu õiguse alusel asutatud ja sarnaseid ülesandeid täitvad asutused taotluse korral teavet ametile või asjaomasele liikmesriigile.</w:t>
            </w:r>
          </w:p>
        </w:tc>
      </w:tr>
    </w:tbl>
    <w:p w:rsidR="000B2C14" w:rsidRPr="001246A2" w:rsidRDefault="000B2C14" w:rsidP="000B2C14"/>
    <w:p w:rsidR="000B2C14" w:rsidRPr="001246A2" w:rsidRDefault="000B2C14" w:rsidP="000B2C14">
      <w:pPr>
        <w:pStyle w:val="AmNumberTabs"/>
      </w:pPr>
      <w:r w:rsidRPr="001246A2">
        <w:t>Muudatusettepanek</w:t>
      </w:r>
      <w:r w:rsidRPr="001246A2">
        <w:tab/>
      </w:r>
      <w:r w:rsidRPr="001246A2">
        <w:tab/>
        <w:t>11</w:t>
      </w:r>
    </w:p>
    <w:p w:rsidR="000B2C14" w:rsidRPr="001246A2" w:rsidRDefault="000B2C14" w:rsidP="000B2C14"/>
    <w:p w:rsidR="000B2C14" w:rsidRPr="001246A2" w:rsidRDefault="000B2C14" w:rsidP="000B2C14">
      <w:pPr>
        <w:pStyle w:val="NormalBold"/>
        <w:keepNext/>
      </w:pPr>
      <w:r w:rsidRPr="001246A2">
        <w:t>Ettepanek võtta vastu direktiiv</w:t>
      </w:r>
    </w:p>
    <w:p w:rsidR="000B2C14" w:rsidRPr="001246A2" w:rsidRDefault="000B2C14" w:rsidP="000B2C14">
      <w:pPr>
        <w:pStyle w:val="NormalBold"/>
      </w:pPr>
      <w:r w:rsidRPr="001246A2">
        <w:t>Artikkel 1 – lõik 1 – punkt 3 – alapunkt c</w:t>
      </w:r>
    </w:p>
    <w:p w:rsidR="000B2C14" w:rsidRPr="001246A2" w:rsidRDefault="000B2C14" w:rsidP="000B2C14">
      <w:pPr>
        <w:keepNext/>
      </w:pPr>
      <w:r w:rsidRPr="001246A2">
        <w:t>Direktiiv 2011/65/EL</w:t>
      </w:r>
    </w:p>
    <w:p w:rsidR="000B2C14" w:rsidRPr="001246A2" w:rsidRDefault="000B2C14" w:rsidP="000B2C14">
      <w:r w:rsidRPr="001246A2">
        <w:t>Artikkel 6 – lõige 2 – lõik 3 – punkt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C14" w:rsidRPr="001246A2" w:rsidTr="00CD5035">
        <w:trPr>
          <w:jc w:val="center"/>
        </w:trPr>
        <w:tc>
          <w:tcPr>
            <w:tcW w:w="9752" w:type="dxa"/>
            <w:gridSpan w:val="2"/>
          </w:tcPr>
          <w:p w:rsidR="000B2C14" w:rsidRPr="001246A2" w:rsidRDefault="000B2C14" w:rsidP="00CD5035">
            <w:pPr>
              <w:keepNext/>
            </w:pPr>
          </w:p>
        </w:tc>
      </w:tr>
      <w:tr w:rsidR="000B2C14" w:rsidRPr="001246A2" w:rsidTr="00CD5035">
        <w:trPr>
          <w:jc w:val="center"/>
        </w:trPr>
        <w:tc>
          <w:tcPr>
            <w:tcW w:w="4876" w:type="dxa"/>
            <w:hideMark/>
          </w:tcPr>
          <w:p w:rsidR="000B2C14" w:rsidRPr="001246A2" w:rsidRDefault="000B2C14" w:rsidP="00CD5035">
            <w:pPr>
              <w:pStyle w:val="ColumnHeading"/>
              <w:keepNext/>
            </w:pPr>
            <w:r w:rsidRPr="001246A2">
              <w:t>Komisjoni ettepanek</w:t>
            </w:r>
          </w:p>
        </w:tc>
        <w:tc>
          <w:tcPr>
            <w:tcW w:w="4876" w:type="dxa"/>
            <w:hideMark/>
          </w:tcPr>
          <w:p w:rsidR="000B2C14" w:rsidRPr="001246A2" w:rsidRDefault="000B2C14" w:rsidP="00CD5035">
            <w:pPr>
              <w:pStyle w:val="ColumnHeading"/>
              <w:keepNext/>
            </w:pPr>
            <w:r w:rsidRPr="001246A2">
              <w:t>Muudatusettepanek</w:t>
            </w:r>
          </w:p>
        </w:tc>
      </w:tr>
      <w:tr w:rsidR="000B2C14" w:rsidRPr="001246A2" w:rsidTr="00CD5035">
        <w:trPr>
          <w:jc w:val="center"/>
        </w:trPr>
        <w:tc>
          <w:tcPr>
            <w:tcW w:w="4876" w:type="dxa"/>
          </w:tcPr>
          <w:p w:rsidR="000B2C14" w:rsidRPr="001246A2" w:rsidRDefault="000B2C14" w:rsidP="00CD5035">
            <w:pPr>
              <w:pStyle w:val="Normal6"/>
            </w:pPr>
          </w:p>
        </w:tc>
        <w:tc>
          <w:tcPr>
            <w:tcW w:w="4876" w:type="dxa"/>
            <w:hideMark/>
          </w:tcPr>
          <w:p w:rsidR="000B2C14" w:rsidRPr="001246A2" w:rsidRDefault="000B2C14" w:rsidP="00CD5035">
            <w:pPr>
              <w:pStyle w:val="Normal6"/>
              <w:rPr>
                <w:szCs w:val="24"/>
              </w:rPr>
            </w:pPr>
            <w:r w:rsidRPr="001246A2">
              <w:rPr>
                <w:b/>
                <w:i/>
              </w:rPr>
              <w:t>-a)</w:t>
            </w:r>
            <w:r w:rsidRPr="001246A2">
              <w:rPr>
                <w:b/>
                <w:i/>
              </w:rPr>
              <w:tab/>
              <w:t>aine identifitseerimisandmed;</w:t>
            </w:r>
          </w:p>
        </w:tc>
      </w:tr>
    </w:tbl>
    <w:p w:rsidR="000B2C14" w:rsidRPr="001246A2" w:rsidRDefault="000B2C14" w:rsidP="000B2C14"/>
    <w:p w:rsidR="000B2C14" w:rsidRPr="001246A2" w:rsidRDefault="000B2C14" w:rsidP="000B2C14">
      <w:pPr>
        <w:pStyle w:val="AmNumberTabs"/>
      </w:pPr>
      <w:r w:rsidRPr="001246A2">
        <w:t>Muudatusettepanek</w:t>
      </w:r>
      <w:r w:rsidRPr="001246A2">
        <w:tab/>
      </w:r>
      <w:r w:rsidRPr="001246A2">
        <w:tab/>
        <w:t>12</w:t>
      </w:r>
    </w:p>
    <w:p w:rsidR="000B2C14" w:rsidRPr="001246A2" w:rsidRDefault="000B2C14" w:rsidP="000B2C14"/>
    <w:p w:rsidR="000B2C14" w:rsidRPr="001246A2" w:rsidRDefault="000B2C14" w:rsidP="000B2C14">
      <w:pPr>
        <w:pStyle w:val="NormalBold"/>
        <w:keepNext/>
      </w:pPr>
      <w:r w:rsidRPr="001246A2">
        <w:t>Ettepanek võtta vastu direktiiv</w:t>
      </w:r>
    </w:p>
    <w:p w:rsidR="000B2C14" w:rsidRPr="001246A2" w:rsidRDefault="000B2C14" w:rsidP="000B2C14">
      <w:pPr>
        <w:pStyle w:val="NormalBold"/>
      </w:pPr>
      <w:r w:rsidRPr="001246A2">
        <w:t>Artikkel 1 – lõik 1 – punkt 3 – alapunkt c</w:t>
      </w:r>
    </w:p>
    <w:p w:rsidR="000B2C14" w:rsidRPr="001246A2" w:rsidRDefault="000B2C14" w:rsidP="000B2C14">
      <w:pPr>
        <w:keepNext/>
      </w:pPr>
      <w:r w:rsidRPr="001246A2">
        <w:t>Direktiiv 2011/65/EL</w:t>
      </w:r>
    </w:p>
    <w:p w:rsidR="000B2C14" w:rsidRPr="001246A2" w:rsidRDefault="000B2C14" w:rsidP="000B2C14">
      <w:r w:rsidRPr="001246A2">
        <w:t xml:space="preserve">Artikkel 6 – lõige 2 – lõik 3 – punkt -a </w:t>
      </w:r>
      <w:proofErr w:type="spellStart"/>
      <w:r w:rsidRPr="001246A2">
        <w:t>a</w:t>
      </w:r>
      <w:proofErr w:type="spellEnd"/>
      <w:r w:rsidRPr="001246A2">
        <w:t xml:space="preserve">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C14" w:rsidRPr="001246A2" w:rsidTr="00CD5035">
        <w:trPr>
          <w:jc w:val="center"/>
        </w:trPr>
        <w:tc>
          <w:tcPr>
            <w:tcW w:w="9752" w:type="dxa"/>
            <w:gridSpan w:val="2"/>
          </w:tcPr>
          <w:p w:rsidR="000B2C14" w:rsidRPr="001246A2" w:rsidRDefault="000B2C14" w:rsidP="00CD5035">
            <w:pPr>
              <w:keepNext/>
            </w:pPr>
          </w:p>
        </w:tc>
      </w:tr>
      <w:tr w:rsidR="000B2C14" w:rsidRPr="001246A2" w:rsidTr="00CD5035">
        <w:trPr>
          <w:jc w:val="center"/>
        </w:trPr>
        <w:tc>
          <w:tcPr>
            <w:tcW w:w="4876" w:type="dxa"/>
            <w:hideMark/>
          </w:tcPr>
          <w:p w:rsidR="000B2C14" w:rsidRPr="001246A2" w:rsidRDefault="000B2C14" w:rsidP="00CD5035">
            <w:pPr>
              <w:pStyle w:val="ColumnHeading"/>
              <w:keepNext/>
            </w:pPr>
            <w:r w:rsidRPr="001246A2">
              <w:t>Komisjoni ettepanek</w:t>
            </w:r>
          </w:p>
        </w:tc>
        <w:tc>
          <w:tcPr>
            <w:tcW w:w="4876" w:type="dxa"/>
            <w:hideMark/>
          </w:tcPr>
          <w:p w:rsidR="000B2C14" w:rsidRPr="001246A2" w:rsidRDefault="000B2C14" w:rsidP="00CD5035">
            <w:pPr>
              <w:pStyle w:val="ColumnHeading"/>
              <w:keepNext/>
            </w:pPr>
            <w:r w:rsidRPr="001246A2">
              <w:t>Muudatusettepanek</w:t>
            </w:r>
          </w:p>
        </w:tc>
      </w:tr>
      <w:tr w:rsidR="000B2C14" w:rsidRPr="001246A2" w:rsidTr="00CD5035">
        <w:trPr>
          <w:jc w:val="center"/>
        </w:trPr>
        <w:tc>
          <w:tcPr>
            <w:tcW w:w="4876" w:type="dxa"/>
          </w:tcPr>
          <w:p w:rsidR="000B2C14" w:rsidRPr="001246A2" w:rsidRDefault="000B2C14" w:rsidP="00CD5035">
            <w:pPr>
              <w:pStyle w:val="Normal6"/>
            </w:pPr>
          </w:p>
        </w:tc>
        <w:tc>
          <w:tcPr>
            <w:tcW w:w="4876" w:type="dxa"/>
            <w:hideMark/>
          </w:tcPr>
          <w:p w:rsidR="000B2C14" w:rsidRPr="001246A2" w:rsidRDefault="000B2C14" w:rsidP="00CD5035">
            <w:pPr>
              <w:pStyle w:val="Normal6"/>
              <w:rPr>
                <w:szCs w:val="24"/>
              </w:rPr>
            </w:pPr>
            <w:r w:rsidRPr="001246A2">
              <w:rPr>
                <w:b/>
                <w:i/>
              </w:rPr>
              <w:t>-aa)</w:t>
            </w:r>
            <w:r w:rsidRPr="001246A2">
              <w:rPr>
                <w:b/>
                <w:i/>
              </w:rPr>
              <w:tab/>
              <w:t>täpselt ja selgelt sõnastatud ettepanek piirangu lisamiseks II lisasse;</w:t>
            </w:r>
          </w:p>
        </w:tc>
      </w:tr>
    </w:tbl>
    <w:p w:rsidR="000B2C14" w:rsidRPr="001246A2" w:rsidRDefault="000B2C14" w:rsidP="000B2C14"/>
    <w:p w:rsidR="000B2C14" w:rsidRPr="001246A2" w:rsidRDefault="000B2C14" w:rsidP="000B2C14">
      <w:pPr>
        <w:pStyle w:val="AmNumberTabs"/>
      </w:pPr>
      <w:r w:rsidRPr="001246A2">
        <w:lastRenderedPageBreak/>
        <w:t>Muudatusettepanek</w:t>
      </w:r>
      <w:r w:rsidRPr="001246A2">
        <w:tab/>
      </w:r>
      <w:r w:rsidRPr="001246A2">
        <w:tab/>
        <w:t>13</w:t>
      </w:r>
    </w:p>
    <w:p w:rsidR="000B2C14" w:rsidRPr="001246A2" w:rsidRDefault="000B2C14" w:rsidP="000B2C14"/>
    <w:p w:rsidR="000B2C14" w:rsidRPr="001246A2" w:rsidRDefault="000B2C14" w:rsidP="000B2C14">
      <w:pPr>
        <w:pStyle w:val="NormalBold"/>
        <w:keepNext/>
      </w:pPr>
      <w:r w:rsidRPr="001246A2">
        <w:t>Ettepanek võtta vastu direktiiv</w:t>
      </w:r>
    </w:p>
    <w:p w:rsidR="000B2C14" w:rsidRPr="001246A2" w:rsidRDefault="000B2C14" w:rsidP="000B2C14">
      <w:pPr>
        <w:pStyle w:val="NormalBold"/>
      </w:pPr>
      <w:r w:rsidRPr="001246A2">
        <w:t>Artikkel 1 – lõik 1 – punkt 3 – alapunkt c</w:t>
      </w:r>
    </w:p>
    <w:p w:rsidR="000B2C14" w:rsidRPr="001246A2" w:rsidRDefault="000B2C14" w:rsidP="000B2C14">
      <w:pPr>
        <w:keepNext/>
      </w:pPr>
      <w:r w:rsidRPr="001246A2">
        <w:t>Direktiiv 2011/65/EL</w:t>
      </w:r>
    </w:p>
    <w:p w:rsidR="000B2C14" w:rsidRPr="001246A2" w:rsidRDefault="000B2C14" w:rsidP="000B2C14">
      <w:r w:rsidRPr="001246A2">
        <w:t>Artikkel 6 – lõige 2 – lõik 3 – punkt -a b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C14" w:rsidRPr="001246A2" w:rsidTr="00CD5035">
        <w:trPr>
          <w:jc w:val="center"/>
        </w:trPr>
        <w:tc>
          <w:tcPr>
            <w:tcW w:w="9752" w:type="dxa"/>
            <w:gridSpan w:val="2"/>
          </w:tcPr>
          <w:p w:rsidR="000B2C14" w:rsidRPr="001246A2" w:rsidRDefault="000B2C14" w:rsidP="00CD5035">
            <w:pPr>
              <w:keepNext/>
            </w:pPr>
          </w:p>
        </w:tc>
      </w:tr>
      <w:tr w:rsidR="000B2C14" w:rsidRPr="001246A2" w:rsidTr="00CD5035">
        <w:trPr>
          <w:jc w:val="center"/>
        </w:trPr>
        <w:tc>
          <w:tcPr>
            <w:tcW w:w="4876" w:type="dxa"/>
            <w:hideMark/>
          </w:tcPr>
          <w:p w:rsidR="000B2C14" w:rsidRPr="001246A2" w:rsidRDefault="000B2C14" w:rsidP="00CD5035">
            <w:pPr>
              <w:pStyle w:val="ColumnHeading"/>
              <w:keepNext/>
            </w:pPr>
            <w:r w:rsidRPr="001246A2">
              <w:t>Komisjoni ettepanek</w:t>
            </w:r>
          </w:p>
        </w:tc>
        <w:tc>
          <w:tcPr>
            <w:tcW w:w="4876" w:type="dxa"/>
            <w:hideMark/>
          </w:tcPr>
          <w:p w:rsidR="000B2C14" w:rsidRPr="001246A2" w:rsidRDefault="000B2C14" w:rsidP="00CD5035">
            <w:pPr>
              <w:pStyle w:val="ColumnHeading"/>
              <w:keepNext/>
            </w:pPr>
            <w:r w:rsidRPr="001246A2">
              <w:t>Muudatusettepanek</w:t>
            </w:r>
          </w:p>
        </w:tc>
      </w:tr>
      <w:tr w:rsidR="000B2C14" w:rsidRPr="001246A2" w:rsidTr="00CD5035">
        <w:trPr>
          <w:jc w:val="center"/>
        </w:trPr>
        <w:tc>
          <w:tcPr>
            <w:tcW w:w="4876" w:type="dxa"/>
          </w:tcPr>
          <w:p w:rsidR="000B2C14" w:rsidRPr="001246A2" w:rsidRDefault="000B2C14" w:rsidP="00CD5035">
            <w:pPr>
              <w:pStyle w:val="Normal6"/>
            </w:pPr>
          </w:p>
        </w:tc>
        <w:tc>
          <w:tcPr>
            <w:tcW w:w="4876" w:type="dxa"/>
            <w:hideMark/>
          </w:tcPr>
          <w:p w:rsidR="000B2C14" w:rsidRPr="001246A2" w:rsidRDefault="000B2C14" w:rsidP="00CD5035">
            <w:pPr>
              <w:pStyle w:val="Normal6"/>
              <w:rPr>
                <w:szCs w:val="24"/>
              </w:rPr>
            </w:pPr>
            <w:r w:rsidRPr="001246A2">
              <w:rPr>
                <w:b/>
                <w:i/>
              </w:rPr>
              <w:t>-</w:t>
            </w:r>
            <w:proofErr w:type="spellStart"/>
            <w:r w:rsidRPr="001246A2">
              <w:rPr>
                <w:b/>
                <w:i/>
              </w:rPr>
              <w:t>ab</w:t>
            </w:r>
            <w:proofErr w:type="spellEnd"/>
            <w:r w:rsidRPr="001246A2">
              <w:rPr>
                <w:b/>
                <w:i/>
              </w:rPr>
              <w:t>)</w:t>
            </w:r>
            <w:r w:rsidRPr="001246A2">
              <w:rPr>
                <w:b/>
                <w:i/>
              </w:rPr>
              <w:tab/>
              <w:t>viited ja teaduslikud tõendid piirangu kohta;</w:t>
            </w:r>
          </w:p>
        </w:tc>
      </w:tr>
    </w:tbl>
    <w:p w:rsidR="000B2C14" w:rsidRPr="001246A2" w:rsidRDefault="000B2C14" w:rsidP="000B2C14"/>
    <w:p w:rsidR="000B2C14" w:rsidRPr="001246A2" w:rsidRDefault="000B2C14" w:rsidP="000B2C14">
      <w:pPr>
        <w:pStyle w:val="AmNumberTabs"/>
      </w:pPr>
      <w:r w:rsidRPr="001246A2">
        <w:t>Muudatusettepanek</w:t>
      </w:r>
      <w:r w:rsidRPr="001246A2">
        <w:tab/>
      </w:r>
      <w:r w:rsidRPr="001246A2">
        <w:tab/>
        <w:t>14</w:t>
      </w:r>
    </w:p>
    <w:p w:rsidR="000B2C14" w:rsidRPr="001246A2" w:rsidRDefault="000B2C14" w:rsidP="000B2C14"/>
    <w:p w:rsidR="000B2C14" w:rsidRPr="001246A2" w:rsidRDefault="000B2C14" w:rsidP="000B2C14">
      <w:pPr>
        <w:pStyle w:val="NormalBold"/>
        <w:keepNext/>
      </w:pPr>
      <w:r w:rsidRPr="001246A2">
        <w:t>Ettepanek võtta vastu direktiiv</w:t>
      </w:r>
    </w:p>
    <w:p w:rsidR="000B2C14" w:rsidRPr="001246A2" w:rsidRDefault="000B2C14" w:rsidP="000B2C14">
      <w:pPr>
        <w:pStyle w:val="NormalBold"/>
      </w:pPr>
      <w:r w:rsidRPr="001246A2">
        <w:t>Artikkel 1 – lõik 1 – punkt 3 – alapunkt c</w:t>
      </w:r>
    </w:p>
    <w:p w:rsidR="000B2C14" w:rsidRPr="001246A2" w:rsidRDefault="000B2C14" w:rsidP="000B2C14">
      <w:pPr>
        <w:keepNext/>
      </w:pPr>
      <w:r w:rsidRPr="001246A2">
        <w:t>Direktiiv 2011/65/EL</w:t>
      </w:r>
    </w:p>
    <w:p w:rsidR="000B2C14" w:rsidRPr="001246A2" w:rsidRDefault="000B2C14" w:rsidP="000B2C14">
      <w:r w:rsidRPr="001246A2">
        <w:t>Artikkel 6 – lõige 2 – lõik 3 – punkt b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C14" w:rsidRPr="001246A2" w:rsidTr="00CD5035">
        <w:trPr>
          <w:jc w:val="center"/>
        </w:trPr>
        <w:tc>
          <w:tcPr>
            <w:tcW w:w="9752" w:type="dxa"/>
            <w:gridSpan w:val="2"/>
          </w:tcPr>
          <w:p w:rsidR="000B2C14" w:rsidRPr="001246A2" w:rsidRDefault="000B2C14" w:rsidP="00CD5035">
            <w:pPr>
              <w:keepNext/>
            </w:pPr>
          </w:p>
        </w:tc>
      </w:tr>
      <w:tr w:rsidR="000B2C14" w:rsidRPr="001246A2" w:rsidTr="00CD5035">
        <w:trPr>
          <w:jc w:val="center"/>
        </w:trPr>
        <w:tc>
          <w:tcPr>
            <w:tcW w:w="4876" w:type="dxa"/>
            <w:hideMark/>
          </w:tcPr>
          <w:p w:rsidR="000B2C14" w:rsidRPr="001246A2" w:rsidRDefault="000B2C14" w:rsidP="00CD5035">
            <w:pPr>
              <w:pStyle w:val="ColumnHeading"/>
              <w:keepNext/>
            </w:pPr>
            <w:r w:rsidRPr="001246A2">
              <w:t>Komisjoni ettepanek</w:t>
            </w:r>
          </w:p>
        </w:tc>
        <w:tc>
          <w:tcPr>
            <w:tcW w:w="4876" w:type="dxa"/>
            <w:hideMark/>
          </w:tcPr>
          <w:p w:rsidR="000B2C14" w:rsidRPr="001246A2" w:rsidRDefault="000B2C14" w:rsidP="00CD5035">
            <w:pPr>
              <w:pStyle w:val="ColumnHeading"/>
              <w:keepNext/>
            </w:pPr>
            <w:r w:rsidRPr="001246A2">
              <w:t>Muudatusettepanek</w:t>
            </w:r>
          </w:p>
        </w:tc>
      </w:tr>
      <w:tr w:rsidR="000B2C14" w:rsidRPr="001246A2" w:rsidTr="00CD5035">
        <w:trPr>
          <w:jc w:val="center"/>
        </w:trPr>
        <w:tc>
          <w:tcPr>
            <w:tcW w:w="4876" w:type="dxa"/>
          </w:tcPr>
          <w:p w:rsidR="000B2C14" w:rsidRPr="001246A2" w:rsidRDefault="000B2C14" w:rsidP="00CD5035">
            <w:pPr>
              <w:pStyle w:val="Normal6"/>
            </w:pPr>
          </w:p>
        </w:tc>
        <w:tc>
          <w:tcPr>
            <w:tcW w:w="4876" w:type="dxa"/>
            <w:hideMark/>
          </w:tcPr>
          <w:p w:rsidR="000B2C14" w:rsidRPr="001246A2" w:rsidRDefault="000B2C14" w:rsidP="00CD5035">
            <w:pPr>
              <w:pStyle w:val="Normal6"/>
              <w:rPr>
                <w:szCs w:val="24"/>
              </w:rPr>
            </w:pPr>
            <w:proofErr w:type="spellStart"/>
            <w:r w:rsidRPr="001246A2">
              <w:rPr>
                <w:b/>
                <w:i/>
              </w:rPr>
              <w:t>ba</w:t>
            </w:r>
            <w:proofErr w:type="spellEnd"/>
            <w:r w:rsidRPr="001246A2">
              <w:rPr>
                <w:b/>
                <w:i/>
              </w:rPr>
              <w:t>)</w:t>
            </w:r>
            <w:r w:rsidRPr="001246A2">
              <w:rPr>
                <w:b/>
                <w:i/>
              </w:rPr>
              <w:tab/>
              <w:t>teave võimalike alternatiivide, nende kättesaadavuse ja sobivuse kohta;</w:t>
            </w:r>
          </w:p>
        </w:tc>
      </w:tr>
    </w:tbl>
    <w:p w:rsidR="000B2C14" w:rsidRPr="001246A2" w:rsidRDefault="000B2C14" w:rsidP="000B2C14"/>
    <w:p w:rsidR="000B2C14" w:rsidRPr="001246A2" w:rsidRDefault="000B2C14" w:rsidP="000B2C14">
      <w:pPr>
        <w:pStyle w:val="AmNumberTabs"/>
      </w:pPr>
      <w:r w:rsidRPr="001246A2">
        <w:t>Muudatusettepanek</w:t>
      </w:r>
      <w:r w:rsidRPr="001246A2">
        <w:tab/>
      </w:r>
      <w:r w:rsidRPr="001246A2">
        <w:tab/>
        <w:t>15</w:t>
      </w:r>
    </w:p>
    <w:p w:rsidR="000B2C14" w:rsidRPr="001246A2" w:rsidRDefault="000B2C14" w:rsidP="000B2C14"/>
    <w:p w:rsidR="000B2C14" w:rsidRPr="001246A2" w:rsidRDefault="000B2C14" w:rsidP="000B2C14">
      <w:pPr>
        <w:pStyle w:val="NormalBold"/>
        <w:keepNext/>
      </w:pPr>
      <w:r w:rsidRPr="001246A2">
        <w:t>Ettepanek võtta vastu direktiiv</w:t>
      </w:r>
    </w:p>
    <w:p w:rsidR="000B2C14" w:rsidRPr="001246A2" w:rsidRDefault="000B2C14" w:rsidP="000B2C14">
      <w:pPr>
        <w:pStyle w:val="NormalBold"/>
      </w:pPr>
      <w:r w:rsidRPr="001246A2">
        <w:t>Artikkel 1 – lõik 1 – punkt 3 – alapunkt c</w:t>
      </w:r>
    </w:p>
    <w:p w:rsidR="000B2C14" w:rsidRPr="001246A2" w:rsidRDefault="000B2C14" w:rsidP="000B2C14">
      <w:pPr>
        <w:keepNext/>
      </w:pPr>
      <w:r w:rsidRPr="001246A2">
        <w:t>Direktiiv 2011/65/EL</w:t>
      </w:r>
    </w:p>
    <w:p w:rsidR="000B2C14" w:rsidRPr="001246A2" w:rsidRDefault="000B2C14" w:rsidP="000B2C14">
      <w:r w:rsidRPr="001246A2">
        <w:t xml:space="preserve">Artikkel 6 – lõige 2 – lõik 3 – punkt b </w:t>
      </w:r>
      <w:proofErr w:type="spellStart"/>
      <w:r w:rsidRPr="001246A2">
        <w:t>b</w:t>
      </w:r>
      <w:proofErr w:type="spellEnd"/>
      <w:r w:rsidRPr="001246A2">
        <w:t xml:space="preserve">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C14" w:rsidRPr="001246A2" w:rsidTr="00CD5035">
        <w:trPr>
          <w:jc w:val="center"/>
        </w:trPr>
        <w:tc>
          <w:tcPr>
            <w:tcW w:w="9752" w:type="dxa"/>
            <w:gridSpan w:val="2"/>
          </w:tcPr>
          <w:p w:rsidR="000B2C14" w:rsidRPr="001246A2" w:rsidRDefault="000B2C14" w:rsidP="00CD5035">
            <w:pPr>
              <w:keepNext/>
            </w:pPr>
          </w:p>
        </w:tc>
      </w:tr>
      <w:tr w:rsidR="000B2C14" w:rsidRPr="001246A2" w:rsidTr="00CD5035">
        <w:trPr>
          <w:jc w:val="center"/>
        </w:trPr>
        <w:tc>
          <w:tcPr>
            <w:tcW w:w="4876" w:type="dxa"/>
            <w:hideMark/>
          </w:tcPr>
          <w:p w:rsidR="000B2C14" w:rsidRPr="001246A2" w:rsidRDefault="000B2C14" w:rsidP="00CD5035">
            <w:pPr>
              <w:pStyle w:val="ColumnHeading"/>
              <w:keepNext/>
            </w:pPr>
            <w:r w:rsidRPr="001246A2">
              <w:t>Komisjoni ettepanek</w:t>
            </w:r>
          </w:p>
        </w:tc>
        <w:tc>
          <w:tcPr>
            <w:tcW w:w="4876" w:type="dxa"/>
            <w:hideMark/>
          </w:tcPr>
          <w:p w:rsidR="000B2C14" w:rsidRPr="001246A2" w:rsidRDefault="000B2C14" w:rsidP="00CD5035">
            <w:pPr>
              <w:pStyle w:val="ColumnHeading"/>
              <w:keepNext/>
            </w:pPr>
            <w:r w:rsidRPr="001246A2">
              <w:t>Muudatusettepanek</w:t>
            </w:r>
          </w:p>
        </w:tc>
      </w:tr>
      <w:tr w:rsidR="000B2C14" w:rsidRPr="001246A2" w:rsidTr="00CD5035">
        <w:trPr>
          <w:jc w:val="center"/>
        </w:trPr>
        <w:tc>
          <w:tcPr>
            <w:tcW w:w="4876" w:type="dxa"/>
          </w:tcPr>
          <w:p w:rsidR="000B2C14" w:rsidRPr="001246A2" w:rsidRDefault="000B2C14" w:rsidP="00CD5035">
            <w:pPr>
              <w:pStyle w:val="Normal6"/>
            </w:pPr>
          </w:p>
        </w:tc>
        <w:tc>
          <w:tcPr>
            <w:tcW w:w="4876" w:type="dxa"/>
            <w:hideMark/>
          </w:tcPr>
          <w:p w:rsidR="000B2C14" w:rsidRPr="001246A2" w:rsidRDefault="000B2C14" w:rsidP="00CD5035">
            <w:pPr>
              <w:pStyle w:val="Normal6"/>
              <w:rPr>
                <w:szCs w:val="24"/>
              </w:rPr>
            </w:pPr>
            <w:proofErr w:type="spellStart"/>
            <w:r w:rsidRPr="001246A2">
              <w:rPr>
                <w:b/>
                <w:i/>
              </w:rPr>
              <w:t>bb</w:t>
            </w:r>
            <w:proofErr w:type="spellEnd"/>
            <w:r w:rsidRPr="001246A2">
              <w:rPr>
                <w:b/>
                <w:i/>
              </w:rPr>
              <w:t>)</w:t>
            </w:r>
            <w:r w:rsidRPr="001246A2">
              <w:rPr>
                <w:b/>
                <w:i/>
              </w:rPr>
              <w:tab/>
              <w:t>põhjendused selle kohta, et kogu liitu hõlmav piirang on kõige asjakohasem meede;</w:t>
            </w:r>
          </w:p>
        </w:tc>
      </w:tr>
    </w:tbl>
    <w:p w:rsidR="000B2C14" w:rsidRPr="001246A2" w:rsidRDefault="000B2C14" w:rsidP="000B2C14"/>
    <w:p w:rsidR="000B2C14" w:rsidRPr="001246A2" w:rsidRDefault="000B2C14" w:rsidP="000B2C14">
      <w:pPr>
        <w:pStyle w:val="AmNumberTabs"/>
      </w:pPr>
      <w:r w:rsidRPr="001246A2">
        <w:t>Muudatusettepanek</w:t>
      </w:r>
      <w:r w:rsidRPr="001246A2">
        <w:tab/>
      </w:r>
      <w:r w:rsidRPr="001246A2">
        <w:tab/>
        <w:t>16</w:t>
      </w:r>
    </w:p>
    <w:p w:rsidR="000B2C14" w:rsidRPr="001246A2" w:rsidRDefault="000B2C14" w:rsidP="000B2C14"/>
    <w:p w:rsidR="000B2C14" w:rsidRPr="001246A2" w:rsidRDefault="000B2C14" w:rsidP="000B2C14">
      <w:pPr>
        <w:pStyle w:val="NormalBold"/>
        <w:keepNext/>
      </w:pPr>
      <w:r w:rsidRPr="001246A2">
        <w:t>Ettepanek võtta vastu direktiiv</w:t>
      </w:r>
    </w:p>
    <w:p w:rsidR="000B2C14" w:rsidRPr="001246A2" w:rsidRDefault="000B2C14" w:rsidP="000B2C14">
      <w:pPr>
        <w:pStyle w:val="NormalBold"/>
      </w:pPr>
      <w:r w:rsidRPr="001246A2">
        <w:t>Artikkel 1 – lõik 1 – punkt 3 – alapunkt c</w:t>
      </w:r>
    </w:p>
    <w:p w:rsidR="000B2C14" w:rsidRPr="001246A2" w:rsidRDefault="000B2C14" w:rsidP="000B2C14">
      <w:pPr>
        <w:keepNext/>
      </w:pPr>
      <w:r w:rsidRPr="001246A2">
        <w:t>Direktiiv 2011/65/EL</w:t>
      </w:r>
    </w:p>
    <w:p w:rsidR="000B2C14" w:rsidRPr="001246A2" w:rsidRDefault="000B2C14" w:rsidP="000B2C14">
      <w:r w:rsidRPr="001246A2">
        <w:t>Artikkel 6 – lõige 2 – lõik 3 – punkt b c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C14" w:rsidRPr="001246A2" w:rsidTr="00CD5035">
        <w:trPr>
          <w:jc w:val="center"/>
        </w:trPr>
        <w:tc>
          <w:tcPr>
            <w:tcW w:w="9752" w:type="dxa"/>
            <w:gridSpan w:val="2"/>
          </w:tcPr>
          <w:p w:rsidR="000B2C14" w:rsidRPr="001246A2" w:rsidRDefault="000B2C14" w:rsidP="00CD5035">
            <w:pPr>
              <w:keepNext/>
            </w:pPr>
          </w:p>
        </w:tc>
      </w:tr>
      <w:tr w:rsidR="000B2C14" w:rsidRPr="001246A2" w:rsidTr="00CD5035">
        <w:trPr>
          <w:jc w:val="center"/>
        </w:trPr>
        <w:tc>
          <w:tcPr>
            <w:tcW w:w="4876" w:type="dxa"/>
            <w:hideMark/>
          </w:tcPr>
          <w:p w:rsidR="000B2C14" w:rsidRPr="001246A2" w:rsidRDefault="000B2C14" w:rsidP="00CD5035">
            <w:pPr>
              <w:pStyle w:val="ColumnHeading"/>
              <w:keepNext/>
            </w:pPr>
            <w:r w:rsidRPr="001246A2">
              <w:t>Komisjoni ettepanek</w:t>
            </w:r>
          </w:p>
        </w:tc>
        <w:tc>
          <w:tcPr>
            <w:tcW w:w="4876" w:type="dxa"/>
            <w:hideMark/>
          </w:tcPr>
          <w:p w:rsidR="000B2C14" w:rsidRPr="001246A2" w:rsidRDefault="000B2C14" w:rsidP="00CD5035">
            <w:pPr>
              <w:pStyle w:val="ColumnHeading"/>
              <w:keepNext/>
            </w:pPr>
            <w:r w:rsidRPr="001246A2">
              <w:t>Muudatusettepanek</w:t>
            </w:r>
          </w:p>
        </w:tc>
      </w:tr>
      <w:tr w:rsidR="000B2C14" w:rsidRPr="001246A2" w:rsidTr="00CD5035">
        <w:trPr>
          <w:jc w:val="center"/>
        </w:trPr>
        <w:tc>
          <w:tcPr>
            <w:tcW w:w="4876" w:type="dxa"/>
          </w:tcPr>
          <w:p w:rsidR="000B2C14" w:rsidRPr="001246A2" w:rsidRDefault="000B2C14" w:rsidP="00CD5035">
            <w:pPr>
              <w:pStyle w:val="Normal6"/>
            </w:pPr>
          </w:p>
        </w:tc>
        <w:tc>
          <w:tcPr>
            <w:tcW w:w="4876" w:type="dxa"/>
            <w:hideMark/>
          </w:tcPr>
          <w:p w:rsidR="000B2C14" w:rsidRPr="001246A2" w:rsidRDefault="000B2C14" w:rsidP="00CD5035">
            <w:pPr>
              <w:pStyle w:val="Normal6"/>
              <w:rPr>
                <w:szCs w:val="24"/>
              </w:rPr>
            </w:pPr>
            <w:r w:rsidRPr="001246A2">
              <w:rPr>
                <w:b/>
                <w:i/>
              </w:rPr>
              <w:t>bc)</w:t>
            </w:r>
            <w:r w:rsidRPr="001246A2">
              <w:rPr>
                <w:b/>
                <w:i/>
              </w:rPr>
              <w:tab/>
            </w:r>
            <w:proofErr w:type="spellStart"/>
            <w:r w:rsidRPr="001246A2">
              <w:rPr>
                <w:b/>
                <w:i/>
              </w:rPr>
              <w:t>sotsiaal-majanduslik</w:t>
            </w:r>
            <w:proofErr w:type="spellEnd"/>
            <w:r w:rsidRPr="001246A2">
              <w:rPr>
                <w:b/>
                <w:i/>
              </w:rPr>
              <w:t xml:space="preserve"> hinnang.</w:t>
            </w:r>
          </w:p>
        </w:tc>
      </w:tr>
    </w:tbl>
    <w:p w:rsidR="000B2C14" w:rsidRPr="001246A2" w:rsidRDefault="000B2C14" w:rsidP="000B2C14"/>
    <w:p w:rsidR="000B2C14" w:rsidRPr="001246A2" w:rsidRDefault="000B2C14" w:rsidP="000B2C14">
      <w:pPr>
        <w:pStyle w:val="AmNumberTabs"/>
      </w:pPr>
      <w:r w:rsidRPr="001246A2">
        <w:t>Muudatusettepanek</w:t>
      </w:r>
      <w:r w:rsidRPr="001246A2">
        <w:tab/>
      </w:r>
      <w:r w:rsidRPr="001246A2">
        <w:tab/>
        <w:t>17</w:t>
      </w:r>
    </w:p>
    <w:p w:rsidR="000B2C14" w:rsidRPr="001246A2" w:rsidRDefault="000B2C14" w:rsidP="000B2C14"/>
    <w:p w:rsidR="000B2C14" w:rsidRPr="001246A2" w:rsidRDefault="000B2C14" w:rsidP="000B2C14">
      <w:pPr>
        <w:pStyle w:val="NormalBold"/>
        <w:keepNext/>
      </w:pPr>
      <w:r w:rsidRPr="001246A2">
        <w:t>Ettepanek võtta vastu direktiiv</w:t>
      </w:r>
    </w:p>
    <w:p w:rsidR="000B2C14" w:rsidRPr="001246A2" w:rsidRDefault="000B2C14" w:rsidP="000B2C14">
      <w:pPr>
        <w:pStyle w:val="NormalBold"/>
      </w:pPr>
      <w:r w:rsidRPr="001246A2">
        <w:t>Artikkel 1 – lõik 1 – punkt 4 a (uus)</w:t>
      </w:r>
    </w:p>
    <w:p w:rsidR="000B2C14" w:rsidRPr="001246A2" w:rsidRDefault="000B2C14" w:rsidP="000B2C14">
      <w:pPr>
        <w:keepNext/>
      </w:pPr>
      <w:r w:rsidRPr="001246A2">
        <w:t>Direktiiv 2011/65/EL</w:t>
      </w:r>
    </w:p>
    <w:p w:rsidR="000B2C14" w:rsidRPr="001246A2" w:rsidRDefault="000B2C14" w:rsidP="000B2C14">
      <w:r w:rsidRPr="001246A2">
        <w:t>Artikkel 20 – lõige 1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C14" w:rsidRPr="001246A2" w:rsidTr="00CD5035">
        <w:trPr>
          <w:jc w:val="center"/>
        </w:trPr>
        <w:tc>
          <w:tcPr>
            <w:tcW w:w="9752" w:type="dxa"/>
            <w:gridSpan w:val="2"/>
          </w:tcPr>
          <w:p w:rsidR="000B2C14" w:rsidRPr="001246A2" w:rsidRDefault="000B2C14" w:rsidP="00CD5035">
            <w:pPr>
              <w:keepNext/>
            </w:pPr>
          </w:p>
        </w:tc>
      </w:tr>
      <w:tr w:rsidR="000B2C14" w:rsidRPr="001246A2" w:rsidTr="00CD5035">
        <w:trPr>
          <w:jc w:val="center"/>
        </w:trPr>
        <w:tc>
          <w:tcPr>
            <w:tcW w:w="4876" w:type="dxa"/>
            <w:hideMark/>
          </w:tcPr>
          <w:p w:rsidR="000B2C14" w:rsidRPr="001246A2" w:rsidRDefault="000B2C14" w:rsidP="00CD5035">
            <w:pPr>
              <w:pStyle w:val="ColumnHeading"/>
              <w:keepNext/>
            </w:pPr>
            <w:r w:rsidRPr="001246A2">
              <w:t>Komisjoni ettepanek</w:t>
            </w:r>
          </w:p>
        </w:tc>
        <w:tc>
          <w:tcPr>
            <w:tcW w:w="4876" w:type="dxa"/>
            <w:hideMark/>
          </w:tcPr>
          <w:p w:rsidR="000B2C14" w:rsidRPr="001246A2" w:rsidRDefault="000B2C14" w:rsidP="00CD5035">
            <w:pPr>
              <w:pStyle w:val="ColumnHeading"/>
              <w:keepNext/>
            </w:pPr>
            <w:r w:rsidRPr="001246A2">
              <w:t>Muudatusettepanek</w:t>
            </w:r>
          </w:p>
        </w:tc>
      </w:tr>
      <w:tr w:rsidR="000B2C14" w:rsidRPr="001246A2" w:rsidTr="00CD5035">
        <w:trPr>
          <w:jc w:val="center"/>
        </w:trPr>
        <w:tc>
          <w:tcPr>
            <w:tcW w:w="4876" w:type="dxa"/>
          </w:tcPr>
          <w:p w:rsidR="000B2C14" w:rsidRPr="001246A2" w:rsidRDefault="000B2C14" w:rsidP="00CD5035">
            <w:pPr>
              <w:pStyle w:val="Normal6"/>
            </w:pPr>
          </w:p>
        </w:tc>
        <w:tc>
          <w:tcPr>
            <w:tcW w:w="4876" w:type="dxa"/>
            <w:hideMark/>
          </w:tcPr>
          <w:p w:rsidR="000B2C14" w:rsidRPr="001246A2" w:rsidRDefault="000B2C14" w:rsidP="00CD5035">
            <w:pPr>
              <w:pStyle w:val="Normal6"/>
              <w:rPr>
                <w:szCs w:val="24"/>
              </w:rPr>
            </w:pPr>
            <w:r w:rsidRPr="001246A2">
              <w:rPr>
                <w:b/>
                <w:i/>
              </w:rPr>
              <w:t>4a)</w:t>
            </w:r>
            <w:r w:rsidRPr="001246A2">
              <w:rPr>
                <w:b/>
                <w:i/>
              </w:rPr>
              <w:tab/>
              <w:t>Artiklisse 20 lisatakse järgmine lõige:</w:t>
            </w:r>
          </w:p>
        </w:tc>
      </w:tr>
      <w:tr w:rsidR="000B2C14" w:rsidRPr="001246A2" w:rsidTr="00CD5035">
        <w:trPr>
          <w:jc w:val="center"/>
        </w:trPr>
        <w:tc>
          <w:tcPr>
            <w:tcW w:w="4876" w:type="dxa"/>
          </w:tcPr>
          <w:p w:rsidR="000B2C14" w:rsidRPr="001246A2" w:rsidRDefault="000B2C14" w:rsidP="00CD5035">
            <w:pPr>
              <w:pStyle w:val="Normal6"/>
            </w:pPr>
          </w:p>
        </w:tc>
        <w:tc>
          <w:tcPr>
            <w:tcW w:w="4876" w:type="dxa"/>
            <w:hideMark/>
          </w:tcPr>
          <w:p w:rsidR="000B2C14" w:rsidRPr="001246A2" w:rsidRDefault="000B2C14" w:rsidP="00CD5035">
            <w:pPr>
              <w:pStyle w:val="Normal6"/>
              <w:rPr>
                <w:szCs w:val="24"/>
              </w:rPr>
            </w:pPr>
            <w:r w:rsidRPr="001246A2">
              <w:rPr>
                <w:b/>
                <w:i/>
              </w:rPr>
              <w:t>„1a.</w:t>
            </w:r>
            <w:r w:rsidRPr="001246A2">
              <w:rPr>
                <w:b/>
                <w:i/>
              </w:rPr>
              <w:tab/>
              <w:t>Enne delegeeritud õigusakti vastuvõtmist konsulteerib komisjon kooskõlas 13. aprilli 2016. aasta institutsioonidevahelises parema õigusloome kokkuleppes sätestatud põhimõtetega iga liikmesriigi määratud ekspertidega.“</w:t>
            </w:r>
          </w:p>
        </w:tc>
      </w:tr>
    </w:tbl>
    <w:p w:rsidR="000B2C14" w:rsidRPr="001246A2" w:rsidRDefault="000B2C14" w:rsidP="000B2C14"/>
    <w:p w:rsidR="000B2C14" w:rsidRPr="001246A2" w:rsidRDefault="000B2C14" w:rsidP="000B2C14">
      <w:pPr>
        <w:pStyle w:val="AmNumberTabs"/>
      </w:pPr>
      <w:r w:rsidRPr="001246A2">
        <w:t>Muudatusettepanek</w:t>
      </w:r>
      <w:r w:rsidRPr="001246A2">
        <w:tab/>
      </w:r>
      <w:r w:rsidRPr="001246A2">
        <w:tab/>
        <w:t>18</w:t>
      </w:r>
    </w:p>
    <w:p w:rsidR="000B2C14" w:rsidRPr="001246A2" w:rsidRDefault="000B2C14" w:rsidP="000B2C14"/>
    <w:p w:rsidR="000B2C14" w:rsidRPr="001246A2" w:rsidRDefault="000B2C14" w:rsidP="000B2C14">
      <w:pPr>
        <w:pStyle w:val="NormalBold"/>
        <w:keepNext/>
      </w:pPr>
      <w:r w:rsidRPr="001246A2">
        <w:t>Ettepanek võtta vastu direktiiv</w:t>
      </w:r>
    </w:p>
    <w:p w:rsidR="000B2C14" w:rsidRPr="001246A2" w:rsidRDefault="000B2C14" w:rsidP="000B2C14">
      <w:pPr>
        <w:pStyle w:val="NormalBold"/>
      </w:pPr>
      <w:r w:rsidRPr="001246A2">
        <w:t>Artikkel 1 – lõik 1 – punkt 4 b (uus)</w:t>
      </w:r>
    </w:p>
    <w:p w:rsidR="000B2C14" w:rsidRPr="001246A2" w:rsidRDefault="000B2C14" w:rsidP="000B2C14">
      <w:pPr>
        <w:keepNext/>
      </w:pPr>
      <w:r w:rsidRPr="001246A2">
        <w:t>Direktiiv 2011/65/EL</w:t>
      </w:r>
    </w:p>
    <w:p w:rsidR="000B2C14" w:rsidRPr="001246A2" w:rsidRDefault="000B2C14" w:rsidP="000B2C14">
      <w:r w:rsidRPr="001246A2">
        <w:t>Artikkel 24 – lõige 2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C14" w:rsidRPr="001246A2" w:rsidTr="00CD5035">
        <w:trPr>
          <w:jc w:val="center"/>
        </w:trPr>
        <w:tc>
          <w:tcPr>
            <w:tcW w:w="9752" w:type="dxa"/>
            <w:gridSpan w:val="2"/>
          </w:tcPr>
          <w:p w:rsidR="000B2C14" w:rsidRPr="001246A2" w:rsidRDefault="000B2C14" w:rsidP="00CD5035">
            <w:pPr>
              <w:keepNext/>
            </w:pPr>
          </w:p>
        </w:tc>
      </w:tr>
      <w:tr w:rsidR="000B2C14" w:rsidRPr="001246A2" w:rsidTr="00CD5035">
        <w:trPr>
          <w:jc w:val="center"/>
        </w:trPr>
        <w:tc>
          <w:tcPr>
            <w:tcW w:w="4876" w:type="dxa"/>
            <w:hideMark/>
          </w:tcPr>
          <w:p w:rsidR="000B2C14" w:rsidRPr="001246A2" w:rsidRDefault="000B2C14" w:rsidP="00CD5035">
            <w:pPr>
              <w:pStyle w:val="ColumnHeading"/>
              <w:keepNext/>
            </w:pPr>
            <w:r w:rsidRPr="001246A2">
              <w:t>Komisjoni ettepanek</w:t>
            </w:r>
          </w:p>
        </w:tc>
        <w:tc>
          <w:tcPr>
            <w:tcW w:w="4876" w:type="dxa"/>
            <w:hideMark/>
          </w:tcPr>
          <w:p w:rsidR="000B2C14" w:rsidRPr="001246A2" w:rsidRDefault="000B2C14" w:rsidP="00CD5035">
            <w:pPr>
              <w:pStyle w:val="ColumnHeading"/>
              <w:keepNext/>
            </w:pPr>
            <w:r w:rsidRPr="001246A2">
              <w:t>Muudatusettepanek</w:t>
            </w:r>
          </w:p>
        </w:tc>
      </w:tr>
      <w:tr w:rsidR="000B2C14" w:rsidRPr="001246A2" w:rsidTr="00CD5035">
        <w:trPr>
          <w:jc w:val="center"/>
        </w:trPr>
        <w:tc>
          <w:tcPr>
            <w:tcW w:w="4876" w:type="dxa"/>
          </w:tcPr>
          <w:p w:rsidR="000B2C14" w:rsidRPr="001246A2" w:rsidRDefault="000B2C14" w:rsidP="00CD5035">
            <w:pPr>
              <w:pStyle w:val="Normal6"/>
            </w:pPr>
          </w:p>
        </w:tc>
        <w:tc>
          <w:tcPr>
            <w:tcW w:w="4876" w:type="dxa"/>
            <w:hideMark/>
          </w:tcPr>
          <w:p w:rsidR="000B2C14" w:rsidRPr="001246A2" w:rsidRDefault="000B2C14" w:rsidP="00CD5035">
            <w:pPr>
              <w:pStyle w:val="Normal6"/>
              <w:rPr>
                <w:szCs w:val="24"/>
              </w:rPr>
            </w:pPr>
            <w:r w:rsidRPr="001246A2">
              <w:rPr>
                <w:b/>
                <w:i/>
              </w:rPr>
              <w:t>4b)</w:t>
            </w:r>
            <w:r w:rsidRPr="001246A2">
              <w:rPr>
                <w:b/>
                <w:i/>
              </w:rPr>
              <w:tab/>
              <w:t>Artiklisse 24 lisatakse järgmine lõige:</w:t>
            </w:r>
          </w:p>
        </w:tc>
      </w:tr>
      <w:tr w:rsidR="000B2C14" w:rsidRPr="001246A2" w:rsidTr="00CD5035">
        <w:trPr>
          <w:jc w:val="center"/>
        </w:trPr>
        <w:tc>
          <w:tcPr>
            <w:tcW w:w="4876" w:type="dxa"/>
          </w:tcPr>
          <w:p w:rsidR="000B2C14" w:rsidRPr="001246A2" w:rsidRDefault="000B2C14" w:rsidP="00CD5035">
            <w:pPr>
              <w:pStyle w:val="Normal6"/>
            </w:pPr>
          </w:p>
        </w:tc>
        <w:tc>
          <w:tcPr>
            <w:tcW w:w="4876" w:type="dxa"/>
            <w:hideMark/>
          </w:tcPr>
          <w:p w:rsidR="000B2C14" w:rsidRPr="001246A2" w:rsidRDefault="000B2C14" w:rsidP="00CD5035">
            <w:pPr>
              <w:pStyle w:val="Normal6"/>
              <w:rPr>
                <w:szCs w:val="24"/>
              </w:rPr>
            </w:pPr>
            <w:r w:rsidRPr="001246A2">
              <w:rPr>
                <w:b/>
                <w:i/>
              </w:rPr>
              <w:t>„2a.</w:t>
            </w:r>
            <w:r w:rsidRPr="001246A2">
              <w:rPr>
                <w:b/>
                <w:i/>
              </w:rPr>
              <w:tab/>
              <w:t>Komisjon jälgib Euroopa Kemikaaliameti vahendite ning Euroopa Kemikaaliameti teaduskomiteede ülesannete, töökoormuse ja pädevusega seotud olukorda ning esitab vajaduse korral seadusandliku ettepaneku, et kajastada Euroopa Kemikaaliameti mis tahes vajadusi, mis tulenevad käesoleva määrusega kehtestatud ülesannetest, ja parandada selle teaduskomiteede juhtimist.“</w:t>
            </w:r>
          </w:p>
        </w:tc>
      </w:tr>
    </w:tbl>
    <w:p w:rsidR="000B2C14" w:rsidRPr="001246A2" w:rsidRDefault="000B2C14" w:rsidP="000B2C14"/>
    <w:p w:rsidR="000B2C14" w:rsidRPr="001246A2" w:rsidRDefault="000B2C14" w:rsidP="000B2C14">
      <w:pPr>
        <w:pStyle w:val="AmNumberTabs"/>
      </w:pPr>
      <w:r w:rsidRPr="001246A2">
        <w:lastRenderedPageBreak/>
        <w:t>Muudatusettepanek</w:t>
      </w:r>
      <w:r w:rsidRPr="001246A2">
        <w:tab/>
      </w:r>
      <w:r w:rsidRPr="001246A2">
        <w:tab/>
        <w:t>19</w:t>
      </w:r>
    </w:p>
    <w:p w:rsidR="000B2C14" w:rsidRPr="001246A2" w:rsidRDefault="000B2C14" w:rsidP="000B2C14"/>
    <w:p w:rsidR="000B2C14" w:rsidRPr="001246A2" w:rsidRDefault="000B2C14" w:rsidP="000B2C14">
      <w:pPr>
        <w:pStyle w:val="NormalBold"/>
        <w:keepNext/>
      </w:pPr>
      <w:r w:rsidRPr="001246A2">
        <w:t>Ettepanek võtta vastu direktiiv</w:t>
      </w:r>
    </w:p>
    <w:p w:rsidR="000B2C14" w:rsidRPr="001246A2" w:rsidRDefault="000B2C14" w:rsidP="000B2C14">
      <w:pPr>
        <w:pStyle w:val="NormalBold"/>
      </w:pPr>
      <w:r w:rsidRPr="001246A2">
        <w:t>Artikkel 2 – lõik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C14" w:rsidRPr="001246A2" w:rsidTr="00CD5035">
        <w:trPr>
          <w:jc w:val="center"/>
        </w:trPr>
        <w:tc>
          <w:tcPr>
            <w:tcW w:w="9752" w:type="dxa"/>
            <w:gridSpan w:val="2"/>
          </w:tcPr>
          <w:p w:rsidR="000B2C14" w:rsidRPr="001246A2" w:rsidRDefault="000B2C14" w:rsidP="00CD5035">
            <w:pPr>
              <w:keepNext/>
            </w:pPr>
          </w:p>
        </w:tc>
      </w:tr>
      <w:tr w:rsidR="000B2C14" w:rsidRPr="001246A2" w:rsidTr="00CD5035">
        <w:trPr>
          <w:jc w:val="center"/>
        </w:trPr>
        <w:tc>
          <w:tcPr>
            <w:tcW w:w="4876" w:type="dxa"/>
            <w:hideMark/>
          </w:tcPr>
          <w:p w:rsidR="000B2C14" w:rsidRPr="001246A2" w:rsidRDefault="000B2C14" w:rsidP="00CD5035">
            <w:pPr>
              <w:pStyle w:val="ColumnHeading"/>
              <w:keepNext/>
            </w:pPr>
            <w:r w:rsidRPr="001246A2">
              <w:t>Komisjoni ettepanek</w:t>
            </w:r>
          </w:p>
        </w:tc>
        <w:tc>
          <w:tcPr>
            <w:tcW w:w="4876" w:type="dxa"/>
            <w:hideMark/>
          </w:tcPr>
          <w:p w:rsidR="000B2C14" w:rsidRPr="001246A2" w:rsidRDefault="000B2C14" w:rsidP="00CD5035">
            <w:pPr>
              <w:pStyle w:val="ColumnHeading"/>
              <w:keepNext/>
            </w:pPr>
            <w:r w:rsidRPr="001246A2">
              <w:t>Muudatusettepanek</w:t>
            </w:r>
          </w:p>
        </w:tc>
      </w:tr>
      <w:tr w:rsidR="000B2C14" w:rsidRPr="001246A2" w:rsidTr="00CD5035">
        <w:trPr>
          <w:jc w:val="center"/>
        </w:trPr>
        <w:tc>
          <w:tcPr>
            <w:tcW w:w="4876" w:type="dxa"/>
            <w:hideMark/>
          </w:tcPr>
          <w:p w:rsidR="000B2C14" w:rsidRPr="001246A2" w:rsidRDefault="000B2C14" w:rsidP="00CD5035">
            <w:pPr>
              <w:pStyle w:val="Normal6"/>
            </w:pPr>
            <w:r w:rsidRPr="001246A2">
              <w:t xml:space="preserve">Käesoleva direktiivi sätteid kohaldatakse alates [ELT: </w:t>
            </w:r>
            <w:r w:rsidRPr="001246A2">
              <w:rPr>
                <w:b/>
                <w:i/>
              </w:rPr>
              <w:t>12</w:t>
            </w:r>
            <w:r w:rsidRPr="001246A2">
              <w:t> kuud pärast käesoleva direktiivi avaldamist].</w:t>
            </w:r>
          </w:p>
        </w:tc>
        <w:tc>
          <w:tcPr>
            <w:tcW w:w="4876" w:type="dxa"/>
            <w:hideMark/>
          </w:tcPr>
          <w:p w:rsidR="000B2C14" w:rsidRPr="001246A2" w:rsidRDefault="000B2C14" w:rsidP="00CD5035">
            <w:pPr>
              <w:pStyle w:val="Normal6"/>
              <w:rPr>
                <w:szCs w:val="24"/>
              </w:rPr>
            </w:pPr>
            <w:r w:rsidRPr="001246A2">
              <w:t xml:space="preserve">Käesoleva direktiivi sätteid kohaldatakse alates [ELT: </w:t>
            </w:r>
            <w:r w:rsidRPr="001246A2">
              <w:rPr>
                <w:b/>
                <w:i/>
              </w:rPr>
              <w:t>18</w:t>
            </w:r>
            <w:r w:rsidRPr="001246A2">
              <w:t> kuud pärast käesoleva direktiivi avaldamist].</w:t>
            </w:r>
          </w:p>
        </w:tc>
      </w:tr>
    </w:tbl>
    <w:p w:rsidR="00E365E1" w:rsidRPr="001246A2" w:rsidRDefault="00E365E1" w:rsidP="00B31198"/>
    <w:sectPr w:rsidR="00E365E1" w:rsidRPr="001246A2" w:rsidSect="00AA3AA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1198" w:rsidRPr="00AA3AA1" w:rsidRDefault="00B31198">
      <w:r w:rsidRPr="00AA3AA1">
        <w:separator/>
      </w:r>
    </w:p>
  </w:endnote>
  <w:endnote w:type="continuationSeparator" w:id="0">
    <w:p w:rsidR="00B31198" w:rsidRPr="00AA3AA1" w:rsidRDefault="00B31198">
      <w:r w:rsidRPr="00AA3AA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3AA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3AA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3AA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1198" w:rsidRPr="00AA3AA1" w:rsidRDefault="00B31198">
      <w:r w:rsidRPr="00AA3AA1">
        <w:separator/>
      </w:r>
    </w:p>
  </w:footnote>
  <w:footnote w:type="continuationSeparator" w:id="0">
    <w:p w:rsidR="00B31198" w:rsidRPr="00AA3AA1" w:rsidRDefault="00B31198">
      <w:r w:rsidRPr="00AA3AA1">
        <w:continuationSeparator/>
      </w:r>
    </w:p>
  </w:footnote>
  <w:footnote w:id="1">
    <w:p w:rsidR="005F468B" w:rsidRPr="003D541F" w:rsidRDefault="005F468B" w:rsidP="005F468B">
      <w:pPr>
        <w:pStyle w:val="FootnoteText"/>
        <w:ind w:left="567" w:hanging="567"/>
        <w:rPr>
          <w:sz w:val="24"/>
          <w:szCs w:val="24"/>
          <w:lang w:val="et-EE"/>
        </w:rPr>
      </w:pPr>
      <w:r w:rsidRPr="003D541F">
        <w:rPr>
          <w:rStyle w:val="FootnoteReference"/>
          <w:sz w:val="24"/>
          <w:szCs w:val="24"/>
          <w:lang w:val="et-EE"/>
        </w:rPr>
        <w:footnoteRef/>
      </w:r>
      <w:r w:rsidRPr="003D541F">
        <w:rPr>
          <w:sz w:val="24"/>
          <w:szCs w:val="24"/>
          <w:lang w:val="et-EE"/>
        </w:rPr>
        <w:t xml:space="preserve"> </w:t>
      </w:r>
      <w:r w:rsidRPr="003D541F">
        <w:rPr>
          <w:sz w:val="24"/>
          <w:szCs w:val="24"/>
          <w:lang w:val="et-EE"/>
        </w:rPr>
        <w:tab/>
      </w:r>
      <w:r>
        <w:rPr>
          <w:sz w:val="24"/>
          <w:szCs w:val="24"/>
          <w:lang w:val="et-EE"/>
        </w:rPr>
        <w:t xml:space="preserve">Asi saadeti </w:t>
      </w:r>
      <w:r w:rsidRPr="003D541F">
        <w:rPr>
          <w:sz w:val="24"/>
          <w:szCs w:val="24"/>
          <w:lang w:val="et-EE"/>
        </w:rPr>
        <w:t>vastavalt kodukorra artikli</w:t>
      </w:r>
      <w:r w:rsidR="00D7272D">
        <w:rPr>
          <w:sz w:val="24"/>
          <w:szCs w:val="24"/>
          <w:lang w:val="et-EE"/>
        </w:rPr>
        <w:t> 60</w:t>
      </w:r>
      <w:r>
        <w:rPr>
          <w:sz w:val="24"/>
          <w:szCs w:val="24"/>
          <w:lang w:val="et-EE"/>
        </w:rPr>
        <w:t xml:space="preserve"> lõike 4</w:t>
      </w:r>
      <w:r w:rsidRPr="003D541F">
        <w:rPr>
          <w:sz w:val="24"/>
          <w:szCs w:val="24"/>
          <w:lang w:val="et-EE"/>
        </w:rPr>
        <w:t xml:space="preserve"> </w:t>
      </w:r>
      <w:r>
        <w:rPr>
          <w:sz w:val="24"/>
          <w:szCs w:val="24"/>
          <w:lang w:val="et-EE"/>
        </w:rPr>
        <w:t xml:space="preserve">neljandale lõigule </w:t>
      </w:r>
      <w:r w:rsidR="00F3629E">
        <w:rPr>
          <w:sz w:val="24"/>
          <w:szCs w:val="24"/>
          <w:lang w:val="et-EE"/>
        </w:rPr>
        <w:t xml:space="preserve">tagasi </w:t>
      </w:r>
      <w:r w:rsidRPr="003D541F">
        <w:rPr>
          <w:sz w:val="24"/>
          <w:szCs w:val="24"/>
          <w:lang w:val="et-EE"/>
        </w:rPr>
        <w:t xml:space="preserve">vastutavale komisjonile </w:t>
      </w:r>
      <w:proofErr w:type="spellStart"/>
      <w:r>
        <w:rPr>
          <w:sz w:val="24"/>
          <w:szCs w:val="24"/>
          <w:lang w:val="et-EE"/>
        </w:rPr>
        <w:t>institutsioonidevahelisteks</w:t>
      </w:r>
      <w:proofErr w:type="spellEnd"/>
      <w:r>
        <w:rPr>
          <w:sz w:val="24"/>
          <w:szCs w:val="24"/>
          <w:lang w:val="et-EE"/>
        </w:rPr>
        <w:t xml:space="preserve"> läbirääkimisteks (A10</w:t>
      </w:r>
      <w:r>
        <w:rPr>
          <w:sz w:val="24"/>
          <w:szCs w:val="24"/>
          <w:lang w:val="et-EE"/>
        </w:rPr>
        <w:noBreakHyphen/>
        <w:t>0019/2025</w:t>
      </w:r>
      <w:r w:rsidRPr="003D541F">
        <w:rPr>
          <w:sz w:val="24"/>
          <w:szCs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3AA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3AA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3AA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9/2025"/>
    <w:docVar w:name="dvlangue" w:val="ET"/>
    <w:docVar w:name="dvnumam" w:val="19"/>
    <w:docVar w:name="dvpe" w:val="763.254"/>
    <w:docVar w:name="dvrapporteur" w:val="Raportöör: "/>
    <w:docVar w:name="dvstar" w:val="***I"/>
    <w:docVar w:name="dvtitre" w:val="Euroopa Parlamendi .... 2025. aasta seadusandlik resolutsioon ettepaneku kohta võtta vastu Euroopa Parlamendi ja nõukogu direktiiv, millega muudetakse Euroopa Parlamendi ja nõukogu direktiivi 2011/65/EL seoses teaduslike ja tehniliste ülesannete üleandmisega Euroopa Kemikaaliametile(COM(2023)0781 – C9-0448/2023 – 2023/0454(COD))"/>
  </w:docVars>
  <w:rsids>
    <w:rsidRoot w:val="00B31198"/>
    <w:rsid w:val="00002272"/>
    <w:rsid w:val="00020486"/>
    <w:rsid w:val="00064002"/>
    <w:rsid w:val="000677B9"/>
    <w:rsid w:val="000831BA"/>
    <w:rsid w:val="000A42CC"/>
    <w:rsid w:val="000B2C14"/>
    <w:rsid w:val="000E7DD9"/>
    <w:rsid w:val="0010095E"/>
    <w:rsid w:val="001246A2"/>
    <w:rsid w:val="00125B37"/>
    <w:rsid w:val="00187494"/>
    <w:rsid w:val="001F32AE"/>
    <w:rsid w:val="002354F5"/>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5F468B"/>
    <w:rsid w:val="006037C0"/>
    <w:rsid w:val="00623D6F"/>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1264"/>
    <w:rsid w:val="00930C23"/>
    <w:rsid w:val="0093193B"/>
    <w:rsid w:val="009509D8"/>
    <w:rsid w:val="00950B64"/>
    <w:rsid w:val="00981893"/>
    <w:rsid w:val="00A1687D"/>
    <w:rsid w:val="00A43E52"/>
    <w:rsid w:val="00A4678D"/>
    <w:rsid w:val="00A778C7"/>
    <w:rsid w:val="00AA3AA1"/>
    <w:rsid w:val="00AB441E"/>
    <w:rsid w:val="00AB6293"/>
    <w:rsid w:val="00AE0928"/>
    <w:rsid w:val="00AF3B82"/>
    <w:rsid w:val="00B12E95"/>
    <w:rsid w:val="00B22876"/>
    <w:rsid w:val="00B31198"/>
    <w:rsid w:val="00B558F0"/>
    <w:rsid w:val="00BD48FE"/>
    <w:rsid w:val="00BD7BD8"/>
    <w:rsid w:val="00BE6ADC"/>
    <w:rsid w:val="00C05BFE"/>
    <w:rsid w:val="00C23CD4"/>
    <w:rsid w:val="00C61C0C"/>
    <w:rsid w:val="00C941CB"/>
    <w:rsid w:val="00CC2357"/>
    <w:rsid w:val="00CF071A"/>
    <w:rsid w:val="00D058B8"/>
    <w:rsid w:val="00D56C11"/>
    <w:rsid w:val="00D7272D"/>
    <w:rsid w:val="00D834A0"/>
    <w:rsid w:val="00D872DF"/>
    <w:rsid w:val="00D91E21"/>
    <w:rsid w:val="00DA7FCD"/>
    <w:rsid w:val="00E365E1"/>
    <w:rsid w:val="00E820A4"/>
    <w:rsid w:val="00EB006A"/>
    <w:rsid w:val="00EB4772"/>
    <w:rsid w:val="00EC6DA6"/>
    <w:rsid w:val="00ED169E"/>
    <w:rsid w:val="00ED4235"/>
    <w:rsid w:val="00F04346"/>
    <w:rsid w:val="00F075DC"/>
    <w:rsid w:val="00F149E9"/>
    <w:rsid w:val="00F3629E"/>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FC472ED-25C7-41A6-8076-E02552421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16 Point,Superscript 6 Point,Footnote Reference Number,Footnote Reference_LVL6,Footnote Reference_LVL61,Footnote Reference_LVL62,Footnote Reference_LVL63,Footnote Reference_LVL64"/>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0B2C14"/>
    <w:rPr>
      <w:b/>
    </w:rPr>
  </w:style>
  <w:style w:type="paragraph" w:customStyle="1" w:styleId="NormalHanging12a">
    <w:name w:val="NormalHanging12a"/>
    <w:basedOn w:val="Normal"/>
    <w:rsid w:val="000B2C14"/>
    <w:pPr>
      <w:spacing w:after="240"/>
      <w:ind w:left="567" w:hanging="567"/>
    </w:pPr>
  </w:style>
  <w:style w:type="paragraph" w:customStyle="1" w:styleId="AmNumberTabs">
    <w:name w:val="AmNumberTabs"/>
    <w:basedOn w:val="Normal"/>
    <w:rsid w:val="000B2C1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0B2C14"/>
    <w:pPr>
      <w:spacing w:before="480" w:after="240"/>
    </w:pPr>
  </w:style>
  <w:style w:type="character" w:customStyle="1" w:styleId="Normal6Char">
    <w:name w:val="Normal6 Char"/>
    <w:basedOn w:val="DefaultParagraphFont"/>
    <w:link w:val="Normal6"/>
    <w:locked/>
    <w:rsid w:val="000B2C14"/>
    <w:rPr>
      <w:sz w:val="24"/>
      <w:lang w:val="et-EE"/>
    </w:rPr>
  </w:style>
  <w:style w:type="paragraph" w:customStyle="1" w:styleId="Normal6">
    <w:name w:val="Normal6"/>
    <w:basedOn w:val="Normal"/>
    <w:link w:val="Normal6Char"/>
    <w:rsid w:val="000B2C14"/>
    <w:pPr>
      <w:spacing w:after="120"/>
    </w:pPr>
  </w:style>
  <w:style w:type="character" w:customStyle="1" w:styleId="NormalBoldChar">
    <w:name w:val="NormalBold Char"/>
    <w:basedOn w:val="DefaultParagraphFont"/>
    <w:link w:val="NormalBold"/>
    <w:locked/>
    <w:rsid w:val="000B2C14"/>
    <w:rPr>
      <w:b/>
      <w:sz w:val="24"/>
      <w:lang w:val="et-EE"/>
    </w:rPr>
  </w:style>
  <w:style w:type="paragraph" w:customStyle="1" w:styleId="ColumnHeading">
    <w:name w:val="ColumnHeading"/>
    <w:basedOn w:val="Normal"/>
    <w:rsid w:val="000B2C14"/>
    <w:pPr>
      <w:spacing w:after="240"/>
      <w:jc w:val="center"/>
    </w:pPr>
    <w:rPr>
      <w:i/>
    </w:rPr>
  </w:style>
  <w:style w:type="paragraph" w:customStyle="1" w:styleId="CrossRef">
    <w:name w:val="CrossRef"/>
    <w:basedOn w:val="Normal"/>
    <w:rsid w:val="000B2C14"/>
    <w:pPr>
      <w:spacing w:before="240"/>
      <w:jc w:val="center"/>
    </w:pPr>
    <w:rPr>
      <w:i/>
    </w:rPr>
  </w:style>
  <w:style w:type="paragraph" w:styleId="BalloonText">
    <w:name w:val="Balloon Text"/>
    <w:basedOn w:val="Normal"/>
    <w:link w:val="BalloonTextChar"/>
    <w:rsid w:val="002354F5"/>
    <w:rPr>
      <w:rFonts w:ascii="Segoe UI" w:hAnsi="Segoe UI" w:cs="Segoe UI"/>
      <w:sz w:val="18"/>
      <w:szCs w:val="18"/>
    </w:rPr>
  </w:style>
  <w:style w:type="character" w:customStyle="1" w:styleId="BalloonTextChar">
    <w:name w:val="Balloon Text Char"/>
    <w:basedOn w:val="DefaultParagraphFont"/>
    <w:link w:val="BalloonText"/>
    <w:rsid w:val="002354F5"/>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FD0432-6F73-4CB9-BA74-B990866923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1685</Words>
  <Characters>12481</Characters>
  <Application>Microsoft Office Word</Application>
  <DocSecurity>0</DocSecurity>
  <Lines>445</Lines>
  <Paragraphs>96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2025-04-01T16:01:00Z</dcterms:created>
  <dcterms:modified xsi:type="dcterms:W3CDTF">2025-04-01T16:01:00Z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A10-0019/2025</vt:lpwstr>
  </property>
  <property fmtid="{D5CDD505-2E9C-101B-9397-08002B2CF9AE}" pid="4" name="&lt;Type&gt;">
    <vt:lpwstr>RR</vt:lpwstr>
  </property>
</Properties>
</file>