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422F" w:rsidTr="0010095E">
        <w:trPr>
          <w:trHeight w:hRule="exact" w:val="1418"/>
        </w:trPr>
        <w:tc>
          <w:tcPr>
            <w:tcW w:w="6804" w:type="dxa"/>
            <w:shd w:val="clear" w:color="auto" w:fill="auto"/>
            <w:vAlign w:val="center"/>
          </w:tcPr>
          <w:p w:rsidR="00751A4A" w:rsidRPr="0012422F" w:rsidRDefault="006C3C6B" w:rsidP="00C33D80">
            <w:pPr>
              <w:pStyle w:val="EPName"/>
              <w:widowControl/>
            </w:pPr>
            <w:r w:rsidRPr="0012422F">
              <w:t>Euroopan parlamentti</w:t>
            </w:r>
          </w:p>
          <w:p w:rsidR="00751A4A" w:rsidRPr="0012422F" w:rsidRDefault="005F1B17" w:rsidP="00C33D80">
            <w:pPr>
              <w:pStyle w:val="EPTerm"/>
              <w:widowControl/>
              <w:rPr>
                <w:rStyle w:val="HideTWBExt"/>
                <w:noProof w:val="0"/>
                <w:vanish w:val="0"/>
                <w:color w:val="auto"/>
              </w:rPr>
            </w:pPr>
            <w:r w:rsidRPr="0012422F">
              <w:t>2024</w:t>
            </w:r>
            <w:r w:rsidR="00817416" w:rsidRPr="0012422F">
              <w:t>-202</w:t>
            </w:r>
            <w:r w:rsidRPr="0012422F">
              <w:t>9</w:t>
            </w:r>
          </w:p>
        </w:tc>
        <w:tc>
          <w:tcPr>
            <w:tcW w:w="2268" w:type="dxa"/>
            <w:shd w:val="clear" w:color="auto" w:fill="auto"/>
          </w:tcPr>
          <w:p w:rsidR="00751A4A" w:rsidRPr="0012422F" w:rsidRDefault="00187494" w:rsidP="00C33D80">
            <w:pPr>
              <w:pStyle w:val="EPLogo"/>
              <w:widowControl/>
            </w:pPr>
            <w:r w:rsidRPr="0012422F">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422F" w:rsidRDefault="00D058B8" w:rsidP="00C33D80">
      <w:pPr>
        <w:pStyle w:val="LineTop"/>
        <w:widowControl/>
      </w:pPr>
    </w:p>
    <w:p w:rsidR="00680577" w:rsidRPr="0012422F" w:rsidRDefault="006C3C6B" w:rsidP="00C33D80">
      <w:pPr>
        <w:pStyle w:val="EPBodyTA1"/>
        <w:widowControl/>
      </w:pPr>
      <w:r w:rsidRPr="0012422F">
        <w:t>HYVÄKSYTYT TEKSTIT</w:t>
      </w:r>
    </w:p>
    <w:p w:rsidR="00D058B8" w:rsidRPr="0012422F" w:rsidRDefault="00D058B8" w:rsidP="00C33D80">
      <w:pPr>
        <w:pStyle w:val="LineBottom"/>
        <w:widowControl/>
      </w:pPr>
    </w:p>
    <w:p w:rsidR="006C3C6B" w:rsidRPr="0012422F" w:rsidRDefault="006C3C6B" w:rsidP="00C33D80">
      <w:pPr>
        <w:pStyle w:val="ATHeading1"/>
      </w:pPr>
      <w:bookmarkStart w:id="0" w:name="TANumber"/>
      <w:r w:rsidRPr="0012422F">
        <w:t>P10_</w:t>
      </w:r>
      <w:proofErr w:type="gramStart"/>
      <w:r w:rsidRPr="0012422F">
        <w:t>TA(</w:t>
      </w:r>
      <w:proofErr w:type="gramEnd"/>
      <w:r w:rsidRPr="0012422F">
        <w:t>2025)00</w:t>
      </w:r>
      <w:r w:rsidR="00045D48" w:rsidRPr="0012422F">
        <w:t>46</w:t>
      </w:r>
      <w:bookmarkEnd w:id="0"/>
    </w:p>
    <w:p w:rsidR="006C3C6B" w:rsidRPr="0012422F" w:rsidRDefault="006C3C6B" w:rsidP="00C33D80">
      <w:pPr>
        <w:pStyle w:val="ATHeading2"/>
      </w:pPr>
      <w:bookmarkStart w:id="1" w:name="title"/>
      <w:r w:rsidRPr="0012422F">
        <w:t>Tieteellisten ja teknisten tehtävien siirtäminen Euroopan kemikaalivirastolle</w:t>
      </w:r>
      <w:bookmarkEnd w:id="1"/>
    </w:p>
    <w:p w:rsidR="006C3C6B" w:rsidRPr="0012422F" w:rsidRDefault="006C3C6B" w:rsidP="00C33D80">
      <w:pPr>
        <w:widowControl/>
        <w:rPr>
          <w:i/>
          <w:vanish/>
        </w:rPr>
      </w:pPr>
      <w:r w:rsidRPr="0012422F">
        <w:rPr>
          <w:i/>
        </w:rPr>
        <w:fldChar w:fldCharType="begin"/>
      </w:r>
      <w:r w:rsidRPr="0012422F">
        <w:rPr>
          <w:i/>
        </w:rPr>
        <w:instrText xml:space="preserve"> TC"(</w:instrText>
      </w:r>
      <w:bookmarkStart w:id="2" w:name="DocNumber"/>
      <w:r w:rsidRPr="0012422F">
        <w:rPr>
          <w:i/>
        </w:rPr>
        <w:instrText>A10-0019/2025</w:instrText>
      </w:r>
      <w:bookmarkEnd w:id="2"/>
      <w:r w:rsidRPr="0012422F">
        <w:rPr>
          <w:i/>
        </w:rPr>
        <w:instrText xml:space="preserve"> - Esittelijä: Dimitris Tsiodras)"\l3 \n&gt; \* MERGEFORMAT </w:instrText>
      </w:r>
      <w:r w:rsidRPr="0012422F">
        <w:rPr>
          <w:i/>
        </w:rPr>
        <w:fldChar w:fldCharType="end"/>
      </w:r>
    </w:p>
    <w:p w:rsidR="006C3C6B" w:rsidRPr="0012422F" w:rsidRDefault="006C3C6B" w:rsidP="00C33D80">
      <w:pPr>
        <w:widowControl/>
        <w:rPr>
          <w:vanish/>
        </w:rPr>
      </w:pPr>
      <w:bookmarkStart w:id="3" w:name="Commission"/>
      <w:r w:rsidRPr="0012422F">
        <w:rPr>
          <w:vanish/>
        </w:rPr>
        <w:t>Ympäristön, ilmaston ja elintarvikkeiden turvallisuuden valiokunta</w:t>
      </w:r>
      <w:bookmarkEnd w:id="3"/>
    </w:p>
    <w:p w:rsidR="006C3C6B" w:rsidRPr="0012422F" w:rsidRDefault="006C3C6B" w:rsidP="00C33D80">
      <w:pPr>
        <w:widowControl/>
        <w:rPr>
          <w:vanish/>
        </w:rPr>
      </w:pPr>
      <w:bookmarkStart w:id="4" w:name="PE"/>
      <w:r w:rsidRPr="0012422F">
        <w:rPr>
          <w:vanish/>
        </w:rPr>
        <w:t>PE763.254</w:t>
      </w:r>
      <w:bookmarkEnd w:id="4"/>
    </w:p>
    <w:p w:rsidR="006C3C6B" w:rsidRPr="0012422F" w:rsidRDefault="006C3C6B" w:rsidP="00C33D80">
      <w:pPr>
        <w:pStyle w:val="ATHeading3"/>
      </w:pPr>
      <w:bookmarkStart w:id="5" w:name="Sujet"/>
      <w:r w:rsidRPr="0012422F">
        <w:t xml:space="preserve">Euroopan parlamentin </w:t>
      </w:r>
      <w:r w:rsidR="005D2256" w:rsidRPr="0012422F">
        <w:t>tarkistukset</w:t>
      </w:r>
      <w:r w:rsidRPr="0012422F">
        <w:t xml:space="preserve"> 1. huhtikuuta 2025 ehdotukse</w:t>
      </w:r>
      <w:r w:rsidR="005D2256" w:rsidRPr="0012422F">
        <w:t>en</w:t>
      </w:r>
      <w:r w:rsidRPr="0012422F">
        <w:t xml:space="preserve"> Euroopan parlamentin ja neuvoston direktiiviksi Euroopan parlamentin ja neuvoston direktiivin 2011/65/EU muuttamisesta tieteellisten ja teknisten tehtävien siirtämiseksi Euroopan kemikaalivirastolle</w:t>
      </w:r>
      <w:bookmarkEnd w:id="5"/>
      <w:r w:rsidRPr="0012422F">
        <w:t xml:space="preserve"> </w:t>
      </w:r>
      <w:bookmarkStart w:id="6" w:name="References"/>
      <w:r w:rsidRPr="0012422F">
        <w:t>(COM(2023)0781 – C9-0448/2023 – 2023/0454(COD</w:t>
      </w:r>
      <w:r w:rsidR="005D2256" w:rsidRPr="0012422F">
        <w:t>)</w:t>
      </w:r>
      <w:r w:rsidRPr="0012422F">
        <w:t>)</w:t>
      </w:r>
      <w:r w:rsidR="005D2256" w:rsidRPr="0012422F">
        <w:rPr>
          <w:rStyle w:val="FootnoteReference"/>
          <w:szCs w:val="24"/>
        </w:rPr>
        <w:footnoteReference w:id="1"/>
      </w:r>
      <w:bookmarkEnd w:id="6"/>
    </w:p>
    <w:p w:rsidR="006E6B77" w:rsidRPr="0012422F" w:rsidRDefault="006E6B77" w:rsidP="00C33D80">
      <w:pPr>
        <w:pStyle w:val="NormalBold"/>
        <w:widowControl/>
      </w:pPr>
      <w:r w:rsidRPr="0012422F">
        <w:t>(Tavallinen lainsäätämisjärjestys: ensimmäinen käsittely)</w:t>
      </w:r>
    </w:p>
    <w:p w:rsidR="000920E3" w:rsidRPr="0012422F" w:rsidRDefault="000920E3" w:rsidP="00C33D80">
      <w:pPr>
        <w:pStyle w:val="NormalHanging12a"/>
        <w:widowControl/>
      </w:pPr>
    </w:p>
    <w:p w:rsidR="000920E3" w:rsidRPr="0012422F" w:rsidRDefault="000920E3" w:rsidP="00C33D80">
      <w:pPr>
        <w:widowControl/>
      </w:pPr>
      <w:r w:rsidRPr="0012422F">
        <w:br w:type="page"/>
      </w:r>
    </w:p>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Johdanto-osan 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t>(1)</w:t>
            </w:r>
            <w:r w:rsidRPr="0012422F">
              <w:tab/>
              <w:t>Komissio on asettanut tiedonannossaan ”Euroopan vihreän kehityksen ohjelma”</w:t>
            </w:r>
            <w:r w:rsidRPr="0012422F">
              <w:rPr>
                <w:vertAlign w:val="superscript"/>
              </w:rPr>
              <w:t>2</w:t>
            </w:r>
            <w:r w:rsidRPr="0012422F">
              <w:t xml:space="preserve"> tavoitteeksi, että kemikaaliturvallisuusarvioinneissa olisi siirryttävä ”yksi aine, yksi arviointi” -menettelyyn, ja se vaatii avoimempia ja yksinkertaisempia riskinarviointiprosesseja, jotta voidaan vähentää kaikkien sidosryhmien työtaakkaa, nopeuttaa päätöksentekoa sekä lisätä tieteellisten päätösten ja lausuntojen yhdenmukaisuutta ja ennustettavuutta. Komissio toteaa kestävyyttä edistävästä kemikaalistrategiasta antamassaan tiedonannossa</w:t>
            </w:r>
            <w:r w:rsidRPr="0012422F">
              <w:rPr>
                <w:vertAlign w:val="superscript"/>
              </w:rPr>
              <w:t>3</w:t>
            </w:r>
            <w:r w:rsidRPr="0012422F">
              <w:t>, että tämän tavoitteen saavuttamiseksi osa kemikaaleja koskevasta tieteellisestä ja teknisestä työstä, joka toteutetaan unionin tasolla ja jolla tuetaan unionin lainsäädäntöä, on siirrettävä soveltuvimmille unionin virastoille. Tämä yksinkertaistaisi nykyistä rakennetta, parantaisi turvallisuusarviointien laatua ja johdonmukaisuutta kaikessa unionin lainsäädännössä ja varmistaisi käytettävissä olevien resurssien tehokkaamman käytön.</w:t>
            </w:r>
          </w:p>
        </w:tc>
        <w:tc>
          <w:tcPr>
            <w:tcW w:w="4876" w:type="dxa"/>
            <w:hideMark/>
          </w:tcPr>
          <w:p w:rsidR="006E6B77" w:rsidRPr="0012422F" w:rsidRDefault="006E6B77" w:rsidP="00C33D80">
            <w:pPr>
              <w:pStyle w:val="Normal6"/>
              <w:widowControl/>
              <w:rPr>
                <w:szCs w:val="24"/>
              </w:rPr>
            </w:pPr>
            <w:r w:rsidRPr="0012422F">
              <w:t>(1)</w:t>
            </w:r>
            <w:r w:rsidRPr="0012422F">
              <w:tab/>
              <w:t>Komissio on asettanut tiedonannossaan ”Euroopan vihreän kehityksen ohjelma”</w:t>
            </w:r>
            <w:r w:rsidRPr="0012422F">
              <w:rPr>
                <w:vertAlign w:val="superscript"/>
              </w:rPr>
              <w:t>2</w:t>
            </w:r>
            <w:r w:rsidRPr="0012422F">
              <w:t xml:space="preserve"> tavoitteeksi, että kemikaaliturvallisuusarvioinneissa olisi siirryttävä ”yksi aine, yksi arviointi” -menettelyyn, ja se vaatii avoimempia ja yksinkertaisempia riskinarviointiprosesseja, jotta voidaan vähentää kaikkien sidosryhmien työtaakkaa, nopeuttaa päätöksentekoa sekä lisätä tieteellisten päätösten ja lausuntojen yhdenmukaisuutta ja ennustettavuutta. Komissio toteaa kestävyyttä edistävästä kemikaalistrategiasta antamassaan tiedonannossa</w:t>
            </w:r>
            <w:r w:rsidRPr="0012422F">
              <w:rPr>
                <w:vertAlign w:val="superscript"/>
              </w:rPr>
              <w:t>3</w:t>
            </w:r>
            <w:r w:rsidRPr="0012422F">
              <w:t xml:space="preserve">, että tämän tavoitteen saavuttamiseksi osa kemikaaleja koskevasta tieteellisestä ja teknisestä työstä, joka toteutetaan unionin tasolla ja jolla tuetaan unionin lainsäädäntöä, on siirrettävä soveltuvimmille unionin virastoille. Tämä yksinkertaistaisi nykyistä rakennetta, parantaisi turvallisuusarviointien laatua ja johdonmukaisuutta kaikessa unionin lainsäädännössä ja varmistaisi käytettävissä olevien resurssien tehokkaamman käytön. </w:t>
            </w:r>
            <w:r w:rsidRPr="0012422F">
              <w:rPr>
                <w:b/>
                <w:i/>
              </w:rPr>
              <w:t>Tämän lähestymistavan odotetaan myös edistävän kustannustehokkuutta ja kilpailukykyä, sillä se yksinkertaistaa sääntelymenettelyjä ja vähentää hallinnollista rasitetta, millä varmistetaan, että yritykset voivat mukautua tehokkaasti sääntelykehysten muutoksiin.</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t>__________________</w:t>
            </w:r>
          </w:p>
        </w:tc>
        <w:tc>
          <w:tcPr>
            <w:tcW w:w="4876" w:type="dxa"/>
            <w:hideMark/>
          </w:tcPr>
          <w:p w:rsidR="006E6B77" w:rsidRPr="0012422F" w:rsidRDefault="006E6B77" w:rsidP="00C33D80">
            <w:pPr>
              <w:pStyle w:val="Normal6"/>
              <w:widowControl/>
              <w:rPr>
                <w:szCs w:val="24"/>
              </w:rPr>
            </w:pPr>
            <w:r w:rsidRPr="0012422F">
              <w:t>__________________</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rPr>
                <w:vertAlign w:val="superscript"/>
              </w:rPr>
              <w:t>2</w:t>
            </w:r>
            <w:r w:rsidRPr="0012422F">
              <w:t xml:space="preserve"> Komission tiedonanto Euroopan parlamentille, Eurooppa-neuvostolle, neuvostolle, Euroopan talous- ja sosiaalikomitealle ja alueiden komitealle: ”Euroopan vihreän kehityksen ohjelma” (COM(2019) 640 </w:t>
            </w:r>
            <w:proofErr w:type="spellStart"/>
            <w:r w:rsidRPr="0012422F">
              <w:t>final</w:t>
            </w:r>
            <w:proofErr w:type="spellEnd"/>
            <w:r w:rsidRPr="0012422F">
              <w:t>, 11.12.2019).</w:t>
            </w:r>
          </w:p>
        </w:tc>
        <w:tc>
          <w:tcPr>
            <w:tcW w:w="4876" w:type="dxa"/>
            <w:hideMark/>
          </w:tcPr>
          <w:p w:rsidR="006E6B77" w:rsidRPr="0012422F" w:rsidRDefault="006E6B77" w:rsidP="00C33D80">
            <w:pPr>
              <w:pStyle w:val="Normal6"/>
              <w:widowControl/>
              <w:rPr>
                <w:szCs w:val="24"/>
              </w:rPr>
            </w:pPr>
            <w:r w:rsidRPr="0012422F">
              <w:rPr>
                <w:vertAlign w:val="superscript"/>
              </w:rPr>
              <w:t>2</w:t>
            </w:r>
            <w:r w:rsidRPr="0012422F">
              <w:t xml:space="preserve"> Komission tiedonanto Euroopan parlamentille, Eurooppa-neuvostolle, neuvostolle, Euroopan talous- ja sosiaalikomitealle ja alueiden komitealle: ”Euroopan vihreän kehityksen ohjelma” (COM(2019) 640 </w:t>
            </w:r>
            <w:proofErr w:type="spellStart"/>
            <w:r w:rsidRPr="0012422F">
              <w:t>final</w:t>
            </w:r>
            <w:proofErr w:type="spellEnd"/>
            <w:r w:rsidRPr="0012422F">
              <w:t>, 11.12.2019).</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rPr>
                <w:vertAlign w:val="superscript"/>
              </w:rPr>
              <w:lastRenderedPageBreak/>
              <w:t>3</w:t>
            </w:r>
            <w:r w:rsidRPr="0012422F">
              <w:t xml:space="preserve"> Komission tiedonanto Euroopan parlamentille, neuvostolle, Euroopan talous- ja sosiaalikomitealle ja alueiden komitealle: ”Kestävyyttä edistävä kemikaalistrategia – Kohti myrkytöntä ympäristöä” (COM(2020) 667 </w:t>
            </w:r>
            <w:proofErr w:type="spellStart"/>
            <w:r w:rsidRPr="0012422F">
              <w:t>final</w:t>
            </w:r>
            <w:proofErr w:type="spellEnd"/>
            <w:r w:rsidRPr="0012422F">
              <w:t>, 14.10.2020).</w:t>
            </w:r>
          </w:p>
        </w:tc>
        <w:tc>
          <w:tcPr>
            <w:tcW w:w="4876" w:type="dxa"/>
            <w:hideMark/>
          </w:tcPr>
          <w:p w:rsidR="006E6B77" w:rsidRPr="0012422F" w:rsidRDefault="006E6B77" w:rsidP="00C33D80">
            <w:pPr>
              <w:pStyle w:val="Normal6"/>
              <w:widowControl/>
              <w:rPr>
                <w:szCs w:val="24"/>
              </w:rPr>
            </w:pPr>
            <w:r w:rsidRPr="0012422F">
              <w:rPr>
                <w:vertAlign w:val="superscript"/>
              </w:rPr>
              <w:t>3</w:t>
            </w:r>
            <w:r w:rsidRPr="0012422F">
              <w:t xml:space="preserve"> Komission tiedonanto Euroopan parlamentille, neuvostolle, Euroopan talous- ja sosiaalikomitealle ja alueiden komitealle: ”Kestävyyttä edistävä kemikaalistrategia – Kohti myrkytöntä ympäristöä” (COM(2020) 667 </w:t>
            </w:r>
            <w:proofErr w:type="spellStart"/>
            <w:r w:rsidRPr="0012422F">
              <w:t>final</w:t>
            </w:r>
            <w:proofErr w:type="spellEnd"/>
            <w:r w:rsidRPr="0012422F">
              <w:t>, 14.10.2020).</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2</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Johdanto-osan 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t>(2)</w:t>
            </w:r>
            <w:r w:rsidRPr="0012422F">
              <w:tab/>
              <w:t xml:space="preserve">Tiettyjen tieteellisten ja teknisten tehtävien siirtäminen Euroopan kemikaalivirastolle on tarpeen, jotta tieteellisen tarkastelun ja </w:t>
            </w:r>
            <w:proofErr w:type="spellStart"/>
            <w:r w:rsidRPr="0012422F">
              <w:t>digitalisaation</w:t>
            </w:r>
            <w:proofErr w:type="spellEnd"/>
            <w:r w:rsidRPr="0012422F">
              <w:t xml:space="preserve"> menettelyt ja tasot voidaan sovittaa yhteen Euroopan kemikaaliviraston nykyisten standardien ja menettelyjen kanssa. Tämä on tarpeen myös tieteellistä laatua, avoimuutta, tietojen haettavuutta ja yhteensopivuutta koskevien yhdenmukaisten standardien varmistamiseksi ”yksi aine, yksi arviointi” -tavoitteen mukaisesti.</w:t>
            </w:r>
          </w:p>
        </w:tc>
        <w:tc>
          <w:tcPr>
            <w:tcW w:w="4876" w:type="dxa"/>
            <w:hideMark/>
          </w:tcPr>
          <w:p w:rsidR="006E6B77" w:rsidRPr="0012422F" w:rsidRDefault="006E6B77" w:rsidP="00C33D80">
            <w:pPr>
              <w:pStyle w:val="Normal6"/>
              <w:widowControl/>
              <w:rPr>
                <w:szCs w:val="24"/>
              </w:rPr>
            </w:pPr>
            <w:r w:rsidRPr="0012422F">
              <w:t>(2)</w:t>
            </w:r>
            <w:r w:rsidRPr="0012422F">
              <w:tab/>
              <w:t xml:space="preserve">Tiettyjen tieteellisten ja teknisten tehtävien siirtäminen Euroopan kemikaalivirastolle on tarpeen, jotta tieteellisen tarkastelun ja </w:t>
            </w:r>
            <w:proofErr w:type="spellStart"/>
            <w:r w:rsidRPr="0012422F">
              <w:t>digitalisaation</w:t>
            </w:r>
            <w:proofErr w:type="spellEnd"/>
            <w:r w:rsidRPr="0012422F">
              <w:t xml:space="preserve"> menettelyt ja tasot voidaan sovittaa yhteen Euroopan kemikaaliviraston nykyisten standardien ja menettelyjen kanssa. Tämä on tarpeen myös tieteellistä laatua, avoimuutta, tietojen haettavuutta ja yhteensopivuutta koskevien yhdenmukaisten standardien varmistamiseksi ”yksi aine, yksi arviointi” -tavoitteen mukaisesti. </w:t>
            </w:r>
            <w:r w:rsidRPr="0012422F">
              <w:rPr>
                <w:b/>
                <w:i/>
              </w:rPr>
              <w:t>Lisäksi digitalisaatio ja yksinkertaistetut prosessit vähentävät päällekkäisiä toimia ja hallinnollisia viivästyksiä ja tuottavat siten merkittäviä kustannussäästöjä ja tehokkuushyötyjä sekä jäsenvaltioille että talouden toimijoille.</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3</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Johdanto-osan 6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(6 a)</w:t>
            </w:r>
            <w:r w:rsidRPr="0012422F">
              <w:rPr>
                <w:b/>
                <w:i/>
              </w:rPr>
              <w:tab/>
              <w:t xml:space="preserve">Direktiivissä 2011/65/EU tarkoitettua luetteloa rajoitusten kohteena olevista aineista olisi tarkasteltava säännöllisesti uudelleen, jotta varmistetaan ihmisten terveyden, ympäristön ja kuluttajien turvallisuuden korkeatasoinen suojelu. </w:t>
            </w:r>
            <w:r w:rsidRPr="0012422F">
              <w:rPr>
                <w:b/>
                <w:i/>
              </w:rPr>
              <w:lastRenderedPageBreak/>
              <w:t>Tarkastelujaksoksi on asianmukaista vahvistaa vähintään 36 kuukautta, kun otetaan huomioon markkinoiden kehitys sekä tekniikan ja tieteen kehitys ja se, että jäsenvaltiot voivat lähettää rajoituksia koskevia asiakirja-aineistoja milloin tahansa ja että monialaisia rajoitustoimenpiteitä voidaan käynnistää ja hyväksyä asetuksen (EY) N:o 1907/2006, asetuksen (EU) 2019/1021 tai muun vaarallisten aineiden ja kemikaalien kestävyyskriteerejä koskevan unionin lainsäädännön nojalla.</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4</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t>(8)</w:t>
            </w:r>
            <w:r w:rsidRPr="0012422F">
              <w:tab/>
              <w:t xml:space="preserve">Direktiivin 2011/65/EU menettelysäännösten muuttamiseksi tarvitaan </w:t>
            </w:r>
            <w:r w:rsidRPr="0012422F">
              <w:rPr>
                <w:b/>
                <w:i/>
              </w:rPr>
              <w:t>12</w:t>
            </w:r>
            <w:r w:rsidRPr="0012422F">
              <w:t xml:space="preserve"> kuukauden siirtymäkausi, jotta Euroopan kemikaalivirastolle voidaan siirtää asianmukaiset resurssit ja tehtävät. Tätä määräaikaa pidetään riittävänä, jotta mahdolliset hakijat tai jäsenvaltiot voivat mukautua kyseisen direktiivin mukaisesti muutettuihin menettelyvaiheisiin.</w:t>
            </w:r>
          </w:p>
        </w:tc>
        <w:tc>
          <w:tcPr>
            <w:tcW w:w="4876" w:type="dxa"/>
            <w:hideMark/>
          </w:tcPr>
          <w:p w:rsidR="006E6B77" w:rsidRPr="0012422F" w:rsidRDefault="006E6B77" w:rsidP="00C33D80">
            <w:pPr>
              <w:pStyle w:val="Normal6"/>
              <w:widowControl/>
              <w:rPr>
                <w:szCs w:val="24"/>
              </w:rPr>
            </w:pPr>
            <w:r w:rsidRPr="0012422F">
              <w:t>(8)</w:t>
            </w:r>
            <w:r w:rsidRPr="0012422F">
              <w:tab/>
              <w:t xml:space="preserve">Direktiivin 2011/65/EU menettelysäännösten muuttamiseksi tarvitaan </w:t>
            </w:r>
            <w:r w:rsidRPr="0012422F">
              <w:rPr>
                <w:b/>
                <w:i/>
              </w:rPr>
              <w:t>18</w:t>
            </w:r>
            <w:r w:rsidRPr="0012422F">
              <w:t xml:space="preserve"> kuukauden siirtymäkausi, jotta Euroopan kemikaalivirastolle voidaan siirtää asianmukaiset resurssit ja tehtävät. Tätä määräaikaa pidetään riittävänä, jotta mahdolliset hakijat tai jäsenvaltiot voivat mukautua kyseisen direktiivin mukaisesti muutettuihin menettelyvaiheisiin.</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5</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1 alakohta – a alakohta</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5 artikla – 4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t xml:space="preserve">Jos hakija ei täydennä hakemusta kemikaaliviraston liitteen V mukaisesti yksilöimillä puuttuvilla tiedoilla ensimmäisen alakohdan c alakohdan mukaisesti asetetussa määräajassa, kemikaalivirasto </w:t>
            </w:r>
            <w:r w:rsidRPr="0012422F">
              <w:rPr>
                <w:b/>
                <w:i/>
              </w:rPr>
              <w:t>voi hylätä</w:t>
            </w:r>
            <w:r w:rsidRPr="0012422F">
              <w:t xml:space="preserve"> tällaisen hakemuksen. Kemikaalivirasto vahvistaa ja ilmoittaa hakijalle ilman aiheetonta </w:t>
            </w:r>
            <w:r w:rsidRPr="0012422F">
              <w:lastRenderedPageBreak/>
              <w:t>viivytystä päivän, jona hakemus katsotaan täydelliseksi.</w:t>
            </w:r>
          </w:p>
        </w:tc>
        <w:tc>
          <w:tcPr>
            <w:tcW w:w="4876" w:type="dxa"/>
            <w:hideMark/>
          </w:tcPr>
          <w:p w:rsidR="006E6B77" w:rsidRPr="0012422F" w:rsidRDefault="006E6B77" w:rsidP="00C33D80">
            <w:pPr>
              <w:pStyle w:val="Normal6"/>
              <w:widowControl/>
              <w:rPr>
                <w:szCs w:val="24"/>
              </w:rPr>
            </w:pPr>
            <w:r w:rsidRPr="0012422F">
              <w:lastRenderedPageBreak/>
              <w:t xml:space="preserve">Jos hakija ei täydennä hakemusta kemikaaliviraston liitteen V mukaisesti yksilöimillä puuttuvilla tiedoilla ensimmäisen alakohdan c alakohdan mukaisesti asetetussa määräajassa, kemikaalivirasto </w:t>
            </w:r>
            <w:r w:rsidRPr="0012422F">
              <w:rPr>
                <w:b/>
                <w:i/>
              </w:rPr>
              <w:t>hylkää</w:t>
            </w:r>
            <w:r w:rsidRPr="0012422F">
              <w:t xml:space="preserve"> tällaisen hakemuksen. Kemikaalivirasto vahvistaa ja ilmoittaa hakijalle ilman aiheetonta </w:t>
            </w:r>
            <w:r w:rsidRPr="0012422F">
              <w:lastRenderedPageBreak/>
              <w:t>viivytystä päivän, jona hakemus katsotaan täydelliseksi.</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6</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1 alakohta – b alakohta</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5 artikla – 4 a kohta – 5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t>Kemikaaliviraston on yksilöitävä, mitkä sen lausuntojen ja niiden liitteiden osat olisi asetettava julkisesti saataville sen omalla verkkosivustolla, ja asetettava nämä osat julkisesti saataville omalla verkkosivustollaan.</w:t>
            </w:r>
          </w:p>
        </w:tc>
        <w:tc>
          <w:tcPr>
            <w:tcW w:w="4876" w:type="dxa"/>
            <w:hideMark/>
          </w:tcPr>
          <w:p w:rsidR="006E6B77" w:rsidRPr="0012422F" w:rsidRDefault="006E6B77" w:rsidP="00C33D80">
            <w:pPr>
              <w:pStyle w:val="Normal6"/>
              <w:widowControl/>
              <w:rPr>
                <w:szCs w:val="24"/>
              </w:rPr>
            </w:pPr>
            <w:r w:rsidRPr="0012422F">
              <w:t xml:space="preserve">Kemikaaliviraston on yksilöitävä, mitkä sen lausuntojen ja niiden liitteiden osat olisi asetettava julkisesti saataville sen omalla verkkosivustolla, ja asetettava nämä osat </w:t>
            </w:r>
            <w:r w:rsidRPr="0012422F">
              <w:rPr>
                <w:b/>
                <w:i/>
              </w:rPr>
              <w:t xml:space="preserve">sekä mahdolliset toisen alakohdan c alakohdan mukaisesti esitetyt pyynnöt </w:t>
            </w:r>
            <w:r w:rsidRPr="0012422F">
              <w:t>julkisesti saataville omalla verkkosivustollaan.</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7</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1 alakohta – b a alakohta (uusi)</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5 artikla – 5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Nykyinen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b a)</w:t>
            </w:r>
            <w:r w:rsidRPr="0012422F">
              <w:rPr>
                <w:b/>
                <w:i/>
              </w:rPr>
              <w:tab/>
              <w:t>korvataan 5 kohta seuraavasti:</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t>5. Hakemus poikkeuksen uusimiseksi on jätettävä viimeistään 18 kuukautta ennen poikkeuksen voimassaolon päättymistä. Voimassa oleva poikkeus pysyy voimassa, kunnes komissio tekee päätöksen hakemuksesta poikkeuksen uusimiseksi.</w:t>
            </w:r>
          </w:p>
        </w:tc>
        <w:tc>
          <w:tcPr>
            <w:tcW w:w="4876" w:type="dxa"/>
            <w:hideMark/>
          </w:tcPr>
          <w:p w:rsidR="006E6B77" w:rsidRPr="0012422F" w:rsidRDefault="006E6B77" w:rsidP="00C33D80">
            <w:pPr>
              <w:pStyle w:val="Normal6"/>
              <w:widowControl/>
              <w:rPr>
                <w:szCs w:val="24"/>
              </w:rPr>
            </w:pPr>
            <w:r w:rsidRPr="0012422F">
              <w:rPr>
                <w:b/>
                <w:i/>
              </w:rPr>
              <w:t>”5.</w:t>
            </w:r>
            <w:r w:rsidRPr="0012422F">
              <w:t xml:space="preserve"> Hakemus poikkeuksen uusimiseksi on jätettävä viimeistään 18 kuukautta ennen poikkeuksen voimassaolon päättymistä. </w:t>
            </w:r>
            <w:r w:rsidRPr="0012422F">
              <w:rPr>
                <w:b/>
                <w:i/>
              </w:rPr>
              <w:t xml:space="preserve">Komissio tekee päätöksen hakemuksesta kuuden kuukauden kuluessa kemikaaliviraston lausuntojen vastaanottamisesta. </w:t>
            </w:r>
            <w:r w:rsidRPr="0012422F">
              <w:t>Voimassa oleva poikkeus pysyy voimassa, kunnes komissio tekee päätöksen hakemuksesta poikkeuksen uusimiseksi.</w:t>
            </w:r>
            <w:r w:rsidRPr="0012422F">
              <w:rPr>
                <w:b/>
                <w:i/>
              </w:rPr>
              <w:t>”</w:t>
            </w:r>
          </w:p>
        </w:tc>
      </w:tr>
    </w:tbl>
    <w:p w:rsidR="006E6B77" w:rsidRPr="0012422F" w:rsidRDefault="006E6B77" w:rsidP="00C33D80">
      <w:pPr>
        <w:pStyle w:val="CrossRef"/>
        <w:widowControl/>
        <w:jc w:val="left"/>
        <w:rPr>
          <w:i w:val="0"/>
        </w:rPr>
      </w:pPr>
    </w:p>
    <w:p w:rsidR="006E6B77" w:rsidRPr="0012422F" w:rsidRDefault="006E6B77" w:rsidP="00C33D80">
      <w:pPr>
        <w:pStyle w:val="AmNumberTabs"/>
        <w:widowControl/>
      </w:pPr>
      <w:r w:rsidRPr="0012422F">
        <w:t>Tarkistus</w:t>
      </w:r>
      <w:r w:rsidR="000363E1" w:rsidRPr="0012422F">
        <w:t xml:space="preserve"> </w:t>
      </w:r>
      <w:r w:rsidRPr="0012422F">
        <w:t>8</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3 alakohta – a alakohta</w:t>
      </w:r>
    </w:p>
    <w:p w:rsidR="006E6B77" w:rsidRPr="0012422F" w:rsidRDefault="006E6B77" w:rsidP="00C33D80">
      <w:pPr>
        <w:keepNext/>
        <w:widowControl/>
      </w:pPr>
      <w:r w:rsidRPr="0012422F">
        <w:lastRenderedPageBreak/>
        <w:t>Direktiivi 2011/65/EU</w:t>
      </w:r>
    </w:p>
    <w:p w:rsidR="006E6B77" w:rsidRPr="0012422F" w:rsidRDefault="006E6B77" w:rsidP="00C33D80">
      <w:pPr>
        <w:widowControl/>
      </w:pPr>
      <w:r w:rsidRPr="0012422F">
        <w:t>6 artikla – 1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t>”Edellä 1 artiklassa asetettujen tavoitteiden saavuttamiseksi ja ennalta varautumisen periaatteen huomioon ottamiseksi komissio tarkastelee uudelleen perusteelliseen arviointiin perustuen liitteessä II olevaa rajoitusten kohteena olevien aineiden luetteloa ja sen muuttamista määräajoin omasta aloitteestaan tai jonkin jäsenvaltion toimittaman ja 2 kohdassa tarkoitetut tiedot sisältävän rajoituksia koskevan asiakirja-aineiston perusteella.”;</w:t>
            </w:r>
          </w:p>
        </w:tc>
        <w:tc>
          <w:tcPr>
            <w:tcW w:w="4876" w:type="dxa"/>
            <w:hideMark/>
          </w:tcPr>
          <w:p w:rsidR="006E6B77" w:rsidRPr="0012422F" w:rsidRDefault="006E6B77" w:rsidP="00C33D80">
            <w:pPr>
              <w:pStyle w:val="Normal6"/>
              <w:widowControl/>
              <w:rPr>
                <w:szCs w:val="24"/>
              </w:rPr>
            </w:pPr>
            <w:r w:rsidRPr="0012422F">
              <w:t xml:space="preserve">”Edellä 1 artiklassa asetettujen tavoitteiden saavuttamiseksi ja ennalta varautumisen periaatteen huomioon ottamiseksi komissio tarkastelee uudelleen perusteelliseen arviointiin perustuen liitteessä II olevaa rajoitusten kohteena olevien aineiden luetteloa ja sen muuttamista määräajoin </w:t>
            </w:r>
            <w:r w:rsidRPr="0012422F">
              <w:rPr>
                <w:b/>
                <w:i/>
              </w:rPr>
              <w:t xml:space="preserve">ja vähintään 36 kuukauden välein </w:t>
            </w:r>
            <w:r w:rsidRPr="0012422F">
              <w:t>omasta aloitteestaan tai jonkin jäsenvaltion toimittaman ja 2 kohdassa tarkoitetut tiedot sisältävän rajoituksia koskevan asiakirja-aineiston perusteella.”;</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9</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3 alakohta – c alakohta</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6 artikla – 2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t>”2.</w:t>
            </w:r>
            <w:r w:rsidRPr="0012422F">
              <w:tab/>
              <w:t>Liitteessä II olevan rajoitusten kohteena olevien aineiden luettelon uudelleentarkastelun ja muuttamisen on perustuttava rajoituksia koskeviin asiakirja-aineistoihin, jotka kemikaalivirasto on laatinut komission pyynnöstä tai jotka jäsenvaltio on laatinut.</w:t>
            </w:r>
          </w:p>
        </w:tc>
        <w:tc>
          <w:tcPr>
            <w:tcW w:w="4876" w:type="dxa"/>
            <w:hideMark/>
          </w:tcPr>
          <w:p w:rsidR="006E6B77" w:rsidRPr="0012422F" w:rsidRDefault="006E6B77" w:rsidP="00C33D80">
            <w:pPr>
              <w:pStyle w:val="Normal6"/>
              <w:widowControl/>
              <w:rPr>
                <w:szCs w:val="24"/>
              </w:rPr>
            </w:pPr>
            <w:r w:rsidRPr="0012422F">
              <w:t>”2.</w:t>
            </w:r>
            <w:r w:rsidRPr="0012422F">
              <w:tab/>
              <w:t xml:space="preserve">Liitteessä II olevan rajoitusten kohteena olevien aineiden luettelon </w:t>
            </w:r>
            <w:r w:rsidRPr="0012422F">
              <w:rPr>
                <w:b/>
                <w:i/>
              </w:rPr>
              <w:t xml:space="preserve">tai aineiden ryhmän </w:t>
            </w:r>
            <w:r w:rsidRPr="0012422F">
              <w:t>uudelleentarkastelun ja muuttamisen on perustuttava rajoituksia koskeviin asiakirja-aineistoihin, jotka kemikaalivirasto on laatinut komission pyynnöstä tai jotka jäsenvaltio on laatinut.</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10</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3 alakohta – c alakohta</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6 artikla – 2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hideMark/>
          </w:tcPr>
          <w:p w:rsidR="006E6B77" w:rsidRPr="0012422F" w:rsidRDefault="006E6B77" w:rsidP="00C33D80">
            <w:pPr>
              <w:pStyle w:val="Normal6"/>
              <w:widowControl/>
            </w:pPr>
            <w:r w:rsidRPr="0012422F">
              <w:t xml:space="preserve">Kemikaalivirasto tai jäsenvaltiot ottavat huomioon kaikki saatavilla olevat tiedot ja kaikki asiaankuuluvat </w:t>
            </w:r>
            <w:r w:rsidRPr="0012422F">
              <w:rPr>
                <w:b/>
                <w:i/>
              </w:rPr>
              <w:t>riskinarvioinnit</w:t>
            </w:r>
            <w:r w:rsidRPr="0012422F">
              <w:t xml:space="preserve">, jotka on toimitettu sähkö- ja elektroniikkalaitteissa käytetyn aineen </w:t>
            </w:r>
            <w:r w:rsidRPr="0012422F">
              <w:lastRenderedPageBreak/>
              <w:t>elinkaaren kattavan muun unionin lainsäädännön soveltamiseksi, erityisesti jätevaiheessa. Muun unionin oikeuden nojalla perustettujen samanlaisia tehtäviä hoitavien elinten on toimitettava tätä tarkoitusta varten pyynnöstä tietoja kemikaalivirastolle tai kyseiselle jäsenvaltiolle.</w:t>
            </w:r>
          </w:p>
        </w:tc>
        <w:tc>
          <w:tcPr>
            <w:tcW w:w="4876" w:type="dxa"/>
            <w:hideMark/>
          </w:tcPr>
          <w:p w:rsidR="006E6B77" w:rsidRPr="0012422F" w:rsidRDefault="006E6B77" w:rsidP="00C33D80">
            <w:pPr>
              <w:pStyle w:val="Normal6"/>
              <w:widowControl/>
              <w:rPr>
                <w:szCs w:val="24"/>
              </w:rPr>
            </w:pPr>
            <w:r w:rsidRPr="0012422F">
              <w:lastRenderedPageBreak/>
              <w:t xml:space="preserve">Kemikaalivirasto tai jäsenvaltiot ottavat huomioon kaikki saatavilla olevat tiedot ja kaikki asiaankuuluvat </w:t>
            </w:r>
            <w:r w:rsidRPr="0012422F">
              <w:rPr>
                <w:b/>
                <w:i/>
              </w:rPr>
              <w:t>arvioinnit</w:t>
            </w:r>
            <w:r w:rsidRPr="0012422F">
              <w:t>, jotka on toimitettu sähkö- ja elektroniikkalaitteissa käytetyn aineen elinkaaren</w:t>
            </w:r>
            <w:r w:rsidRPr="0012422F">
              <w:rPr>
                <w:b/>
                <w:i/>
              </w:rPr>
              <w:t xml:space="preserve"> minkä tahansa </w:t>
            </w:r>
            <w:r w:rsidRPr="0012422F">
              <w:rPr>
                <w:b/>
                <w:i/>
              </w:rPr>
              <w:lastRenderedPageBreak/>
              <w:t>vaiheen</w:t>
            </w:r>
            <w:r w:rsidRPr="0012422F">
              <w:t xml:space="preserve"> kattavan muun unionin lainsäädännön soveltamiseksi, erityisesti jätevaiheessa. Muun unionin oikeuden nojalla perustettujen samanlaisia tehtäviä hoitavien elinten on toimitettava tätä tarkoitusta varten pyynnöstä tietoja kemikaalivirastolle tai kyseiselle jäsenvaltiolle.</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11</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3 alakohta – c alakohta</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6 artikla – 2 kohta – 3 alakohta –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-a)</w:t>
            </w:r>
            <w:r w:rsidRPr="0012422F">
              <w:rPr>
                <w:b/>
                <w:i/>
              </w:rPr>
              <w:tab/>
              <w:t>aineen tunnistetiedot;</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12</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3 alakohta – c alakohta</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 xml:space="preserve">6 artikla – 2 kohta – 3 alakohta – -a </w:t>
      </w:r>
      <w:proofErr w:type="spellStart"/>
      <w:r w:rsidRPr="0012422F">
        <w:t>a</w:t>
      </w:r>
      <w:proofErr w:type="spellEnd"/>
      <w:r w:rsidRPr="0012422F">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-a a)</w:t>
            </w:r>
            <w:r w:rsidRPr="0012422F">
              <w:rPr>
                <w:b/>
                <w:i/>
              </w:rPr>
              <w:tab/>
              <w:t>liitteessä II ehdotetun rajoituksen täsmällinen ja selkeä sanamuoto;</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13</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3 alakohta – c alakohta</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6 artikla – 2 kohta – 3 alakohta – -a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-a b)</w:t>
            </w:r>
            <w:r w:rsidRPr="0012422F">
              <w:rPr>
                <w:b/>
                <w:i/>
              </w:rPr>
              <w:tab/>
              <w:t>viittaukset ja tieteellinen näyttö rajoitusta varten;</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14</w:t>
      </w:r>
    </w:p>
    <w:p w:rsidR="006E6B77" w:rsidRPr="0012422F" w:rsidRDefault="006E6B77" w:rsidP="00C33D80">
      <w:pPr>
        <w:widowControl/>
      </w:pPr>
    </w:p>
    <w:p w:rsidR="006E6B77" w:rsidRPr="0012422F" w:rsidRDefault="006E6B77" w:rsidP="00C33D80">
      <w:pPr>
        <w:pStyle w:val="NormalBold"/>
        <w:keepNext/>
        <w:widowControl/>
      </w:pPr>
      <w:r w:rsidRPr="0012422F">
        <w:lastRenderedPageBreak/>
        <w:t>Ehdotus direktiiviksi</w:t>
      </w:r>
    </w:p>
    <w:p w:rsidR="006E6B77" w:rsidRPr="0012422F" w:rsidRDefault="006E6B77" w:rsidP="00C33D80">
      <w:pPr>
        <w:pStyle w:val="NormalBold"/>
        <w:widowControl/>
      </w:pPr>
      <w:r w:rsidRPr="0012422F">
        <w:t>1 artikla – 1 kohta – 3 alakohta – c alakohta</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6 artikla – 2 kohta – 3 alakohta – b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b a)</w:t>
            </w:r>
            <w:r w:rsidRPr="0012422F">
              <w:rPr>
                <w:b/>
                <w:i/>
              </w:rPr>
              <w:tab/>
              <w:t>tiedot mahdollisista vaihtoehdoista, niiden saatavuudesta ja soveltuvuudesta;</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15</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3 alakohta – c alakohta</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 xml:space="preserve">6 artikla – 2 kohta – 3 alakohta – b </w:t>
      </w:r>
      <w:proofErr w:type="spellStart"/>
      <w:r w:rsidRPr="0012422F">
        <w:t>b</w:t>
      </w:r>
      <w:proofErr w:type="spellEnd"/>
      <w:r w:rsidRPr="0012422F">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b b)</w:t>
            </w:r>
            <w:r w:rsidRPr="0012422F">
              <w:rPr>
                <w:b/>
                <w:i/>
              </w:rPr>
              <w:tab/>
              <w:t>perustelut sille, että unionin laajuinen rajoitus on tarkoituksenmukaisin toimenpide;</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16</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3 alakohta – c alakohta</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6 artikla – 2 kohta – 3 alakohta – b c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b c)</w:t>
            </w:r>
            <w:r w:rsidRPr="0012422F">
              <w:rPr>
                <w:b/>
                <w:i/>
              </w:rPr>
              <w:tab/>
              <w:t>sosioekonominen arviointi.</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17</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4 a alakohta (uusi)</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20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4 a)</w:t>
            </w:r>
            <w:r w:rsidRPr="0012422F">
              <w:rPr>
                <w:b/>
                <w:i/>
              </w:rPr>
              <w:tab/>
              <w:t>Lisätään 20 artiklaan kohta seuraavasti:</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”1 a.</w:t>
            </w:r>
            <w:r w:rsidRPr="0012422F">
              <w:rPr>
                <w:b/>
                <w:i/>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18</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1 artikla – 1 kohta – 4 b alakohta (uusi)</w:t>
      </w:r>
    </w:p>
    <w:p w:rsidR="006E6B77" w:rsidRPr="0012422F" w:rsidRDefault="006E6B77" w:rsidP="00C33D80">
      <w:pPr>
        <w:keepNext/>
        <w:widowControl/>
      </w:pPr>
      <w:r w:rsidRPr="0012422F">
        <w:t>Direktiivi 2011/65/EU</w:t>
      </w:r>
    </w:p>
    <w:p w:rsidR="006E6B77" w:rsidRPr="0012422F" w:rsidRDefault="006E6B77" w:rsidP="00C33D80">
      <w:pPr>
        <w:widowControl/>
      </w:pPr>
      <w:r w:rsidRPr="0012422F">
        <w:t>24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4 b)</w:t>
            </w:r>
            <w:r w:rsidRPr="0012422F">
              <w:rPr>
                <w:b/>
                <w:i/>
              </w:rPr>
              <w:tab/>
              <w:t>Lisätään 24 artiklaan kohta seuraavasti:</w:t>
            </w:r>
            <w:bookmarkStart w:id="7" w:name="_GoBack"/>
            <w:bookmarkEnd w:id="7"/>
          </w:p>
        </w:tc>
      </w:tr>
      <w:tr w:rsidR="006E6B77" w:rsidRPr="0012422F" w:rsidTr="00FC5F41">
        <w:trPr>
          <w:jc w:val="center"/>
        </w:trPr>
        <w:tc>
          <w:tcPr>
            <w:tcW w:w="4876" w:type="dxa"/>
          </w:tcPr>
          <w:p w:rsidR="006E6B77" w:rsidRPr="0012422F" w:rsidRDefault="006E6B77" w:rsidP="00C33D80">
            <w:pPr>
              <w:pStyle w:val="Normal6"/>
              <w:widowControl/>
            </w:pPr>
          </w:p>
        </w:tc>
        <w:tc>
          <w:tcPr>
            <w:tcW w:w="4876" w:type="dxa"/>
            <w:hideMark/>
          </w:tcPr>
          <w:p w:rsidR="006E6B77" w:rsidRPr="0012422F" w:rsidRDefault="006E6B77" w:rsidP="00C33D80">
            <w:pPr>
              <w:pStyle w:val="Normal6"/>
              <w:widowControl/>
              <w:rPr>
                <w:szCs w:val="24"/>
              </w:rPr>
            </w:pPr>
            <w:r w:rsidRPr="0012422F">
              <w:rPr>
                <w:b/>
                <w:i/>
              </w:rPr>
              <w:t>”2 a.</w:t>
            </w:r>
            <w:r w:rsidRPr="0012422F">
              <w:rPr>
                <w:b/>
                <w:i/>
              </w:rPr>
              <w:tab/>
              <w:t>Komissio seuraa tilannetta Euroopan kemikaaliviraston resurssien sekä Euroopan kemikaaliviraston tiedekomiteoiden tehtävien, työmäärän ja toimeksiannon osalta ja antaa tarvittaessa lainsäädäntöehdotuksen, jossa otetaan huomioon Euroopan kemikaaliviraston mahdolliset tarpeet, jotka johtuvat tällä asetuksella säädetyistä tehtävistä, ja jolla parannetaan sen tiedekomiteoiden hallintoa.”</w:t>
            </w:r>
          </w:p>
        </w:tc>
      </w:tr>
    </w:tbl>
    <w:p w:rsidR="006E6B77" w:rsidRPr="0012422F" w:rsidRDefault="006E6B77" w:rsidP="00C33D80">
      <w:pPr>
        <w:widowControl/>
      </w:pPr>
    </w:p>
    <w:p w:rsidR="006E6B77" w:rsidRPr="0012422F" w:rsidRDefault="006E6B77" w:rsidP="00C33D80">
      <w:pPr>
        <w:pStyle w:val="AmNumberTabs"/>
        <w:widowControl/>
      </w:pPr>
      <w:r w:rsidRPr="0012422F">
        <w:t>Tarkistus</w:t>
      </w:r>
      <w:r w:rsidR="000363E1" w:rsidRPr="0012422F">
        <w:t xml:space="preserve"> </w:t>
      </w:r>
      <w:r w:rsidRPr="0012422F">
        <w:t>19</w:t>
      </w:r>
    </w:p>
    <w:p w:rsidR="006E6B77" w:rsidRPr="0012422F" w:rsidRDefault="006E6B77" w:rsidP="00C33D80">
      <w:pPr>
        <w:widowControl/>
      </w:pPr>
    </w:p>
    <w:p w:rsidR="006E6B77" w:rsidRPr="0012422F" w:rsidRDefault="006E6B77" w:rsidP="00C33D80">
      <w:pPr>
        <w:pStyle w:val="NormalBold"/>
        <w:keepNext/>
        <w:widowControl/>
      </w:pPr>
      <w:r w:rsidRPr="0012422F">
        <w:t>Ehdotus direktiiviksi</w:t>
      </w:r>
    </w:p>
    <w:p w:rsidR="006E6B77" w:rsidRPr="0012422F" w:rsidRDefault="006E6B77" w:rsidP="00C33D80">
      <w:pPr>
        <w:pStyle w:val="NormalBold"/>
        <w:widowControl/>
      </w:pPr>
      <w:r w:rsidRPr="0012422F">
        <w:t>2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B77" w:rsidRPr="0012422F" w:rsidTr="00FC5F41">
        <w:trPr>
          <w:jc w:val="center"/>
        </w:trPr>
        <w:tc>
          <w:tcPr>
            <w:tcW w:w="9752" w:type="dxa"/>
            <w:gridSpan w:val="2"/>
          </w:tcPr>
          <w:p w:rsidR="006E6B77" w:rsidRPr="0012422F" w:rsidRDefault="006E6B77" w:rsidP="00C33D80">
            <w:pPr>
              <w:keepNext/>
              <w:widowControl/>
            </w:pPr>
          </w:p>
        </w:tc>
      </w:tr>
      <w:tr w:rsidR="006E6B77" w:rsidRPr="0012422F" w:rsidTr="00FC5F41">
        <w:trPr>
          <w:jc w:val="center"/>
        </w:trPr>
        <w:tc>
          <w:tcPr>
            <w:tcW w:w="4876" w:type="dxa"/>
            <w:hideMark/>
          </w:tcPr>
          <w:p w:rsidR="006E6B77" w:rsidRPr="0012422F" w:rsidRDefault="006E6B77" w:rsidP="00C33D80">
            <w:pPr>
              <w:pStyle w:val="ColumnHeading"/>
              <w:keepNext/>
              <w:widowControl/>
            </w:pPr>
            <w:r w:rsidRPr="0012422F">
              <w:t>Komission teksti</w:t>
            </w:r>
          </w:p>
        </w:tc>
        <w:tc>
          <w:tcPr>
            <w:tcW w:w="4876" w:type="dxa"/>
            <w:hideMark/>
          </w:tcPr>
          <w:p w:rsidR="006E6B77" w:rsidRPr="0012422F" w:rsidRDefault="006E6B77" w:rsidP="00C33D80">
            <w:pPr>
              <w:pStyle w:val="ColumnHeading"/>
              <w:keepNext/>
              <w:widowControl/>
            </w:pPr>
            <w:r w:rsidRPr="0012422F">
              <w:t>Tarkistus</w:t>
            </w:r>
          </w:p>
        </w:tc>
      </w:tr>
      <w:tr w:rsidR="006E6B77" w:rsidRPr="00045D48" w:rsidTr="00FC5F41">
        <w:trPr>
          <w:jc w:val="center"/>
        </w:trPr>
        <w:tc>
          <w:tcPr>
            <w:tcW w:w="4876" w:type="dxa"/>
            <w:hideMark/>
          </w:tcPr>
          <w:p w:rsidR="006E6B77" w:rsidRPr="0012422F" w:rsidRDefault="006E6B77" w:rsidP="00C33D80">
            <w:pPr>
              <w:pStyle w:val="Normal6"/>
              <w:widowControl/>
            </w:pPr>
            <w:r w:rsidRPr="0012422F">
              <w:t xml:space="preserve">Tämän direktiivin säännöksiä sovelletaan [julkaisutoimisto: </w:t>
            </w:r>
            <w:r w:rsidRPr="0012422F">
              <w:rPr>
                <w:b/>
                <w:i/>
              </w:rPr>
              <w:t>12</w:t>
            </w:r>
            <w:r w:rsidRPr="0012422F">
              <w:t xml:space="preserve"> kuukauden kuluttua tämän direktiivin julkaisemisesta].</w:t>
            </w:r>
          </w:p>
        </w:tc>
        <w:tc>
          <w:tcPr>
            <w:tcW w:w="4876" w:type="dxa"/>
            <w:hideMark/>
          </w:tcPr>
          <w:p w:rsidR="006E6B77" w:rsidRPr="00045D48" w:rsidRDefault="006E6B77" w:rsidP="00C33D80">
            <w:pPr>
              <w:pStyle w:val="Normal6"/>
              <w:widowControl/>
              <w:rPr>
                <w:szCs w:val="24"/>
              </w:rPr>
            </w:pPr>
            <w:r w:rsidRPr="0012422F">
              <w:t xml:space="preserve">Tämän direktiivin säännöksiä sovelletaan [julkaisutoimisto: </w:t>
            </w:r>
            <w:r w:rsidRPr="0012422F">
              <w:rPr>
                <w:b/>
                <w:i/>
              </w:rPr>
              <w:t>18</w:t>
            </w:r>
            <w:r w:rsidRPr="0012422F">
              <w:t xml:space="preserve"> kuukauden kuluttua tämän direktiivin julkaisemisesta].</w:t>
            </w:r>
          </w:p>
        </w:tc>
      </w:tr>
    </w:tbl>
    <w:p w:rsidR="00E365E1" w:rsidRPr="00045D48" w:rsidRDefault="00E365E1" w:rsidP="00C33D80">
      <w:pPr>
        <w:widowControl/>
      </w:pPr>
    </w:p>
    <w:sectPr w:rsidR="00E365E1" w:rsidRPr="00045D48" w:rsidSect="007F24D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C6B" w:rsidRPr="007F24D8" w:rsidRDefault="006C3C6B">
      <w:r w:rsidRPr="007F24D8">
        <w:separator/>
      </w:r>
    </w:p>
  </w:endnote>
  <w:endnote w:type="continuationSeparator" w:id="0">
    <w:p w:rsidR="006C3C6B" w:rsidRPr="007F24D8" w:rsidRDefault="006C3C6B">
      <w:r w:rsidRPr="007F24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C6B" w:rsidRPr="007F24D8" w:rsidRDefault="006C3C6B">
      <w:r w:rsidRPr="007F24D8">
        <w:separator/>
      </w:r>
    </w:p>
  </w:footnote>
  <w:footnote w:type="continuationSeparator" w:id="0">
    <w:p w:rsidR="006C3C6B" w:rsidRPr="007F24D8" w:rsidRDefault="006C3C6B">
      <w:r w:rsidRPr="007F24D8">
        <w:continuationSeparator/>
      </w:r>
    </w:p>
  </w:footnote>
  <w:footnote w:id="1">
    <w:p w:rsidR="005D2256" w:rsidRPr="002524FE" w:rsidRDefault="005D2256" w:rsidP="005D2256">
      <w:pPr>
        <w:pStyle w:val="FootnoteText"/>
        <w:ind w:left="720" w:hanging="720"/>
        <w:rPr>
          <w:lang w:val="fi-FI"/>
        </w:rPr>
      </w:pPr>
      <w:r w:rsidRPr="0012422F">
        <w:rPr>
          <w:rStyle w:val="FootnoteReference"/>
        </w:rPr>
        <w:footnoteRef/>
      </w:r>
      <w:r w:rsidRPr="0012422F">
        <w:rPr>
          <w:lang w:val="fi-FI"/>
        </w:rPr>
        <w:tab/>
        <w:t xml:space="preserve">Asia päätettiin palauttaa asiasta vastaavaan valiokuntaan toimielinten välisiä neuvotteluja varten työjärjestyksen </w:t>
      </w:r>
      <w:r w:rsidR="0022231C" w:rsidRPr="0012422F">
        <w:rPr>
          <w:lang w:val="fi-FI"/>
        </w:rPr>
        <w:t>60</w:t>
      </w:r>
      <w:r w:rsidRPr="0012422F">
        <w:rPr>
          <w:lang w:val="fi-FI"/>
        </w:rPr>
        <w:t xml:space="preserve"> artiklan 4 kohdan neljännen alakohdan mukaisesti (A10-0019/2025).</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FI"/>
    <w:docVar w:name="dvnumam" w:val="19"/>
    <w:docVar w:name="dvpe" w:val="763.254"/>
    <w:docVar w:name="dvrapporteur" w:val="Esittelijä: "/>
    <w:docVar w:name="dvstar" w:val="***I"/>
    <w:docVar w:name="dvtitre" w:val="Euroopan parlamentin lainsäädäntöpäätöslauselma 1. huhtikuuta 2025 ehdotuksesta Euroopan parlamentin ja neuvoston direktiiviksi Euroopan parlamentin ja neuvoston direktiivin 2011/65/EU muuttamisesta tieteellisten ja teknisten tehtävien siirtämiseksi Euroopan kemikaalivirastolle(COM(2023)0781 – C9-0448/2023 – 2023/0454(COD))"/>
  </w:docVars>
  <w:rsids>
    <w:rsidRoot w:val="006C3C6B"/>
    <w:rsid w:val="00002272"/>
    <w:rsid w:val="000363E1"/>
    <w:rsid w:val="00045D48"/>
    <w:rsid w:val="00064002"/>
    <w:rsid w:val="000677B9"/>
    <w:rsid w:val="000831BA"/>
    <w:rsid w:val="000920E3"/>
    <w:rsid w:val="000A42CC"/>
    <w:rsid w:val="000E7DD9"/>
    <w:rsid w:val="0010095E"/>
    <w:rsid w:val="0012422F"/>
    <w:rsid w:val="00125B37"/>
    <w:rsid w:val="00187494"/>
    <w:rsid w:val="001F32AE"/>
    <w:rsid w:val="0022231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256"/>
    <w:rsid w:val="005F1B17"/>
    <w:rsid w:val="006037C0"/>
    <w:rsid w:val="006631B6"/>
    <w:rsid w:val="00680577"/>
    <w:rsid w:val="006C3C6B"/>
    <w:rsid w:val="006E6B77"/>
    <w:rsid w:val="006F74FA"/>
    <w:rsid w:val="00707086"/>
    <w:rsid w:val="00731ADD"/>
    <w:rsid w:val="00734777"/>
    <w:rsid w:val="00747932"/>
    <w:rsid w:val="00751A4A"/>
    <w:rsid w:val="00756632"/>
    <w:rsid w:val="00762C74"/>
    <w:rsid w:val="00786EC0"/>
    <w:rsid w:val="007D1690"/>
    <w:rsid w:val="007E22AD"/>
    <w:rsid w:val="007F24D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D8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807C37-AF08-4E2A-9B8D-8A375327A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3E1"/>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E6B77"/>
    <w:rPr>
      <w:b/>
    </w:rPr>
  </w:style>
  <w:style w:type="paragraph" w:customStyle="1" w:styleId="NormalHanging12a">
    <w:name w:val="NormalHanging12a"/>
    <w:basedOn w:val="Normal"/>
    <w:rsid w:val="006E6B77"/>
    <w:pPr>
      <w:spacing w:after="240"/>
      <w:ind w:left="567" w:hanging="567"/>
    </w:pPr>
  </w:style>
  <w:style w:type="paragraph" w:customStyle="1" w:styleId="AmNumberTabs">
    <w:name w:val="AmNumberTabs"/>
    <w:basedOn w:val="Normal"/>
    <w:rsid w:val="000363E1"/>
    <w:pPr>
      <w:keepNext/>
      <w:spacing w:before="240"/>
    </w:pPr>
    <w:rPr>
      <w:b/>
    </w:rPr>
  </w:style>
  <w:style w:type="paragraph" w:customStyle="1" w:styleId="EPComma">
    <w:name w:val="EPComma"/>
    <w:basedOn w:val="Normal"/>
    <w:rsid w:val="006E6B77"/>
    <w:pPr>
      <w:spacing w:before="480" w:after="240"/>
    </w:pPr>
  </w:style>
  <w:style w:type="character" w:customStyle="1" w:styleId="Normal6Char">
    <w:name w:val="Normal6 Char"/>
    <w:basedOn w:val="DefaultParagraphFont"/>
    <w:link w:val="Normal6"/>
    <w:locked/>
    <w:rsid w:val="006E6B77"/>
    <w:rPr>
      <w:sz w:val="24"/>
      <w:lang w:val="fi-FI"/>
    </w:rPr>
  </w:style>
  <w:style w:type="paragraph" w:customStyle="1" w:styleId="Normal6">
    <w:name w:val="Normal6"/>
    <w:basedOn w:val="Normal"/>
    <w:link w:val="Normal6Char"/>
    <w:rsid w:val="006E6B77"/>
    <w:pPr>
      <w:spacing w:after="120"/>
    </w:pPr>
  </w:style>
  <w:style w:type="character" w:customStyle="1" w:styleId="NormalBoldChar">
    <w:name w:val="NormalBold Char"/>
    <w:basedOn w:val="DefaultParagraphFont"/>
    <w:link w:val="NormalBold"/>
    <w:locked/>
    <w:rsid w:val="006E6B77"/>
    <w:rPr>
      <w:b/>
      <w:sz w:val="24"/>
      <w:lang w:val="fi-FI"/>
    </w:rPr>
  </w:style>
  <w:style w:type="paragraph" w:customStyle="1" w:styleId="ColumnHeading">
    <w:name w:val="ColumnHeading"/>
    <w:basedOn w:val="Normal"/>
    <w:rsid w:val="006E6B77"/>
    <w:pPr>
      <w:spacing w:after="240"/>
      <w:jc w:val="center"/>
    </w:pPr>
    <w:rPr>
      <w:i/>
    </w:rPr>
  </w:style>
  <w:style w:type="paragraph" w:customStyle="1" w:styleId="CrossRef">
    <w:name w:val="CrossRef"/>
    <w:basedOn w:val="Normal"/>
    <w:rsid w:val="006E6B77"/>
    <w:pPr>
      <w:spacing w:before="240"/>
      <w:jc w:val="center"/>
    </w:pPr>
    <w:rPr>
      <w:i/>
    </w:rPr>
  </w:style>
  <w:style w:type="paragraph" w:styleId="Footer">
    <w:name w:val="footer"/>
    <w:basedOn w:val="Normal"/>
    <w:link w:val="FooterChar"/>
    <w:rsid w:val="000363E1"/>
    <w:pPr>
      <w:tabs>
        <w:tab w:val="center" w:pos="4513"/>
        <w:tab w:val="right" w:pos="9026"/>
      </w:tabs>
    </w:pPr>
  </w:style>
  <w:style w:type="character" w:customStyle="1" w:styleId="FooterChar">
    <w:name w:val="Footer Char"/>
    <w:basedOn w:val="DefaultParagraphFont"/>
    <w:link w:val="Footer"/>
    <w:rsid w:val="000363E1"/>
    <w:rPr>
      <w:sz w:val="24"/>
      <w:lang w:val="fi-FI"/>
    </w:rPr>
  </w:style>
  <w:style w:type="character" w:styleId="Hyperlink">
    <w:name w:val="Hyperlink"/>
    <w:basedOn w:val="DefaultParagraphFont"/>
    <w:rsid w:val="000920E3"/>
    <w:rPr>
      <w:color w:val="0563C1" w:themeColor="hyperlink"/>
      <w:u w:val="single"/>
    </w:rPr>
  </w:style>
  <w:style w:type="paragraph" w:styleId="BalloonText">
    <w:name w:val="Balloon Text"/>
    <w:basedOn w:val="Normal"/>
    <w:link w:val="BalloonTextChar"/>
    <w:rsid w:val="00707086"/>
    <w:rPr>
      <w:rFonts w:ascii="Segoe UI" w:hAnsi="Segoe UI" w:cs="Segoe UI"/>
      <w:sz w:val="18"/>
      <w:szCs w:val="18"/>
    </w:rPr>
  </w:style>
  <w:style w:type="character" w:customStyle="1" w:styleId="BalloonTextChar">
    <w:name w:val="Balloon Text Char"/>
    <w:basedOn w:val="DefaultParagraphFont"/>
    <w:link w:val="BalloonText"/>
    <w:rsid w:val="00707086"/>
    <w:rPr>
      <w:rFonts w:ascii="Segoe UI" w:hAnsi="Segoe UI" w:cs="Segoe UI"/>
      <w:sz w:val="18"/>
      <w:szCs w:val="18"/>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5D2256"/>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2587A-A902-42A4-9389-E774A9124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1622</Words>
  <Characters>13336</Characters>
  <Application>Microsoft Office Word</Application>
  <DocSecurity>0</DocSecurity>
  <Lines>111</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2025-04-01T12:32:00Z</dcterms:created>
  <dcterms:modified xsi:type="dcterms:W3CDTF">2025-04-01T12:32:00Z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A10-0019/2025</vt:lpwstr>
  </property>
  <property fmtid="{D5CDD505-2E9C-101B-9397-08002B2CF9AE}" pid="4" name="&lt;Type&gt;">
    <vt:lpwstr>RR</vt:lpwstr>
  </property>
</Properties>
</file>