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7D15" w:rsidTr="0010095E">
        <w:trPr>
          <w:trHeight w:hRule="exact" w:val="1418"/>
        </w:trPr>
        <w:tc>
          <w:tcPr>
            <w:tcW w:w="6804" w:type="dxa"/>
            <w:shd w:val="clear" w:color="auto" w:fill="auto"/>
            <w:vAlign w:val="center"/>
          </w:tcPr>
          <w:p w:rsidR="00751A4A" w:rsidRPr="00597D15" w:rsidRDefault="00B506AD" w:rsidP="0010095E">
            <w:pPr>
              <w:pStyle w:val="EPName"/>
            </w:pPr>
            <w:r w:rsidRPr="00597D15">
              <w:t>Parlement européen</w:t>
            </w:r>
          </w:p>
          <w:p w:rsidR="00751A4A" w:rsidRPr="00597D15" w:rsidRDefault="005F1B17" w:rsidP="005F1B17">
            <w:pPr>
              <w:pStyle w:val="EPTerm"/>
              <w:rPr>
                <w:rStyle w:val="HideTWBExt"/>
                <w:noProof w:val="0"/>
                <w:vanish w:val="0"/>
                <w:color w:val="auto"/>
              </w:rPr>
            </w:pPr>
            <w:r w:rsidRPr="00597D15">
              <w:t>2024</w:t>
            </w:r>
            <w:r w:rsidR="00817416" w:rsidRPr="00597D15">
              <w:t>-202</w:t>
            </w:r>
            <w:r w:rsidRPr="00597D15">
              <w:t>9</w:t>
            </w:r>
          </w:p>
        </w:tc>
        <w:tc>
          <w:tcPr>
            <w:tcW w:w="2268" w:type="dxa"/>
            <w:shd w:val="clear" w:color="auto" w:fill="auto"/>
          </w:tcPr>
          <w:p w:rsidR="00751A4A" w:rsidRPr="00597D15" w:rsidRDefault="00187494" w:rsidP="0010095E">
            <w:pPr>
              <w:pStyle w:val="EPLogo"/>
            </w:pPr>
            <w:r w:rsidRPr="00597D1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97D15" w:rsidRDefault="00D058B8" w:rsidP="004C5D52">
      <w:pPr>
        <w:pStyle w:val="LineTop"/>
      </w:pPr>
    </w:p>
    <w:p w:rsidR="00680577" w:rsidRPr="00597D15" w:rsidRDefault="00B506AD" w:rsidP="00680577">
      <w:pPr>
        <w:pStyle w:val="EPBodyTA1"/>
      </w:pPr>
      <w:r w:rsidRPr="00597D15">
        <w:t>TEXTES ADOPTÉS</w:t>
      </w:r>
    </w:p>
    <w:p w:rsidR="00D058B8" w:rsidRPr="00597D15" w:rsidRDefault="00D058B8" w:rsidP="00D058B8">
      <w:pPr>
        <w:pStyle w:val="LineBottom"/>
      </w:pPr>
    </w:p>
    <w:p w:rsidR="00B506AD" w:rsidRPr="00597D15" w:rsidRDefault="00B506AD" w:rsidP="00B506AD">
      <w:pPr>
        <w:pStyle w:val="ATHeading1"/>
      </w:pPr>
      <w:bookmarkStart w:id="0" w:name="TANumber"/>
      <w:r w:rsidRPr="00597D15">
        <w:t>P10_</w:t>
      </w:r>
      <w:proofErr w:type="gramStart"/>
      <w:r w:rsidRPr="00597D15">
        <w:t>TA(</w:t>
      </w:r>
      <w:proofErr w:type="gramEnd"/>
      <w:r w:rsidRPr="00597D15">
        <w:t>2025)00</w:t>
      </w:r>
      <w:bookmarkEnd w:id="0"/>
      <w:r w:rsidR="000E6E50">
        <w:t>46</w:t>
      </w:r>
    </w:p>
    <w:p w:rsidR="00B506AD" w:rsidRPr="00597D15" w:rsidRDefault="00A64E12" w:rsidP="00B506AD">
      <w:pPr>
        <w:pStyle w:val="ATHeading2"/>
      </w:pPr>
      <w:bookmarkStart w:id="1" w:name="title"/>
      <w:r w:rsidRPr="00A64E12">
        <w:t>Réattribution des tâches scientifiques et techniques à l’Agence européenne des produits chimiques</w:t>
      </w:r>
      <w:bookmarkEnd w:id="1"/>
    </w:p>
    <w:p w:rsidR="00B506AD" w:rsidRPr="00597D15" w:rsidRDefault="00B506AD" w:rsidP="00B506AD">
      <w:pPr>
        <w:rPr>
          <w:i/>
          <w:vanish/>
        </w:rPr>
      </w:pPr>
      <w:r w:rsidRPr="00597D15">
        <w:rPr>
          <w:i/>
        </w:rPr>
        <w:fldChar w:fldCharType="begin"/>
      </w:r>
      <w:r w:rsidRPr="00597D15">
        <w:rPr>
          <w:i/>
        </w:rPr>
        <w:instrText xml:space="preserve"> TC"(</w:instrText>
      </w:r>
      <w:bookmarkStart w:id="2" w:name="DocNumber"/>
      <w:r w:rsidRPr="00597D15">
        <w:rPr>
          <w:i/>
        </w:rPr>
        <w:instrText>A10-0019/2025</w:instrText>
      </w:r>
      <w:bookmarkEnd w:id="2"/>
      <w:r w:rsidRPr="00597D15">
        <w:rPr>
          <w:i/>
        </w:rPr>
        <w:instrText xml:space="preserve"> - Rapporteur: Dimitris Tsiodras)"\l3 \n&gt; \* MERGEFORMAT </w:instrText>
      </w:r>
      <w:r w:rsidRPr="00597D15">
        <w:rPr>
          <w:i/>
        </w:rPr>
        <w:fldChar w:fldCharType="end"/>
      </w:r>
    </w:p>
    <w:p w:rsidR="00B506AD" w:rsidRPr="00597D15" w:rsidRDefault="00B506AD" w:rsidP="00B506AD">
      <w:pPr>
        <w:rPr>
          <w:vanish/>
        </w:rPr>
      </w:pPr>
      <w:bookmarkStart w:id="3" w:name="Commission"/>
      <w:r w:rsidRPr="00597D15">
        <w:rPr>
          <w:vanish/>
        </w:rPr>
        <w:t>Commission de l’environnement, du climat et de la sécurité alimentaire</w:t>
      </w:r>
      <w:bookmarkEnd w:id="3"/>
    </w:p>
    <w:p w:rsidR="00B506AD" w:rsidRPr="00597D15" w:rsidRDefault="00B506AD" w:rsidP="00B506AD">
      <w:pPr>
        <w:rPr>
          <w:vanish/>
        </w:rPr>
      </w:pPr>
      <w:bookmarkStart w:id="4" w:name="PE"/>
      <w:r w:rsidRPr="00597D15">
        <w:rPr>
          <w:vanish/>
        </w:rPr>
        <w:t>PE763.254</w:t>
      </w:r>
      <w:bookmarkEnd w:id="4"/>
    </w:p>
    <w:p w:rsidR="00B506AD" w:rsidRPr="00597D15" w:rsidRDefault="000E6E50" w:rsidP="00B506AD">
      <w:pPr>
        <w:pStyle w:val="ATHeading3"/>
      </w:pPr>
      <w:bookmarkStart w:id="5" w:name="Sujet"/>
      <w:r w:rsidRPr="00D03DC3">
        <w:t>Amendements du Parlement européen, adoptés le</w:t>
      </w:r>
      <w:r w:rsidRPr="000E6E50">
        <w:t xml:space="preserve"> </w:t>
      </w:r>
      <w:r w:rsidR="00A64E12" w:rsidRPr="000E6E50">
        <w:t>1</w:t>
      </w:r>
      <w:r w:rsidR="00A64E12" w:rsidRPr="000E6E50">
        <w:rPr>
          <w:vertAlign w:val="superscript"/>
        </w:rPr>
        <w:t>er</w:t>
      </w:r>
      <w:r w:rsidR="001F1111" w:rsidRPr="000E6E50">
        <w:t xml:space="preserve"> avril</w:t>
      </w:r>
      <w:r w:rsidR="00B506AD" w:rsidRPr="000E6E50">
        <w:t xml:space="preserve"> 2025</w:t>
      </w:r>
      <w:r w:rsidRPr="000E6E50">
        <w:t>, à</w:t>
      </w:r>
      <w:r w:rsidR="00B506AD" w:rsidRPr="000E6E50">
        <w:t xml:space="preserve"> la proposition de dir</w:t>
      </w:r>
      <w:r w:rsidR="00B506AD" w:rsidRPr="00597D15">
        <w:t>ective du Parlement européen et du Conseil modifiant la directive 2011/65/UE du Parlement européen et du Conseil en ce qui concerne la réattribution de tâches scientifiques et techniques à l’Agence européenne des produits chimiques</w:t>
      </w:r>
      <w:bookmarkEnd w:id="5"/>
      <w:r w:rsidR="00B506AD" w:rsidRPr="00597D15">
        <w:t xml:space="preserve"> </w:t>
      </w:r>
      <w:bookmarkStart w:id="6" w:name="References"/>
      <w:r w:rsidR="00B506AD" w:rsidRPr="00597D15">
        <w:t>(COM(2023)0781 – C9-0448/2023 – 2023/0454(COD))</w:t>
      </w:r>
      <w:bookmarkEnd w:id="6"/>
      <w:r>
        <w:rPr>
          <w:rStyle w:val="FootnoteReference"/>
        </w:rPr>
        <w:footnoteReference w:id="1"/>
      </w:r>
    </w:p>
    <w:p w:rsidR="006E3FA0" w:rsidRPr="00597D15" w:rsidRDefault="006E3FA0" w:rsidP="006E3FA0">
      <w:pPr>
        <w:pStyle w:val="NormalBold"/>
      </w:pPr>
      <w:r w:rsidRPr="00597D15">
        <w:t>(Procédure législative ordinaire: première lecture)</w:t>
      </w:r>
    </w:p>
    <w:p w:rsidR="00A64E12" w:rsidRDefault="00A64E12">
      <w:pPr>
        <w:widowControl/>
      </w:pPr>
      <w:bookmarkStart w:id="7" w:name="_GoBack"/>
      <w:bookmarkEnd w:id="7"/>
    </w:p>
    <w:p w:rsidR="006E3FA0" w:rsidRPr="00597D15" w:rsidRDefault="006E3FA0" w:rsidP="006E3FA0">
      <w:pPr>
        <w:pStyle w:val="AmNumberTabs"/>
      </w:pPr>
      <w:r w:rsidRPr="00597D15">
        <w:t>Amendement</w:t>
      </w:r>
      <w:r w:rsidRPr="00597D15">
        <w:tab/>
      </w:r>
      <w:r w:rsidRPr="00597D15">
        <w:tab/>
        <w:t>1</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Considérant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hideMark/>
          </w:tcPr>
          <w:p w:rsidR="006E3FA0" w:rsidRPr="00597D15" w:rsidRDefault="006E3FA0" w:rsidP="005243F2">
            <w:pPr>
              <w:pStyle w:val="Normal6"/>
            </w:pPr>
            <w:r w:rsidRPr="00597D15">
              <w:t>(1)</w:t>
            </w:r>
            <w:r w:rsidRPr="00597D15">
              <w:tab/>
              <w:t>Dans sa communication intitulée «Le pacte vert pour l’Europe»</w:t>
            </w:r>
            <w:r w:rsidRPr="00597D15">
              <w:rPr>
                <w:vertAlign w:val="superscript"/>
              </w:rPr>
              <w:t>2</w:t>
            </w:r>
            <w:r w:rsidRPr="00597D15">
              <w:t>, la Commission a fixé pour objectif d’adopter une approche d’évaluation individuelle de chaque substance (l’approche «une substance, une évaluation») pour les évaluations de la sécurité chimique, et a invité à mettre en place des procédures d’évaluation des risques plus transparentes et plus simples afin de réduire la charge pesant sur toutes les parties prenantes, d’accélérer les prises de décision et d’améliorer la cohérence et la prévisibilité des décisions et avis scientifiques. Dans sa communication intitulée</w:t>
            </w:r>
            <w:proofErr w:type="gramStart"/>
            <w:r w:rsidRPr="00597D15">
              <w:t xml:space="preserve"> «Stratégie</w:t>
            </w:r>
            <w:proofErr w:type="gramEnd"/>
            <w:r w:rsidRPr="00597D15">
              <w:t xml:space="preserve"> pour la durabilité dans le domaine des produits chimiques»</w:t>
            </w:r>
            <w:r w:rsidRPr="00597D15">
              <w:rPr>
                <w:vertAlign w:val="superscript"/>
              </w:rPr>
              <w:t>3</w:t>
            </w:r>
            <w:r w:rsidRPr="00597D15">
              <w:t xml:space="preserve">, la Commission a conclu que, </w:t>
            </w:r>
            <w:r w:rsidRPr="00597D15">
              <w:lastRenderedPageBreak/>
              <w:t>pour atteindre cet objectif, une partie des travaux scientifiques et techniques sur les produits chimiques réalisés au niveau de l’Union à l’appui de la législation de l’Union doit être réattribuée aux agences de l’Union les plus à même d’accomplir cette tâche. Cette mesure simplifierait la structure actuelle, améliorerait la qualité et la cohérence des évaluations de la sécurité au regard de l’ensemble de la législation de l’Union et garantirait une utilisation plus efficace des ressources existantes.</w:t>
            </w:r>
          </w:p>
        </w:tc>
        <w:tc>
          <w:tcPr>
            <w:tcW w:w="4876" w:type="dxa"/>
            <w:hideMark/>
          </w:tcPr>
          <w:p w:rsidR="006E3FA0" w:rsidRPr="00597D15" w:rsidRDefault="006E3FA0" w:rsidP="005243F2">
            <w:pPr>
              <w:pStyle w:val="Normal6"/>
              <w:rPr>
                <w:szCs w:val="24"/>
              </w:rPr>
            </w:pPr>
            <w:r w:rsidRPr="00597D15">
              <w:lastRenderedPageBreak/>
              <w:t>(1)</w:t>
            </w:r>
            <w:r w:rsidRPr="00597D15">
              <w:tab/>
              <w:t>Dans sa communication intitulée «Le pacte vert pour l’Europe»</w:t>
            </w:r>
            <w:r w:rsidRPr="00597D15">
              <w:rPr>
                <w:vertAlign w:val="superscript"/>
              </w:rPr>
              <w:t>2</w:t>
            </w:r>
            <w:r w:rsidRPr="00597D15">
              <w:t>, la Commission a fixé pour objectif d’adopter une approche d’évaluation individuelle de chaque substance (l’approche «une substance, une évaluation») pour les évaluations de la sécurité chimique, et a invité à mettre en place des procédures d’évaluation des risques plus transparentes et plus simples afin de réduire la charge pesant sur toutes les parties prenantes, d’accélérer les prises de décision et d’améliorer la cohérence et la prévisibilité des décisions et avis scientifiques. Dans sa communication intitulée</w:t>
            </w:r>
            <w:proofErr w:type="gramStart"/>
            <w:r w:rsidRPr="00597D15">
              <w:t xml:space="preserve"> «Stratégie</w:t>
            </w:r>
            <w:proofErr w:type="gramEnd"/>
            <w:r w:rsidRPr="00597D15">
              <w:t xml:space="preserve"> pour la durabilité dans le domaine des produits chimiques»</w:t>
            </w:r>
            <w:r w:rsidRPr="00597D15">
              <w:rPr>
                <w:vertAlign w:val="superscript"/>
              </w:rPr>
              <w:t>3</w:t>
            </w:r>
            <w:r w:rsidRPr="00597D15">
              <w:t xml:space="preserve">, la Commission a conclu que, </w:t>
            </w:r>
            <w:r w:rsidRPr="00597D15">
              <w:lastRenderedPageBreak/>
              <w:t xml:space="preserve">pour atteindre cet objectif, une partie des travaux scientifiques et techniques sur les produits chimiques réalisés au niveau de l’Union à l’appui de la législation de l’Union doit être réattribuée aux agences de l’Union les plus à même d’accomplir cette tâche. Cette mesure simplifierait la structure actuelle, améliorerait la qualité et la cohérence des évaluations de la sécurité au regard de l’ensemble de la législation de l’Union et garantirait une utilisation plus efficace des ressources existantes. </w:t>
            </w:r>
            <w:r w:rsidRPr="00597D15">
              <w:rPr>
                <w:b/>
                <w:i/>
              </w:rPr>
              <w:t>Elle devrait également promouvoir le rapport coût-efficacité et la compétitivité en simplifiant les procédures réglementaires et en réduisant les charges administratives, afin que les entreprises puissent s’adapter efficacement à l’évolution des cadres réglementaires.</w:t>
            </w:r>
          </w:p>
        </w:tc>
      </w:tr>
      <w:tr w:rsidR="006E3FA0" w:rsidRPr="00597D15" w:rsidTr="005243F2">
        <w:trPr>
          <w:jc w:val="center"/>
        </w:trPr>
        <w:tc>
          <w:tcPr>
            <w:tcW w:w="4876" w:type="dxa"/>
            <w:hideMark/>
          </w:tcPr>
          <w:p w:rsidR="006E3FA0" w:rsidRPr="00597D15" w:rsidRDefault="006E3FA0" w:rsidP="005243F2">
            <w:pPr>
              <w:pStyle w:val="Normal6"/>
            </w:pPr>
            <w:r w:rsidRPr="00597D15">
              <w:lastRenderedPageBreak/>
              <w:t>__________________</w:t>
            </w:r>
          </w:p>
        </w:tc>
        <w:tc>
          <w:tcPr>
            <w:tcW w:w="4876" w:type="dxa"/>
            <w:hideMark/>
          </w:tcPr>
          <w:p w:rsidR="006E3FA0" w:rsidRPr="00597D15" w:rsidRDefault="006E3FA0" w:rsidP="005243F2">
            <w:pPr>
              <w:pStyle w:val="Normal6"/>
              <w:rPr>
                <w:szCs w:val="24"/>
              </w:rPr>
            </w:pPr>
            <w:r w:rsidRPr="00597D15">
              <w:t>__________________</w:t>
            </w:r>
          </w:p>
        </w:tc>
      </w:tr>
      <w:tr w:rsidR="006E3FA0" w:rsidRPr="00597D15" w:rsidTr="005243F2">
        <w:trPr>
          <w:jc w:val="center"/>
        </w:trPr>
        <w:tc>
          <w:tcPr>
            <w:tcW w:w="4876" w:type="dxa"/>
            <w:hideMark/>
          </w:tcPr>
          <w:p w:rsidR="006E3FA0" w:rsidRPr="00597D15" w:rsidRDefault="006E3FA0" w:rsidP="005243F2">
            <w:pPr>
              <w:pStyle w:val="Normal6"/>
            </w:pPr>
            <w:r w:rsidRPr="00597D15">
              <w:rPr>
                <w:vertAlign w:val="superscript"/>
              </w:rPr>
              <w:t>2</w:t>
            </w:r>
            <w:r w:rsidRPr="00597D15">
              <w:t xml:space="preserve"> Communication de la Commission au Parlement européen, au Conseil européen, au Conseil, au Comité économique et social européen et au Comité des régions – Le pacte vert pour l’Europe [COM(2019) 640 final du 11 décembre 2019].</w:t>
            </w:r>
          </w:p>
        </w:tc>
        <w:tc>
          <w:tcPr>
            <w:tcW w:w="4876" w:type="dxa"/>
            <w:hideMark/>
          </w:tcPr>
          <w:p w:rsidR="006E3FA0" w:rsidRPr="00597D15" w:rsidRDefault="006E3FA0" w:rsidP="005243F2">
            <w:pPr>
              <w:pStyle w:val="Normal6"/>
              <w:rPr>
                <w:szCs w:val="24"/>
              </w:rPr>
            </w:pPr>
            <w:r w:rsidRPr="00597D15">
              <w:rPr>
                <w:vertAlign w:val="superscript"/>
              </w:rPr>
              <w:t>2</w:t>
            </w:r>
            <w:r w:rsidRPr="00597D15">
              <w:t xml:space="preserve"> Communication de la Commission au Parlement européen, au Conseil européen, au Conseil, au Comité économique et social européen et au Comité des régions – Le pacte vert pour l’Europe [COM(2019) 640 final du 11 décembre 2019].</w:t>
            </w:r>
          </w:p>
        </w:tc>
      </w:tr>
      <w:tr w:rsidR="006E3FA0" w:rsidRPr="00597D15" w:rsidTr="005243F2">
        <w:trPr>
          <w:jc w:val="center"/>
        </w:trPr>
        <w:tc>
          <w:tcPr>
            <w:tcW w:w="4876" w:type="dxa"/>
            <w:hideMark/>
          </w:tcPr>
          <w:p w:rsidR="006E3FA0" w:rsidRPr="00597D15" w:rsidRDefault="006E3FA0" w:rsidP="005243F2">
            <w:pPr>
              <w:pStyle w:val="Normal6"/>
            </w:pPr>
            <w:r w:rsidRPr="00597D15">
              <w:rPr>
                <w:vertAlign w:val="superscript"/>
              </w:rPr>
              <w:t>3</w:t>
            </w:r>
            <w:r w:rsidRPr="00597D15">
              <w:t xml:space="preserve"> Communication de la Commission au Parlement européen, au Conseil, au Comité économique et social européen et au Comité des régions, Stratégie pour la durabilité dans le domaine des produits chimiques – Vers un environnement exempt de substances toxiques [COM(2020) 667 final du 14 octobre 2020].</w:t>
            </w:r>
          </w:p>
        </w:tc>
        <w:tc>
          <w:tcPr>
            <w:tcW w:w="4876" w:type="dxa"/>
            <w:hideMark/>
          </w:tcPr>
          <w:p w:rsidR="006E3FA0" w:rsidRPr="00597D15" w:rsidRDefault="006E3FA0" w:rsidP="005243F2">
            <w:pPr>
              <w:pStyle w:val="Normal6"/>
              <w:rPr>
                <w:szCs w:val="24"/>
              </w:rPr>
            </w:pPr>
            <w:r w:rsidRPr="00597D15">
              <w:rPr>
                <w:vertAlign w:val="superscript"/>
              </w:rPr>
              <w:t>3</w:t>
            </w:r>
            <w:r w:rsidRPr="00597D15">
              <w:t xml:space="preserve"> Communication de la Commission au Parlement européen, au Conseil, au Comité économique et social européen et au Comité des régions, Stratégie pour la durabilité dans le domaine des produits chimiques – Vers un environnement exempt de substances toxiques [COM(2020) 667 final du 14 octobre 2020].</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2</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Considérant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hideMark/>
          </w:tcPr>
          <w:p w:rsidR="006E3FA0" w:rsidRPr="00597D15" w:rsidRDefault="006E3FA0" w:rsidP="005243F2">
            <w:pPr>
              <w:pStyle w:val="Normal6"/>
            </w:pPr>
            <w:r w:rsidRPr="00597D15">
              <w:t>(2)</w:t>
            </w:r>
            <w:r w:rsidRPr="00597D15">
              <w:tab/>
              <w:t xml:space="preserve">Il est nécessaire de réattribuer certaines tâches scientifiques et techniques à l’Agence européenne des produits chimiques pour aligner les procédures ainsi </w:t>
            </w:r>
            <w:r w:rsidRPr="00597D15">
              <w:lastRenderedPageBreak/>
              <w:t>que les niveaux de contrôle scientifique et de numérisation sur les normes et procédures en vigueur à l’Agence européenne des produits chimiques. Cette réattribution est également nécessaire pour assurer un niveau cohérent en matière de qualité scientifique, de transparence, de recherche des données et d’interopérabilité, conformément à l’objectif «une substance, une évaluation».</w:t>
            </w:r>
          </w:p>
        </w:tc>
        <w:tc>
          <w:tcPr>
            <w:tcW w:w="4876" w:type="dxa"/>
            <w:hideMark/>
          </w:tcPr>
          <w:p w:rsidR="006E3FA0" w:rsidRPr="00597D15" w:rsidRDefault="006E3FA0" w:rsidP="005243F2">
            <w:pPr>
              <w:pStyle w:val="Normal6"/>
              <w:rPr>
                <w:szCs w:val="24"/>
              </w:rPr>
            </w:pPr>
            <w:r w:rsidRPr="00597D15">
              <w:lastRenderedPageBreak/>
              <w:t>(2)</w:t>
            </w:r>
            <w:r w:rsidRPr="00597D15">
              <w:tab/>
              <w:t xml:space="preserve">Il est nécessaire de réattribuer certaines tâches scientifiques et techniques à l’Agence européenne des produits chimiques pour aligner les procédures ainsi </w:t>
            </w:r>
            <w:r w:rsidRPr="00597D15">
              <w:lastRenderedPageBreak/>
              <w:t>que les niveaux de contrôle scientifique et de numérisation sur les normes et procédures en vigueur à l’Agence européenne des produits chimiques. Cette réattribution est également nécessaire pour assurer un niveau cohérent en matière de qualité scientifique, de transparence, de recherche des données et d’interopérabilité, conformément à l’objectif</w:t>
            </w:r>
            <w:proofErr w:type="gramStart"/>
            <w:r w:rsidRPr="00597D15">
              <w:t xml:space="preserve"> «une</w:t>
            </w:r>
            <w:proofErr w:type="gramEnd"/>
            <w:r w:rsidRPr="00597D15">
              <w:t xml:space="preserve"> substance, une évaluation». </w:t>
            </w:r>
            <w:r w:rsidRPr="00597D15">
              <w:rPr>
                <w:b/>
                <w:i/>
              </w:rPr>
              <w:t>En outre, la numérisation et la rationalisation des processus réduiront les doubles emplois et les retards administratifs, ce qui permettra aux États membres et aux opérateurs économiques de réaliser des économies et des gains d’efficacité sensibles.</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3</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Considérant 6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(6 bis)</w:t>
            </w:r>
            <w:r w:rsidRPr="00597D15">
              <w:rPr>
                <w:b/>
                <w:i/>
              </w:rPr>
              <w:tab/>
              <w:t>La liste des substances soumises à limitations visées dans la directive 2011/65/UE devrait être réexaminée périodiquement afin de garantir un niveau élevé de protection de la santé humaine, de l’environnement et de la sécurité des consommateurs. Il convient de fixer une période de réexamen d’au moins 36 mois eu égard, d’une part, à l’évolution du marché et des progrès techniques et scientifiques et, d’autre part, au fait que les États membres peuvent soumettre des dossiers de restriction à tout moment et que des mesures de limitation horizontales peuvent être engagées et adoptées en vertu du règlement (CE) nº 1907/2006, du règlement (UE) 2019/1021 ou d’autres actes législatifs de l’Union concernant les critères de durabilité applicables aux substances et produits chimiques dangereux.</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4</w:t>
      </w:r>
    </w:p>
    <w:p w:rsidR="006E3FA0" w:rsidRPr="00597D15" w:rsidRDefault="006E3FA0" w:rsidP="006E3FA0"/>
    <w:p w:rsidR="006E3FA0" w:rsidRPr="00597D15" w:rsidRDefault="006E3FA0" w:rsidP="006E3FA0">
      <w:pPr>
        <w:pStyle w:val="NormalBold"/>
        <w:keepNext/>
      </w:pPr>
      <w:r w:rsidRPr="00597D15">
        <w:lastRenderedPageBreak/>
        <w:t>Proposition de directive</w:t>
      </w:r>
    </w:p>
    <w:p w:rsidR="006E3FA0" w:rsidRPr="00597D15" w:rsidRDefault="006E3FA0" w:rsidP="006E3FA0">
      <w:pPr>
        <w:pStyle w:val="NormalBold"/>
      </w:pPr>
      <w:r w:rsidRPr="00597D15">
        <w:t>Considérant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hideMark/>
          </w:tcPr>
          <w:p w:rsidR="006E3FA0" w:rsidRPr="00597D15" w:rsidRDefault="006E3FA0" w:rsidP="005243F2">
            <w:pPr>
              <w:pStyle w:val="Normal6"/>
            </w:pPr>
            <w:r w:rsidRPr="00597D15">
              <w:t>(8)</w:t>
            </w:r>
            <w:r w:rsidRPr="00597D15">
              <w:tab/>
              <w:t xml:space="preserve">Pour modifier les dispositions procédurales prévues par la directive 2011/65/UE, il est nécessaire d'observer une période transitoire de </w:t>
            </w:r>
            <w:r w:rsidRPr="00597D15">
              <w:rPr>
                <w:b/>
                <w:i/>
              </w:rPr>
              <w:t>douze</w:t>
            </w:r>
            <w:r w:rsidRPr="00597D15">
              <w:t> mois afin que l’Agence européenne des produits chimiques puisse bénéficier d’une attribution appropriée des ressources et des tâches. Ce délai est considéré comme suffisant pour permettre aux demandeurs potentiels ou aux États membres de s’adapter aux étapes procédurales modifiées prévues par ladite directive.</w:t>
            </w:r>
          </w:p>
        </w:tc>
        <w:tc>
          <w:tcPr>
            <w:tcW w:w="4876" w:type="dxa"/>
            <w:hideMark/>
          </w:tcPr>
          <w:p w:rsidR="006E3FA0" w:rsidRPr="00597D15" w:rsidRDefault="006E3FA0" w:rsidP="005243F2">
            <w:pPr>
              <w:pStyle w:val="Normal6"/>
              <w:rPr>
                <w:szCs w:val="24"/>
              </w:rPr>
            </w:pPr>
            <w:r w:rsidRPr="00597D15">
              <w:t>(8)</w:t>
            </w:r>
            <w:r w:rsidRPr="00597D15">
              <w:tab/>
              <w:t xml:space="preserve">Pour modifier les dispositions procédurales prévues par la directive 2011/65/UE, il est nécessaire d'observer une période transitoire de </w:t>
            </w:r>
            <w:r w:rsidRPr="00597D15">
              <w:rPr>
                <w:b/>
                <w:i/>
              </w:rPr>
              <w:t>dix-huit</w:t>
            </w:r>
            <w:r w:rsidRPr="00597D15">
              <w:t> mois afin que l’Agence européenne des produits chimiques puisse bénéficier d’une attribution appropriée des ressources et des tâches. Ce délai est considéré comme suffisant pour permettre aux demandeurs potentiels ou aux États membres de s’adapter aux étapes procédurales modifiées prévues par ladite directive.</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5</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1 – sous-point </w:t>
      </w:r>
      <w:proofErr w:type="gramStart"/>
      <w:r w:rsidRPr="00597D15">
        <w:t>a</w:t>
      </w:r>
      <w:proofErr w:type="gramEnd"/>
    </w:p>
    <w:p w:rsidR="006E3FA0" w:rsidRPr="00597D15" w:rsidRDefault="006E3FA0" w:rsidP="006E3FA0">
      <w:pPr>
        <w:keepNext/>
      </w:pPr>
      <w:r w:rsidRPr="00597D15">
        <w:t>Directive 2011/65/UE</w:t>
      </w:r>
    </w:p>
    <w:p w:rsidR="006E3FA0" w:rsidRPr="00597D15" w:rsidRDefault="006E3FA0" w:rsidP="006E3FA0">
      <w:r w:rsidRPr="00597D15">
        <w:t>Article 5 – paragraphe 4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hideMark/>
          </w:tcPr>
          <w:p w:rsidR="006E3FA0" w:rsidRPr="00597D15" w:rsidRDefault="006E3FA0" w:rsidP="005243F2">
            <w:pPr>
              <w:pStyle w:val="Normal6"/>
            </w:pPr>
            <w:r w:rsidRPr="00597D15">
              <w:t xml:space="preserve">Lorsque le demandeur ne complète pas la demande par les éléments manquants indiqués par l’Agence conformément à l’annexe V dans le délai prévu conformément au premier alinéa, point c), l’Agence </w:t>
            </w:r>
            <w:r w:rsidRPr="00597D15">
              <w:rPr>
                <w:b/>
                <w:i/>
              </w:rPr>
              <w:t>peut rejeter</w:t>
            </w:r>
            <w:r w:rsidRPr="00597D15">
              <w:t xml:space="preserve"> ladite demande. L’Agence fixe la date à laquelle la demande est réputée complète et la communique au demandeur dans les meilleurs délais.</w:t>
            </w:r>
          </w:p>
        </w:tc>
        <w:tc>
          <w:tcPr>
            <w:tcW w:w="4876" w:type="dxa"/>
            <w:hideMark/>
          </w:tcPr>
          <w:p w:rsidR="006E3FA0" w:rsidRPr="00597D15" w:rsidRDefault="006E3FA0" w:rsidP="005243F2">
            <w:pPr>
              <w:pStyle w:val="Normal6"/>
              <w:rPr>
                <w:szCs w:val="24"/>
              </w:rPr>
            </w:pPr>
            <w:r w:rsidRPr="00597D15">
              <w:t xml:space="preserve">Lorsque le demandeur ne complète pas la demande par les éléments manquants indiqués par l’Agence conformément à l’annexe V dans le délai prévu conformément au premier alinéa, point c), l’Agence </w:t>
            </w:r>
            <w:r w:rsidRPr="00597D15">
              <w:rPr>
                <w:b/>
                <w:i/>
              </w:rPr>
              <w:t>rejette</w:t>
            </w:r>
            <w:r w:rsidRPr="00597D15">
              <w:t xml:space="preserve"> ladite demande. L’Agence fixe la date à laquelle la demande est réputée complète et la communique au demandeur dans les meilleurs délais.</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6</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1 – sous-point b</w:t>
      </w:r>
    </w:p>
    <w:p w:rsidR="006E3FA0" w:rsidRPr="00597D15" w:rsidRDefault="006E3FA0" w:rsidP="006E3FA0">
      <w:pPr>
        <w:keepNext/>
      </w:pPr>
      <w:r w:rsidRPr="00597D15">
        <w:t>Directive 2011/65/UE</w:t>
      </w:r>
    </w:p>
    <w:p w:rsidR="006E3FA0" w:rsidRPr="00597D15" w:rsidRDefault="006E3FA0" w:rsidP="006E3FA0">
      <w:r w:rsidRPr="00597D15">
        <w:t>Article 5 – paragraphe 4 bis – alinéa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hideMark/>
          </w:tcPr>
          <w:p w:rsidR="006E3FA0" w:rsidRPr="00597D15" w:rsidRDefault="006E3FA0" w:rsidP="005243F2">
            <w:pPr>
              <w:pStyle w:val="Normal6"/>
            </w:pPr>
            <w:r w:rsidRPr="00597D15">
              <w:t xml:space="preserve">L’Agence indique les parties de ses avis et </w:t>
            </w:r>
            <w:r w:rsidRPr="00597D15">
              <w:lastRenderedPageBreak/>
              <w:t>de leurs éventuelles annexes qui devraient être rendues publiques sur son site web et les met à la disposition du public sur son site web.</w:t>
            </w:r>
          </w:p>
        </w:tc>
        <w:tc>
          <w:tcPr>
            <w:tcW w:w="4876" w:type="dxa"/>
            <w:hideMark/>
          </w:tcPr>
          <w:p w:rsidR="006E3FA0" w:rsidRPr="00597D15" w:rsidRDefault="006E3FA0" w:rsidP="005243F2">
            <w:pPr>
              <w:pStyle w:val="Normal6"/>
              <w:rPr>
                <w:szCs w:val="24"/>
              </w:rPr>
            </w:pPr>
            <w:r w:rsidRPr="00597D15">
              <w:lastRenderedPageBreak/>
              <w:t xml:space="preserve">L’Agence indique les parties de ses avis et </w:t>
            </w:r>
            <w:r w:rsidRPr="00597D15">
              <w:lastRenderedPageBreak/>
              <w:t>de leurs éventuelles annexes qui devraient être rendues publiques sur son site web et les met à la disposition du public sur son site web</w:t>
            </w:r>
            <w:r w:rsidRPr="00597D15">
              <w:rPr>
                <w:b/>
                <w:i/>
              </w:rPr>
              <w:t>, y compris toute demande formulée conformément au deuxième alinéa, point c)</w:t>
            </w:r>
            <w:r w:rsidRPr="00597D15">
              <w:t>.</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7</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1 – sous-point b bis (nouveau)</w:t>
      </w:r>
    </w:p>
    <w:p w:rsidR="006E3FA0" w:rsidRPr="00597D15" w:rsidRDefault="006E3FA0" w:rsidP="006E3FA0">
      <w:pPr>
        <w:keepNext/>
      </w:pPr>
      <w:r w:rsidRPr="00597D15">
        <w:t>Directive 2011/65/UE</w:t>
      </w:r>
    </w:p>
    <w:p w:rsidR="006E3FA0" w:rsidRPr="00597D15" w:rsidRDefault="006E3FA0" w:rsidP="006E3FA0">
      <w:r w:rsidRPr="00597D15">
        <w:t>Article 5 – alinéa 5</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en vigueur</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b bis)</w:t>
            </w:r>
            <w:r w:rsidRPr="00597D15">
              <w:rPr>
                <w:b/>
                <w:i/>
              </w:rPr>
              <w:tab/>
              <w:t>le paragraphe 5 est remplacé par le texte suivant:</w:t>
            </w:r>
          </w:p>
        </w:tc>
      </w:tr>
      <w:tr w:rsidR="006E3FA0" w:rsidRPr="00597D15" w:rsidTr="005243F2">
        <w:trPr>
          <w:jc w:val="center"/>
        </w:trPr>
        <w:tc>
          <w:tcPr>
            <w:tcW w:w="4876" w:type="dxa"/>
            <w:hideMark/>
          </w:tcPr>
          <w:p w:rsidR="006E3FA0" w:rsidRPr="00597D15" w:rsidRDefault="006E3FA0" w:rsidP="005243F2">
            <w:pPr>
              <w:pStyle w:val="Normal6"/>
            </w:pPr>
            <w:r w:rsidRPr="00597D15">
              <w:t>5. Une demande de renouvellement d’une exemption est introduite au plus tard dix-huit mois avant l’expiration de l’exemption. L’exemption existante reste valable jusqu’à ce qu’une décision sur la demande de renouvellement ait été prise par la Commission.</w:t>
            </w:r>
          </w:p>
        </w:tc>
        <w:tc>
          <w:tcPr>
            <w:tcW w:w="4876" w:type="dxa"/>
            <w:hideMark/>
          </w:tcPr>
          <w:p w:rsidR="006E3FA0" w:rsidRPr="00597D15" w:rsidRDefault="006E3FA0" w:rsidP="005243F2">
            <w:pPr>
              <w:pStyle w:val="Normal6"/>
              <w:rPr>
                <w:szCs w:val="24"/>
              </w:rPr>
            </w:pPr>
            <w:r w:rsidRPr="00597D15">
              <w:t xml:space="preserve">«5. Une demande de renouvellement d’une exemption est introduite au plus tard dix-huit mois avant l’expiration de l’exemption. </w:t>
            </w:r>
            <w:r w:rsidRPr="00597D15">
              <w:rPr>
                <w:b/>
                <w:i/>
              </w:rPr>
              <w:t xml:space="preserve">La Commission adopte la décision sur la demande dans un délai de six mois à compter de la réception des avis de l’Agence. </w:t>
            </w:r>
            <w:r w:rsidRPr="00597D15">
              <w:t>L’exemption existante reste valable jusqu’à ce qu’une décision sur la demande de renouvellement ait été prise par la Commission.»</w:t>
            </w:r>
          </w:p>
        </w:tc>
      </w:tr>
    </w:tbl>
    <w:p w:rsidR="006E3FA0" w:rsidRPr="00597D15" w:rsidRDefault="006E3FA0" w:rsidP="006E3FA0">
      <w:pPr>
        <w:pStyle w:val="CrossRef"/>
      </w:pPr>
    </w:p>
    <w:p w:rsidR="006E3FA0" w:rsidRPr="00597D15" w:rsidRDefault="006E3FA0" w:rsidP="006E3FA0"/>
    <w:p w:rsidR="006E3FA0" w:rsidRPr="00597D15" w:rsidRDefault="006E3FA0" w:rsidP="006E3FA0">
      <w:pPr>
        <w:pStyle w:val="AmNumberTabs"/>
      </w:pPr>
      <w:r w:rsidRPr="00597D15">
        <w:t>Amendement</w:t>
      </w:r>
      <w:r w:rsidRPr="00597D15">
        <w:tab/>
      </w:r>
      <w:r w:rsidRPr="00597D15">
        <w:tab/>
        <w:t>8</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3 – sous-point </w:t>
      </w:r>
      <w:proofErr w:type="gramStart"/>
      <w:r w:rsidRPr="00597D15">
        <w:t>a</w:t>
      </w:r>
      <w:proofErr w:type="gramEnd"/>
    </w:p>
    <w:p w:rsidR="006E3FA0" w:rsidRPr="00597D15" w:rsidRDefault="006E3FA0" w:rsidP="006E3FA0">
      <w:pPr>
        <w:keepNext/>
      </w:pPr>
      <w:r w:rsidRPr="00597D15">
        <w:t>Directive 2011/65/UE</w:t>
      </w:r>
    </w:p>
    <w:p w:rsidR="006E3FA0" w:rsidRPr="00597D15" w:rsidRDefault="006E3FA0" w:rsidP="006E3FA0">
      <w:r w:rsidRPr="00597D15">
        <w:t>Article 6 – paragraphe 1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hideMark/>
          </w:tcPr>
          <w:p w:rsidR="006E3FA0" w:rsidRPr="00597D15" w:rsidRDefault="006E3FA0" w:rsidP="005243F2">
            <w:pPr>
              <w:pStyle w:val="Normal6"/>
            </w:pPr>
            <w:r w:rsidRPr="00597D15">
              <w:t>Afin d’atteindre les objectifs fixés à l’article 1</w:t>
            </w:r>
            <w:r w:rsidRPr="00597D15">
              <w:rPr>
                <w:vertAlign w:val="superscript"/>
              </w:rPr>
              <w:t>er</w:t>
            </w:r>
            <w:r w:rsidRPr="00597D15">
              <w:t xml:space="preserve"> et de tenir compte du principe de précaution, la Commission considère le réexamen, fondé sur une évaluation détaillée, et la modification de la liste des substances soumises à limitations figurant à l’annexe II de façon périodique, de sa propre initiative ou à la suite de la </w:t>
            </w:r>
            <w:r w:rsidRPr="00597D15">
              <w:lastRenderedPageBreak/>
              <w:t>présentation d'un dossier de restriction élaboré par un État membre contenant les informations visées au paragraphe 2.;</w:t>
            </w:r>
          </w:p>
        </w:tc>
        <w:tc>
          <w:tcPr>
            <w:tcW w:w="4876" w:type="dxa"/>
            <w:hideMark/>
          </w:tcPr>
          <w:p w:rsidR="006E3FA0" w:rsidRPr="00597D15" w:rsidRDefault="006E3FA0" w:rsidP="005243F2">
            <w:pPr>
              <w:pStyle w:val="Normal6"/>
              <w:rPr>
                <w:szCs w:val="24"/>
              </w:rPr>
            </w:pPr>
            <w:r w:rsidRPr="00597D15">
              <w:lastRenderedPageBreak/>
              <w:t>Afin d’atteindre les objectifs fixés à l’article 1</w:t>
            </w:r>
            <w:r w:rsidRPr="00597D15">
              <w:rPr>
                <w:vertAlign w:val="superscript"/>
              </w:rPr>
              <w:t>er</w:t>
            </w:r>
            <w:r w:rsidRPr="00597D15">
              <w:t xml:space="preserve"> et de tenir compte du principe de précaution, la Commission considère le réexamen, fondé sur une évaluation détaillée, et la modification de la liste des substances soumises à limitations figurant à l’annexe II de façon périodique </w:t>
            </w:r>
            <w:r w:rsidRPr="00597D15">
              <w:rPr>
                <w:b/>
                <w:i/>
              </w:rPr>
              <w:t>et au moins tous les 36 mois</w:t>
            </w:r>
            <w:r w:rsidRPr="00597D15">
              <w:t xml:space="preserve">, de sa propre </w:t>
            </w:r>
            <w:r w:rsidRPr="00597D15">
              <w:lastRenderedPageBreak/>
              <w:t>initiative ou à la suite de la présentation d’un dossier de restriction élaboré par un État membre contenant les informations visées au paragraphe 2.;</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9</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3 – sous-point c</w:t>
      </w:r>
    </w:p>
    <w:p w:rsidR="006E3FA0" w:rsidRPr="00597D15" w:rsidRDefault="006E3FA0" w:rsidP="006E3FA0">
      <w:pPr>
        <w:keepNext/>
      </w:pPr>
      <w:r w:rsidRPr="00597D15">
        <w:t>Directive 2011/65/UE</w:t>
      </w:r>
    </w:p>
    <w:p w:rsidR="006E3FA0" w:rsidRPr="00597D15" w:rsidRDefault="006E3FA0" w:rsidP="006E3FA0">
      <w:r w:rsidRPr="00597D15">
        <w:t>Article 6 – paragraphe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hideMark/>
          </w:tcPr>
          <w:p w:rsidR="006E3FA0" w:rsidRPr="00597D15" w:rsidRDefault="006E3FA0" w:rsidP="005243F2">
            <w:pPr>
              <w:pStyle w:val="Normal6"/>
            </w:pPr>
            <w:r w:rsidRPr="00597D15">
              <w:t>Le réexamen et la modification de la liste des substances soumises à limitations figurant à l’annexe II sont fondés sur des dossiers de restriction élaborés par l’Agence à la demande de la Commission, ou élaborés par un État membre.</w:t>
            </w:r>
          </w:p>
        </w:tc>
        <w:tc>
          <w:tcPr>
            <w:tcW w:w="4876" w:type="dxa"/>
            <w:hideMark/>
          </w:tcPr>
          <w:p w:rsidR="006E3FA0" w:rsidRPr="00597D15" w:rsidRDefault="006E3FA0" w:rsidP="005243F2">
            <w:pPr>
              <w:pStyle w:val="Normal6"/>
              <w:rPr>
                <w:szCs w:val="24"/>
              </w:rPr>
            </w:pPr>
            <w:r w:rsidRPr="00597D15">
              <w:t>Le réexamen et la modification de la liste des substances</w:t>
            </w:r>
            <w:r w:rsidRPr="00597D15">
              <w:rPr>
                <w:b/>
                <w:i/>
              </w:rPr>
              <w:t>, ou d’un groupe de substances,</w:t>
            </w:r>
            <w:r w:rsidRPr="00597D15">
              <w:t xml:space="preserve"> soumises à limitations figurant à l’annexe II sont fondés sur des dossiers de restriction élaborés par l’Agence à la demande de la Commission, ou élaborés par un État membre.</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10</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3 – sous-point c</w:t>
      </w:r>
    </w:p>
    <w:p w:rsidR="006E3FA0" w:rsidRPr="00597D15" w:rsidRDefault="006E3FA0" w:rsidP="006E3FA0">
      <w:pPr>
        <w:keepNext/>
      </w:pPr>
      <w:r w:rsidRPr="00597D15">
        <w:t>Directive 2011/65/UE</w:t>
      </w:r>
    </w:p>
    <w:p w:rsidR="006E3FA0" w:rsidRPr="00597D15" w:rsidRDefault="006E3FA0" w:rsidP="006E3FA0">
      <w:r w:rsidRPr="00597D15">
        <w:t>Article 6 – paragraphe 2 – alinéa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hideMark/>
          </w:tcPr>
          <w:p w:rsidR="006E3FA0" w:rsidRPr="00597D15" w:rsidRDefault="006E3FA0" w:rsidP="005243F2">
            <w:pPr>
              <w:pStyle w:val="Normal6"/>
            </w:pPr>
            <w:r w:rsidRPr="00597D15">
              <w:t xml:space="preserve">L’Agence ou les États membres tiennent également compte de toutes les informations disponibles et de toute évaluation </w:t>
            </w:r>
            <w:r w:rsidRPr="00597D15">
              <w:rPr>
                <w:b/>
                <w:i/>
              </w:rPr>
              <w:t>des risques</w:t>
            </w:r>
            <w:r w:rsidRPr="00597D15">
              <w:t xml:space="preserve"> pertinente soumise aux fins d’autres dispositions de la législation de l’Union couvrant </w:t>
            </w:r>
            <w:r w:rsidRPr="00597D15">
              <w:rPr>
                <w:b/>
                <w:i/>
              </w:rPr>
              <w:t>le</w:t>
            </w:r>
            <w:r w:rsidRPr="00597D15">
              <w:t xml:space="preserve"> cycle de vie de la substance utilisée dans les EEE, notamment la phase de déchets. À cet effet, d’autres organismes institués en vertu du droit de l’Union et investis d’une mission similaire fournissent sur demande des informations à l’Agence ou à l’État membre concerné.</w:t>
            </w:r>
          </w:p>
        </w:tc>
        <w:tc>
          <w:tcPr>
            <w:tcW w:w="4876" w:type="dxa"/>
            <w:hideMark/>
          </w:tcPr>
          <w:p w:rsidR="006E3FA0" w:rsidRPr="00597D15" w:rsidRDefault="006E3FA0" w:rsidP="005243F2">
            <w:pPr>
              <w:pStyle w:val="Normal6"/>
              <w:rPr>
                <w:szCs w:val="24"/>
              </w:rPr>
            </w:pPr>
            <w:r w:rsidRPr="00597D15">
              <w:t xml:space="preserve">L’Agence ou les États membres tiennent également compte de toutes les informations disponibles et de toute évaluation pertinente soumise aux fins d’autres dispositions de la législation de l’Union couvrant </w:t>
            </w:r>
            <w:r w:rsidRPr="00597D15">
              <w:rPr>
                <w:b/>
                <w:i/>
              </w:rPr>
              <w:t>toute partie du</w:t>
            </w:r>
            <w:r w:rsidRPr="00597D15">
              <w:t xml:space="preserve"> cycle de vie de la substance utilisée dans les EEE, notamment la phase de déchets. À cet effet, d’autres organismes institués en vertu du droit de l’Union et investis d’une mission similaire fournissent sur demande des informations à l’Agence ou à l’État membre concerné.</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11</w:t>
      </w:r>
    </w:p>
    <w:p w:rsidR="006E3FA0" w:rsidRPr="00597D15" w:rsidRDefault="006E3FA0" w:rsidP="006E3FA0"/>
    <w:p w:rsidR="006E3FA0" w:rsidRPr="00597D15" w:rsidRDefault="006E3FA0" w:rsidP="006E3FA0">
      <w:pPr>
        <w:pStyle w:val="NormalBold"/>
        <w:keepNext/>
      </w:pPr>
      <w:r w:rsidRPr="00597D15">
        <w:lastRenderedPageBreak/>
        <w:t>Proposition de directive</w:t>
      </w:r>
    </w:p>
    <w:p w:rsidR="006E3FA0" w:rsidRPr="00597D15" w:rsidRDefault="006E3FA0" w:rsidP="006E3FA0">
      <w:pPr>
        <w:pStyle w:val="NormalBold"/>
      </w:pPr>
      <w:r w:rsidRPr="00597D15">
        <w:t>Article 1 – alinéa 1 – point 3 – sous-point c</w:t>
      </w:r>
    </w:p>
    <w:p w:rsidR="006E3FA0" w:rsidRPr="00597D15" w:rsidRDefault="006E3FA0" w:rsidP="006E3FA0">
      <w:pPr>
        <w:keepNext/>
      </w:pPr>
      <w:r w:rsidRPr="00597D15">
        <w:t>Directive 2011/65/UE</w:t>
      </w:r>
    </w:p>
    <w:p w:rsidR="006E3FA0" w:rsidRPr="00597D15" w:rsidRDefault="006E3FA0" w:rsidP="006E3FA0">
      <w:r w:rsidRPr="00597D15">
        <w:t>Article 6 – paragraphe 2 – alinéa 3 – point -a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-a)</w:t>
            </w:r>
            <w:r w:rsidRPr="00597D15">
              <w:rPr>
                <w:b/>
                <w:i/>
              </w:rPr>
              <w:tab/>
              <w:t>l'identité de la substance;</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12</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3 – sous-point c</w:t>
      </w:r>
    </w:p>
    <w:p w:rsidR="006E3FA0" w:rsidRPr="00597D15" w:rsidRDefault="006E3FA0" w:rsidP="006E3FA0">
      <w:pPr>
        <w:keepNext/>
      </w:pPr>
      <w:r w:rsidRPr="00597D15">
        <w:t>Directive 2011/65/UE</w:t>
      </w:r>
    </w:p>
    <w:p w:rsidR="006E3FA0" w:rsidRPr="00597D15" w:rsidRDefault="006E3FA0" w:rsidP="006E3FA0">
      <w:r w:rsidRPr="00597D15">
        <w:t>Article 6 – paragraphe 2 – alinéa 3 – point -a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-a bis)</w:t>
            </w:r>
            <w:r w:rsidRPr="00597D15">
              <w:rPr>
                <w:b/>
                <w:i/>
              </w:rPr>
              <w:tab/>
              <w:t>une formulation précise et claire de la mention de la limitation proposée à l’annexe II;</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13</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3 – sous-point c</w:t>
      </w:r>
    </w:p>
    <w:p w:rsidR="006E3FA0" w:rsidRPr="00597D15" w:rsidRDefault="006E3FA0" w:rsidP="006E3FA0">
      <w:pPr>
        <w:keepNext/>
      </w:pPr>
      <w:r w:rsidRPr="00597D15">
        <w:t>Directive 2011/65/UE</w:t>
      </w:r>
    </w:p>
    <w:p w:rsidR="006E3FA0" w:rsidRPr="00597D15" w:rsidRDefault="006E3FA0" w:rsidP="006E3FA0">
      <w:r w:rsidRPr="00597D15">
        <w:t>Article 6 – paragraphe 2 – alinéa 3 – point -a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-a ter)</w:t>
            </w:r>
            <w:r w:rsidRPr="00597D15">
              <w:rPr>
                <w:b/>
                <w:i/>
              </w:rPr>
              <w:tab/>
              <w:t>des références et des preuves, de nature scientifique, à l’appui de la limitation;</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14</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3 – sous-point c</w:t>
      </w:r>
    </w:p>
    <w:p w:rsidR="006E3FA0" w:rsidRPr="00597D15" w:rsidRDefault="006E3FA0" w:rsidP="006E3FA0">
      <w:pPr>
        <w:keepNext/>
      </w:pPr>
      <w:r w:rsidRPr="00597D15">
        <w:t>Directive 2011/65/UE</w:t>
      </w:r>
    </w:p>
    <w:p w:rsidR="006E3FA0" w:rsidRPr="00597D15" w:rsidRDefault="006E3FA0" w:rsidP="006E3FA0">
      <w:r w:rsidRPr="00597D15">
        <w:t>Article 6 – paragraphe 2 – alinéa 3 – point b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b bis)</w:t>
            </w:r>
            <w:r w:rsidRPr="00597D15">
              <w:rPr>
                <w:b/>
                <w:i/>
              </w:rPr>
              <w:tab/>
              <w:t xml:space="preserve">des informations sur les éventuelles alternatives, leur disponibilité </w:t>
            </w:r>
            <w:r w:rsidRPr="00597D15">
              <w:rPr>
                <w:b/>
                <w:i/>
              </w:rPr>
              <w:lastRenderedPageBreak/>
              <w:t>et leur fiabilité;</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15</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3 – sous-point c</w:t>
      </w:r>
    </w:p>
    <w:p w:rsidR="006E3FA0" w:rsidRPr="00597D15" w:rsidRDefault="006E3FA0" w:rsidP="006E3FA0">
      <w:pPr>
        <w:keepNext/>
      </w:pPr>
      <w:r w:rsidRPr="00597D15">
        <w:t>Directive 2011/65/UE</w:t>
      </w:r>
    </w:p>
    <w:p w:rsidR="006E3FA0" w:rsidRPr="00597D15" w:rsidRDefault="006E3FA0" w:rsidP="006E3FA0">
      <w:r w:rsidRPr="00597D15">
        <w:t>Article 6 – paragraphe 2 – alinéa 3 – point b 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b ter)</w:t>
            </w:r>
            <w:r w:rsidRPr="00597D15">
              <w:rPr>
                <w:b/>
                <w:i/>
              </w:rPr>
              <w:tab/>
              <w:t>la justification d’une limitation au niveau de l’Union en tant que mesure la plus appropriée.</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16</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3 – sous-point c</w:t>
      </w:r>
    </w:p>
    <w:p w:rsidR="006E3FA0" w:rsidRPr="00597D15" w:rsidRDefault="006E3FA0" w:rsidP="006E3FA0">
      <w:pPr>
        <w:keepNext/>
      </w:pPr>
      <w:r w:rsidRPr="00597D15">
        <w:t>Directive 2011/65/UE</w:t>
      </w:r>
    </w:p>
    <w:p w:rsidR="006E3FA0" w:rsidRPr="00597D15" w:rsidRDefault="006E3FA0" w:rsidP="006E3FA0">
      <w:r w:rsidRPr="00597D15">
        <w:t>Article 6 – paragraphe 2 – alinéa 3 – point b quater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b quater)</w:t>
            </w:r>
            <w:r w:rsidRPr="00597D15">
              <w:rPr>
                <w:b/>
                <w:i/>
              </w:rPr>
              <w:tab/>
              <w:t>une évaluation socio-économique.</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17</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4 bis (nouveau)</w:t>
      </w:r>
    </w:p>
    <w:p w:rsidR="006E3FA0" w:rsidRPr="00597D15" w:rsidRDefault="006E3FA0" w:rsidP="006E3FA0">
      <w:pPr>
        <w:keepNext/>
      </w:pPr>
      <w:r w:rsidRPr="00597D15">
        <w:t>Directive 2011/65/UE</w:t>
      </w:r>
    </w:p>
    <w:p w:rsidR="006E3FA0" w:rsidRPr="00597D15" w:rsidRDefault="006E3FA0" w:rsidP="006E3FA0">
      <w:r w:rsidRPr="00597D15">
        <w:t>Article 20 – paragraphe 1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4 bis)</w:t>
            </w:r>
            <w:r w:rsidRPr="00597D15">
              <w:rPr>
                <w:b/>
                <w:i/>
              </w:rPr>
              <w:tab/>
              <w:t>À l’article 20, le paragraphe suivant est inséré:</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«1 bis.</w:t>
            </w:r>
            <w:r w:rsidRPr="00597D15">
              <w:rPr>
                <w:b/>
                <w:i/>
              </w:rPr>
              <w:tab/>
              <w:t>Avant l’adoption d’un acte délégué, la Commission consulte les experts désignés par chaque État membre, conformément aux principes définis dans l’accord interinstitutionnel du 13 avril 2016 «Mieux légiférer».»</w:t>
            </w:r>
          </w:p>
        </w:tc>
      </w:tr>
    </w:tbl>
    <w:p w:rsidR="006E3FA0" w:rsidRPr="00597D15" w:rsidRDefault="006E3FA0" w:rsidP="006E3FA0"/>
    <w:p w:rsidR="006E3FA0" w:rsidRPr="00597D15" w:rsidRDefault="006E3FA0" w:rsidP="006E3FA0">
      <w:pPr>
        <w:pStyle w:val="AmNumberTabs"/>
      </w:pPr>
      <w:r w:rsidRPr="00597D15">
        <w:lastRenderedPageBreak/>
        <w:t>Amendement</w:t>
      </w:r>
      <w:r w:rsidRPr="00597D15">
        <w:tab/>
      </w:r>
      <w:r w:rsidRPr="00597D15">
        <w:tab/>
        <w:t>18</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1 – alinéa 1 – point 4 ter (nouveau)</w:t>
      </w:r>
    </w:p>
    <w:p w:rsidR="006E3FA0" w:rsidRPr="00597D15" w:rsidRDefault="006E3FA0" w:rsidP="006E3FA0">
      <w:pPr>
        <w:keepNext/>
      </w:pPr>
      <w:r w:rsidRPr="00597D15">
        <w:t>Directive 2011/65/UE</w:t>
      </w:r>
    </w:p>
    <w:p w:rsidR="006E3FA0" w:rsidRPr="00597D15" w:rsidRDefault="006E3FA0" w:rsidP="006E3FA0">
      <w:r w:rsidRPr="00597D15">
        <w:t>Article 24 – paragraphe 2 bis (nouveau)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4 ter)</w:t>
            </w:r>
            <w:r w:rsidRPr="00597D15">
              <w:rPr>
                <w:b/>
                <w:i/>
              </w:rPr>
              <w:tab/>
              <w:t>à l’article 24, le paragraphe suivant est ajouté:</w:t>
            </w:r>
          </w:p>
        </w:tc>
      </w:tr>
      <w:tr w:rsidR="006E3FA0" w:rsidRPr="00597D15" w:rsidTr="005243F2">
        <w:trPr>
          <w:jc w:val="center"/>
        </w:trPr>
        <w:tc>
          <w:tcPr>
            <w:tcW w:w="4876" w:type="dxa"/>
          </w:tcPr>
          <w:p w:rsidR="006E3FA0" w:rsidRPr="00597D15" w:rsidRDefault="006E3FA0" w:rsidP="005243F2">
            <w:pPr>
              <w:pStyle w:val="Normal6"/>
            </w:pPr>
          </w:p>
        </w:tc>
        <w:tc>
          <w:tcPr>
            <w:tcW w:w="4876" w:type="dxa"/>
            <w:hideMark/>
          </w:tcPr>
          <w:p w:rsidR="006E3FA0" w:rsidRPr="00597D15" w:rsidRDefault="006E3FA0" w:rsidP="005243F2">
            <w:pPr>
              <w:pStyle w:val="Normal6"/>
              <w:rPr>
                <w:szCs w:val="24"/>
              </w:rPr>
            </w:pPr>
            <w:r w:rsidRPr="00597D15">
              <w:rPr>
                <w:b/>
                <w:i/>
              </w:rPr>
              <w:t>«2 bis.</w:t>
            </w:r>
            <w:r w:rsidRPr="00597D15">
              <w:rPr>
                <w:b/>
                <w:i/>
              </w:rPr>
              <w:tab/>
              <w:t>La Commission suit la situation en ce qui concerne les ressources de l’Agence européenne des produits chimiques, les tâches, la charge de travail et les compétences des comités scientifiques de l’Agence européenne des produits chimiques et présente, le cas échéant, une proposition législative pour tenir compte des besoins éventuels de l’Agence européenne des produits chimiques découlant des tâches introduites par le présent règlement et pour améliorer la gouvernance de ses comités scientifiques.»</w:t>
            </w:r>
          </w:p>
        </w:tc>
      </w:tr>
    </w:tbl>
    <w:p w:rsidR="006E3FA0" w:rsidRPr="00597D15" w:rsidRDefault="006E3FA0" w:rsidP="006E3FA0"/>
    <w:p w:rsidR="006E3FA0" w:rsidRPr="00597D15" w:rsidRDefault="006E3FA0" w:rsidP="006E3FA0">
      <w:pPr>
        <w:pStyle w:val="AmNumberTabs"/>
      </w:pPr>
      <w:r w:rsidRPr="00597D15">
        <w:t>Amendement</w:t>
      </w:r>
      <w:r w:rsidRPr="00597D15">
        <w:tab/>
      </w:r>
      <w:r w:rsidRPr="00597D15">
        <w:tab/>
        <w:t>19</w:t>
      </w:r>
    </w:p>
    <w:p w:rsidR="006E3FA0" w:rsidRPr="00597D15" w:rsidRDefault="006E3FA0" w:rsidP="006E3FA0"/>
    <w:p w:rsidR="006E3FA0" w:rsidRPr="00597D15" w:rsidRDefault="006E3FA0" w:rsidP="006E3FA0">
      <w:pPr>
        <w:pStyle w:val="NormalBold"/>
        <w:keepNext/>
      </w:pPr>
      <w:r w:rsidRPr="00597D15">
        <w:t>Proposition de directive</w:t>
      </w:r>
    </w:p>
    <w:p w:rsidR="006E3FA0" w:rsidRPr="00597D15" w:rsidRDefault="006E3FA0" w:rsidP="006E3FA0">
      <w:pPr>
        <w:pStyle w:val="NormalBold"/>
      </w:pPr>
      <w:r w:rsidRPr="00597D15">
        <w:t>Article 2 – alinéa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E3FA0" w:rsidRPr="00597D15" w:rsidTr="005243F2">
        <w:trPr>
          <w:jc w:val="center"/>
        </w:trPr>
        <w:tc>
          <w:tcPr>
            <w:tcW w:w="9752" w:type="dxa"/>
            <w:gridSpan w:val="2"/>
          </w:tcPr>
          <w:p w:rsidR="006E3FA0" w:rsidRPr="00597D15" w:rsidRDefault="006E3FA0" w:rsidP="005243F2">
            <w:pPr>
              <w:keepNext/>
            </w:pPr>
          </w:p>
        </w:tc>
      </w:tr>
      <w:tr w:rsidR="006E3FA0" w:rsidRPr="00597D15" w:rsidTr="005243F2">
        <w:trPr>
          <w:jc w:val="center"/>
        </w:trPr>
        <w:tc>
          <w:tcPr>
            <w:tcW w:w="4876" w:type="dxa"/>
            <w:hideMark/>
          </w:tcPr>
          <w:p w:rsidR="006E3FA0" w:rsidRPr="00597D15" w:rsidRDefault="006E3FA0" w:rsidP="005243F2">
            <w:pPr>
              <w:pStyle w:val="ColumnHeading"/>
              <w:keepNext/>
            </w:pPr>
            <w:r w:rsidRPr="00597D15">
              <w:t>Texte proposé par la Commission</w:t>
            </w:r>
          </w:p>
        </w:tc>
        <w:tc>
          <w:tcPr>
            <w:tcW w:w="4876" w:type="dxa"/>
            <w:hideMark/>
          </w:tcPr>
          <w:p w:rsidR="006E3FA0" w:rsidRPr="00597D15" w:rsidRDefault="006E3FA0" w:rsidP="005243F2">
            <w:pPr>
              <w:pStyle w:val="ColumnHeading"/>
              <w:keepNext/>
            </w:pPr>
            <w:r w:rsidRPr="00597D15">
              <w:t>Amendement</w:t>
            </w:r>
          </w:p>
        </w:tc>
      </w:tr>
      <w:tr w:rsidR="006E3FA0" w:rsidRPr="00597D15" w:rsidTr="005243F2">
        <w:trPr>
          <w:jc w:val="center"/>
        </w:trPr>
        <w:tc>
          <w:tcPr>
            <w:tcW w:w="4876" w:type="dxa"/>
            <w:hideMark/>
          </w:tcPr>
          <w:p w:rsidR="006E3FA0" w:rsidRPr="00597D15" w:rsidRDefault="006E3FA0" w:rsidP="005243F2">
            <w:pPr>
              <w:pStyle w:val="Normal6"/>
            </w:pPr>
            <w:r w:rsidRPr="00597D15">
              <w:t xml:space="preserve">Les dispositions de la présente directive sont applicables à partir du [JO: </w:t>
            </w:r>
            <w:r w:rsidRPr="00597D15">
              <w:rPr>
                <w:b/>
                <w:i/>
              </w:rPr>
              <w:t>12</w:t>
            </w:r>
            <w:r w:rsidRPr="00597D15">
              <w:t> mois après la publication de la présente directive].</w:t>
            </w:r>
          </w:p>
        </w:tc>
        <w:tc>
          <w:tcPr>
            <w:tcW w:w="4876" w:type="dxa"/>
            <w:hideMark/>
          </w:tcPr>
          <w:p w:rsidR="006E3FA0" w:rsidRPr="00597D15" w:rsidRDefault="006E3FA0" w:rsidP="005243F2">
            <w:pPr>
              <w:pStyle w:val="Normal6"/>
              <w:rPr>
                <w:szCs w:val="24"/>
              </w:rPr>
            </w:pPr>
            <w:r w:rsidRPr="00597D15">
              <w:t xml:space="preserve">Les dispositions de la présente directive sont applicables à partir du [JO: </w:t>
            </w:r>
            <w:r w:rsidRPr="00597D15">
              <w:rPr>
                <w:b/>
                <w:i/>
              </w:rPr>
              <w:t>18</w:t>
            </w:r>
            <w:r w:rsidRPr="00597D15">
              <w:t> mois après la publication de la présente directive].</w:t>
            </w:r>
          </w:p>
        </w:tc>
      </w:tr>
    </w:tbl>
    <w:p w:rsidR="00E365E1" w:rsidRPr="00597D15" w:rsidRDefault="00E365E1" w:rsidP="00B506AD"/>
    <w:sectPr w:rsidR="00E365E1" w:rsidRPr="00597D15" w:rsidSect="00597D1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6AD" w:rsidRPr="00597D15" w:rsidRDefault="00B506AD">
      <w:r w:rsidRPr="00597D15">
        <w:separator/>
      </w:r>
    </w:p>
  </w:endnote>
  <w:endnote w:type="continuationSeparator" w:id="0">
    <w:p w:rsidR="00B506AD" w:rsidRPr="00597D15" w:rsidRDefault="00B506AD">
      <w:r w:rsidRPr="00597D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D1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D1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D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6AD" w:rsidRPr="00597D15" w:rsidRDefault="00B506AD">
      <w:r w:rsidRPr="00597D15">
        <w:separator/>
      </w:r>
    </w:p>
  </w:footnote>
  <w:footnote w:type="continuationSeparator" w:id="0">
    <w:p w:rsidR="00B506AD" w:rsidRPr="00597D15" w:rsidRDefault="00B506AD">
      <w:r w:rsidRPr="00597D15">
        <w:continuationSeparator/>
      </w:r>
    </w:p>
  </w:footnote>
  <w:footnote w:id="1">
    <w:p w:rsidR="000E6E50" w:rsidRDefault="000E6E50" w:rsidP="00D03DC3">
      <w:pPr>
        <w:ind w:left="567" w:hanging="567"/>
      </w:pPr>
      <w:r>
        <w:rPr>
          <w:rStyle w:val="FootnoteReference"/>
        </w:rPr>
        <w:footnoteRef/>
      </w:r>
      <w:r>
        <w:t xml:space="preserve"> </w:t>
      </w:r>
      <w:r>
        <w:tab/>
      </w:r>
      <w:r w:rsidRPr="000B2E43">
        <w:t xml:space="preserve">La question a été renvoyée à la commission compétente, aux fins de négociations interinstitutionnelles, conformément </w:t>
      </w:r>
      <w:r w:rsidRPr="00825EF5">
        <w:t>à l’article 60, paragraphe 4, quatrième alinéa, du règlement intérieur (A10-0019/2025).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D1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D1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7D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5"/>
    <w:docVar w:name="dvlangue" w:val="FR"/>
    <w:docVar w:name="dvnumam" w:val="19"/>
    <w:docVar w:name="dvpe" w:val="763.254"/>
    <w:docVar w:name="dvrapporteur" w:val="Rapporteur: "/>
    <w:docVar w:name="dvstar" w:val="***I"/>
    <w:docVar w:name="dvtitre" w:val="Résolution législative du Parlement européen du ... 2025 sur la proposition de directive du Parlement européen et du Conseil modifiant la directive 2011/65/UE du Parlement européen et du Conseil en ce qui concerne la réattribution de tâches scientifiques et techniques à l’Agence européenne des produits chimiques(COM(2023)0781 – C9-0448/2023 – 2023/0454(COD))"/>
  </w:docVars>
  <w:rsids>
    <w:rsidRoot w:val="00B506AD"/>
    <w:rsid w:val="00002272"/>
    <w:rsid w:val="00064002"/>
    <w:rsid w:val="000677B9"/>
    <w:rsid w:val="000831BA"/>
    <w:rsid w:val="000A42CC"/>
    <w:rsid w:val="000E6E50"/>
    <w:rsid w:val="000E7DD9"/>
    <w:rsid w:val="0010095E"/>
    <w:rsid w:val="00125B37"/>
    <w:rsid w:val="00187494"/>
    <w:rsid w:val="001F111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D15"/>
    <w:rsid w:val="005C2568"/>
    <w:rsid w:val="005F1B17"/>
    <w:rsid w:val="006037C0"/>
    <w:rsid w:val="006631B6"/>
    <w:rsid w:val="00680577"/>
    <w:rsid w:val="006C1514"/>
    <w:rsid w:val="006E3FA0"/>
    <w:rsid w:val="006F74FA"/>
    <w:rsid w:val="00731ADD"/>
    <w:rsid w:val="00734777"/>
    <w:rsid w:val="00747932"/>
    <w:rsid w:val="00751A4A"/>
    <w:rsid w:val="00756632"/>
    <w:rsid w:val="00762C74"/>
    <w:rsid w:val="00786EC0"/>
    <w:rsid w:val="007D1690"/>
    <w:rsid w:val="007E22AD"/>
    <w:rsid w:val="00817416"/>
    <w:rsid w:val="00825EF5"/>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E12"/>
    <w:rsid w:val="00A778C7"/>
    <w:rsid w:val="00AB441E"/>
    <w:rsid w:val="00AB6293"/>
    <w:rsid w:val="00AE0928"/>
    <w:rsid w:val="00AF3B82"/>
    <w:rsid w:val="00B12E95"/>
    <w:rsid w:val="00B22876"/>
    <w:rsid w:val="00B506AD"/>
    <w:rsid w:val="00B558F0"/>
    <w:rsid w:val="00BD48FE"/>
    <w:rsid w:val="00BD7BD8"/>
    <w:rsid w:val="00BE6ADC"/>
    <w:rsid w:val="00C05BFE"/>
    <w:rsid w:val="00C23CD4"/>
    <w:rsid w:val="00C61C0C"/>
    <w:rsid w:val="00C941CB"/>
    <w:rsid w:val="00CC2357"/>
    <w:rsid w:val="00CF071A"/>
    <w:rsid w:val="00D03DC3"/>
    <w:rsid w:val="00D058B8"/>
    <w:rsid w:val="00D56C11"/>
    <w:rsid w:val="00D834A0"/>
    <w:rsid w:val="00D872DF"/>
    <w:rsid w:val="00D91E21"/>
    <w:rsid w:val="00DA7FCD"/>
    <w:rsid w:val="00DF246A"/>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9579EFD-B7BB-4FB4-BE6F-9F155CD09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6E3FA0"/>
    <w:rPr>
      <w:b/>
    </w:rPr>
  </w:style>
  <w:style w:type="paragraph" w:customStyle="1" w:styleId="NormalHanging12a">
    <w:name w:val="NormalHanging12a"/>
    <w:basedOn w:val="Normal"/>
    <w:rsid w:val="006E3FA0"/>
    <w:pPr>
      <w:spacing w:after="240"/>
      <w:ind w:left="567" w:hanging="567"/>
    </w:pPr>
  </w:style>
  <w:style w:type="paragraph" w:customStyle="1" w:styleId="AmNumberTabs">
    <w:name w:val="AmNumberTabs"/>
    <w:basedOn w:val="Normal"/>
    <w:rsid w:val="006E3F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6E3FA0"/>
    <w:pPr>
      <w:spacing w:before="480" w:after="240"/>
    </w:pPr>
  </w:style>
  <w:style w:type="character" w:customStyle="1" w:styleId="Normal6Char">
    <w:name w:val="Normal6 Char"/>
    <w:basedOn w:val="DefaultParagraphFont"/>
    <w:link w:val="Normal6"/>
    <w:locked/>
    <w:rsid w:val="006E3FA0"/>
    <w:rPr>
      <w:sz w:val="24"/>
      <w:lang w:val="fr-FR"/>
    </w:rPr>
  </w:style>
  <w:style w:type="paragraph" w:customStyle="1" w:styleId="Normal6">
    <w:name w:val="Normal6"/>
    <w:basedOn w:val="Normal"/>
    <w:link w:val="Normal6Char"/>
    <w:rsid w:val="006E3FA0"/>
    <w:pPr>
      <w:spacing w:after="120"/>
    </w:pPr>
  </w:style>
  <w:style w:type="character" w:customStyle="1" w:styleId="NormalBoldChar">
    <w:name w:val="NormalBold Char"/>
    <w:basedOn w:val="DefaultParagraphFont"/>
    <w:link w:val="NormalBold"/>
    <w:locked/>
    <w:rsid w:val="006E3FA0"/>
    <w:rPr>
      <w:b/>
      <w:sz w:val="24"/>
      <w:lang w:val="fr-FR"/>
    </w:rPr>
  </w:style>
  <w:style w:type="paragraph" w:customStyle="1" w:styleId="ColumnHeading">
    <w:name w:val="ColumnHeading"/>
    <w:basedOn w:val="Normal"/>
    <w:rsid w:val="006E3FA0"/>
    <w:pPr>
      <w:spacing w:after="240"/>
      <w:jc w:val="center"/>
    </w:pPr>
    <w:rPr>
      <w:i/>
    </w:rPr>
  </w:style>
  <w:style w:type="paragraph" w:customStyle="1" w:styleId="CrossRef">
    <w:name w:val="CrossRef"/>
    <w:basedOn w:val="Normal"/>
    <w:rsid w:val="006E3FA0"/>
    <w:pPr>
      <w:spacing w:before="240"/>
      <w:jc w:val="center"/>
    </w:pPr>
    <w:rPr>
      <w:i/>
    </w:rPr>
  </w:style>
  <w:style w:type="paragraph" w:styleId="BalloonText">
    <w:name w:val="Balloon Text"/>
    <w:basedOn w:val="Normal"/>
    <w:link w:val="BalloonTextChar"/>
    <w:rsid w:val="00825EF5"/>
    <w:rPr>
      <w:rFonts w:ascii="Segoe UI" w:hAnsi="Segoe UI" w:cs="Segoe UI"/>
      <w:sz w:val="18"/>
      <w:szCs w:val="18"/>
    </w:rPr>
  </w:style>
  <w:style w:type="character" w:customStyle="1" w:styleId="BalloonTextChar">
    <w:name w:val="Balloon Text Char"/>
    <w:basedOn w:val="DefaultParagraphFont"/>
    <w:link w:val="BalloonText"/>
    <w:rsid w:val="00825EF5"/>
    <w:rPr>
      <w:rFonts w:ascii="Segoe UI" w:hAnsi="Segoe UI" w:cs="Segoe UI"/>
      <w:sz w:val="18"/>
      <w:szCs w:val="18"/>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4EB497-24FC-445F-98A7-B5ADC106A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2438</Words>
  <Characters>14284</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2025-04-01T12:25:00Z</dcterms:created>
  <dcterms:modified xsi:type="dcterms:W3CDTF">2025-04-01T12:25:00Z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A10-0019/2025</vt:lpwstr>
  </property>
  <property fmtid="{D5CDD505-2E9C-101B-9397-08002B2CF9AE}" pid="4" name="&lt;Type&gt;">
    <vt:lpwstr>RR</vt:lpwstr>
  </property>
</Properties>
</file>