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31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31F7" w:rsidRDefault="008364CC" w:rsidP="0010095E">
            <w:pPr>
              <w:pStyle w:val="EPName"/>
            </w:pPr>
            <w:r w:rsidRPr="005C31F7">
              <w:t>Európai Parlament</w:t>
            </w:r>
          </w:p>
          <w:p w:rsidR="00751A4A" w:rsidRPr="005C31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31F7">
              <w:t>2024</w:t>
            </w:r>
            <w:r w:rsidR="00817416" w:rsidRPr="005C31F7">
              <w:t>-202</w:t>
            </w:r>
            <w:r w:rsidRPr="005C31F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C31F7" w:rsidRDefault="00187494" w:rsidP="0010095E">
            <w:pPr>
              <w:pStyle w:val="EPLogo"/>
            </w:pPr>
            <w:r w:rsidRPr="005C31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31F7" w:rsidRDefault="00D058B8" w:rsidP="004C5D52">
      <w:pPr>
        <w:pStyle w:val="LineTop"/>
      </w:pPr>
    </w:p>
    <w:p w:rsidR="00680577" w:rsidRPr="005C31F7" w:rsidRDefault="008364CC" w:rsidP="00680577">
      <w:pPr>
        <w:pStyle w:val="EPBodyTA1"/>
      </w:pPr>
      <w:r w:rsidRPr="005C31F7">
        <w:t>ELFOGADOTT SZÖVEGEK</w:t>
      </w:r>
    </w:p>
    <w:p w:rsidR="00D058B8" w:rsidRPr="005C31F7" w:rsidRDefault="00D058B8" w:rsidP="00D058B8">
      <w:pPr>
        <w:pStyle w:val="LineBottom"/>
      </w:pPr>
    </w:p>
    <w:p w:rsidR="008364CC" w:rsidRPr="00DF5664" w:rsidRDefault="008364CC" w:rsidP="008364CC">
      <w:pPr>
        <w:pStyle w:val="ATHeading1"/>
      </w:pPr>
      <w:bookmarkStart w:id="0" w:name="TANumber"/>
      <w:r w:rsidRPr="00DF5664">
        <w:t>P10_</w:t>
      </w:r>
      <w:proofErr w:type="gramStart"/>
      <w:r w:rsidRPr="00DF5664">
        <w:t>TA(</w:t>
      </w:r>
      <w:proofErr w:type="gramEnd"/>
      <w:r w:rsidRPr="00DF5664">
        <w:t>2025)00</w:t>
      </w:r>
      <w:r w:rsidR="00D102D7" w:rsidRPr="00DF5664">
        <w:t>46</w:t>
      </w:r>
      <w:bookmarkEnd w:id="0"/>
    </w:p>
    <w:p w:rsidR="008364CC" w:rsidRPr="00DF5664" w:rsidRDefault="00365236" w:rsidP="008364CC">
      <w:pPr>
        <w:pStyle w:val="ATHeading2"/>
      </w:pPr>
      <w:bookmarkStart w:id="1" w:name="title"/>
      <w:r w:rsidRPr="00DF5664">
        <w:rPr>
          <w:bCs/>
        </w:rPr>
        <w:t>Tudományos és technikai feladatok átruházása az Európai Vegyianyag-ügynökségre</w:t>
      </w:r>
      <w:bookmarkEnd w:id="1"/>
    </w:p>
    <w:p w:rsidR="008364CC" w:rsidRPr="00C83E5A" w:rsidRDefault="008364CC" w:rsidP="008364CC">
      <w:pPr>
        <w:rPr>
          <w:i/>
          <w:vanish/>
        </w:rPr>
      </w:pPr>
      <w:r w:rsidRPr="00C83E5A">
        <w:rPr>
          <w:i/>
        </w:rPr>
        <w:fldChar w:fldCharType="begin"/>
      </w:r>
      <w:r w:rsidRPr="00C83E5A">
        <w:rPr>
          <w:i/>
        </w:rPr>
        <w:instrText xml:space="preserve"> TC"(</w:instrText>
      </w:r>
      <w:bookmarkStart w:id="2" w:name="DocNumber"/>
      <w:r w:rsidRPr="00C83E5A">
        <w:rPr>
          <w:i/>
        </w:rPr>
        <w:instrText>A10-0019/2025</w:instrText>
      </w:r>
      <w:bookmarkEnd w:id="2"/>
      <w:r w:rsidRPr="00C83E5A">
        <w:rPr>
          <w:i/>
        </w:rPr>
        <w:instrText xml:space="preserve"> - Előadó: Dimitris Tsiodras)"\l3 \n&gt; \* MERGEFORMAT </w:instrText>
      </w:r>
      <w:r w:rsidRPr="00C83E5A">
        <w:rPr>
          <w:i/>
        </w:rPr>
        <w:fldChar w:fldCharType="end"/>
      </w:r>
    </w:p>
    <w:p w:rsidR="008364CC" w:rsidRPr="00C83E5A" w:rsidRDefault="008364CC" w:rsidP="008364CC">
      <w:pPr>
        <w:rPr>
          <w:vanish/>
        </w:rPr>
      </w:pPr>
      <w:bookmarkStart w:id="3" w:name="Commission"/>
      <w:r w:rsidRPr="00C83E5A">
        <w:rPr>
          <w:vanish/>
        </w:rPr>
        <w:t>Környezetvédelmi, Közegészségügyi és Élelmiszer-biztonsági Bizottság</w:t>
      </w:r>
      <w:bookmarkEnd w:id="3"/>
    </w:p>
    <w:p w:rsidR="008364CC" w:rsidRPr="00C83E5A" w:rsidRDefault="008364CC" w:rsidP="008364CC">
      <w:pPr>
        <w:rPr>
          <w:vanish/>
        </w:rPr>
      </w:pPr>
      <w:bookmarkStart w:id="4" w:name="PE"/>
      <w:r w:rsidRPr="00C83E5A">
        <w:rPr>
          <w:vanish/>
        </w:rPr>
        <w:t>PE763.254</w:t>
      </w:r>
      <w:bookmarkEnd w:id="4"/>
    </w:p>
    <w:p w:rsidR="008364CC" w:rsidRPr="00DF5664" w:rsidRDefault="008364CC" w:rsidP="008364CC">
      <w:pPr>
        <w:pStyle w:val="ATHeading3"/>
      </w:pPr>
      <w:bookmarkStart w:id="5" w:name="Sujet"/>
      <w:r w:rsidRPr="00DF5664">
        <w:t xml:space="preserve">Az Európai Parlament 2025. </w:t>
      </w:r>
      <w:r w:rsidR="00365236" w:rsidRPr="00DF5664">
        <w:t>április 1</w:t>
      </w:r>
      <w:r w:rsidRPr="00DF5664">
        <w:t>-</w:t>
      </w:r>
      <w:r w:rsidR="00C83E5A" w:rsidRPr="00DF5664">
        <w:t>j</w:t>
      </w:r>
      <w:r w:rsidR="00D102D7" w:rsidRPr="00DF5664">
        <w:t xml:space="preserve">én elfogadott módosításai </w:t>
      </w:r>
      <w:bookmarkStart w:id="6" w:name="_GoBack"/>
      <w:bookmarkEnd w:id="6"/>
      <w:r w:rsidRPr="00DF5664">
        <w:t>a 2011/65/EU európai parlamenti és tanácsi irányelvnek a tudományos és technikai feladatok Európai Vegyianyag-ügynökségre való átruházása tekintetében történő módosításáról szóló európai parlamenti és tanácsi irányelvre irányuló javaslat</w:t>
      </w:r>
      <w:r w:rsidR="00D102D7" w:rsidRPr="00DF5664">
        <w:t>hoz</w:t>
      </w:r>
      <w:bookmarkEnd w:id="5"/>
      <w:r w:rsidRPr="00DF5664">
        <w:t xml:space="preserve"> </w:t>
      </w:r>
      <w:bookmarkStart w:id="7" w:name="References"/>
      <w:r w:rsidRPr="00DF5664">
        <w:t>(</w:t>
      </w:r>
      <w:proofErr w:type="gramStart"/>
      <w:r w:rsidRPr="00DF5664">
        <w:t>COM(</w:t>
      </w:r>
      <w:proofErr w:type="gramEnd"/>
      <w:r w:rsidRPr="00DF5664">
        <w:t>2023)0781 – C9-0448/2023 – 2023/0454(COD))</w:t>
      </w:r>
      <w:bookmarkEnd w:id="7"/>
      <w:r w:rsidR="00D102D7" w:rsidRPr="00DF5664">
        <w:rPr>
          <w:rStyle w:val="FootnoteReference"/>
        </w:rPr>
        <w:footnoteReference w:id="1"/>
      </w:r>
    </w:p>
    <w:p w:rsidR="005D6338" w:rsidRDefault="005D6338" w:rsidP="005D6338">
      <w:pPr>
        <w:pStyle w:val="NormalBold"/>
      </w:pPr>
      <w:r w:rsidRPr="005C31F7">
        <w:t>(Rendes jogalkotási eljárás: első olvasat)</w:t>
      </w:r>
    </w:p>
    <w:p w:rsidR="00C83E5A" w:rsidRPr="005C31F7" w:rsidRDefault="00C83E5A" w:rsidP="005D6338">
      <w:pPr>
        <w:pStyle w:val="NormalBold"/>
      </w:pPr>
    </w:p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>(1)</w:t>
            </w:r>
            <w:r w:rsidRPr="005C31F7">
              <w:tab/>
              <w:t>A Bizottság az európai zöld megállapodásról szóló közleményében</w:t>
            </w:r>
            <w:r w:rsidRPr="005C31F7">
              <w:rPr>
                <w:vertAlign w:val="superscript"/>
              </w:rPr>
              <w:t>2</w:t>
            </w:r>
            <w:r w:rsidRPr="005C31F7">
              <w:t xml:space="preserve"> azt a célt tűzte ki, hogy a kémiai biztonsági értékeléseknek az „egy anyag – egy értékelés” megközelítés felé kell elmozdulniuk, és átláthatóbb és egyszerűbb kockázatértékelési eljárásokra szólított fel az összes érdekelt fél terheinek csökkentése, a döntéshozatal felgyorsítása, valamint a tudományos döntések és vélemények következetességének és kiszámíthatóságának fokozása érdekében. A Bizottság a vegyi anyagokra vonatkozó fenntarthatósági stratégiáról szóló közleményében</w:t>
            </w:r>
            <w:r w:rsidRPr="005C31F7">
              <w:rPr>
                <w:vertAlign w:val="superscript"/>
              </w:rPr>
              <w:t>3</w:t>
            </w:r>
            <w:r w:rsidRPr="005C31F7">
              <w:t xml:space="preserve"> arra a következtetésre jutott, hogy e célkitűzés elérése érdekében az uniós jogszabályok támogatását szolgáló, a vegyi anyagokkal kapcsolatos </w:t>
            </w:r>
            <w:r w:rsidRPr="005C31F7">
              <w:lastRenderedPageBreak/>
              <w:t>uniós szintű tudományos és technikai munka egy részét a legmegfelelőbb uniós ügynökségekre kell átruházni. Ez egyszerűsítené a jelenlegi rendszert, javítaná a különböző uniós jogszabályok szerinti biztonsági értékelések minőségét és koherenciáját, valamint biztosítaná a meglévő erőforrások hatékonyabb felhasználását.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lastRenderedPageBreak/>
              <w:t>(1)</w:t>
            </w:r>
            <w:r w:rsidRPr="005C31F7">
              <w:tab/>
              <w:t>A Bizottság az európai zöld megállapodásról szóló közleményében</w:t>
            </w:r>
            <w:r w:rsidRPr="005C31F7">
              <w:rPr>
                <w:vertAlign w:val="superscript"/>
              </w:rPr>
              <w:t>2</w:t>
            </w:r>
            <w:r w:rsidRPr="005C31F7">
              <w:t xml:space="preserve"> azt a célt tűzte ki, hogy a kémiai biztonsági értékeléseknek az „egy anyag – egy értékelés” megközelítés felé kell elmozdulniuk, és átláthatóbb és egyszerűbb kockázatértékelési eljárásokra szólított fel az összes érdekelt fél terheinek csökkentése, a döntéshozatal felgyorsítása, valamint a tudományos döntések és vélemények következetességének és kiszámíthatóságának fokozása érdekében. A Bizottság a vegyi anyagokra vonatkozó fenntarthatósági stratégiáról szóló közleményében</w:t>
            </w:r>
            <w:r w:rsidRPr="005C31F7">
              <w:rPr>
                <w:vertAlign w:val="superscript"/>
              </w:rPr>
              <w:t>3</w:t>
            </w:r>
            <w:r w:rsidRPr="005C31F7">
              <w:t xml:space="preserve"> arra a következtetésre jutott, hogy e célkitűzés elérése érdekében az uniós jogszabályok támogatását szolgáló, a vegyi anyagokkal kapcsolatos </w:t>
            </w:r>
            <w:r w:rsidRPr="005C31F7">
              <w:lastRenderedPageBreak/>
              <w:t xml:space="preserve">uniós szintű tudományos és technikai munka egy részét a legmegfelelőbb uniós ügynökségekre kell átruházni. Ez egyszerűsítené a jelenlegi rendszert, javítaná a különböző uniós jogszabályok szerinti biztonsági értékelések minőségét és koherenciáját, valamint biztosítaná a meglévő erőforrások hatékonyabb felhasználását. </w:t>
            </w:r>
            <w:r w:rsidRPr="005C31F7">
              <w:rPr>
                <w:b/>
                <w:i/>
              </w:rPr>
              <w:t>Ez a megközelítés várhatóan előmozdítja a költséghatékonyságot és a versenyképességet is azáltal, hogy egyszerűsíti a szabályozási eljárásokat és csökkenti az adminisztratív terheket, és biztosítja, hogy a vállalkozások hatékonyan tudjanak alkalmazkodni a változó szabályozási keretekhez.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t>__________________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rPr>
                <w:vertAlign w:val="superscript"/>
              </w:rPr>
              <w:t>2</w:t>
            </w:r>
            <w:r w:rsidRPr="005C31F7">
              <w:t xml:space="preserve"> A Bizottság közleménye az Európai Parlamentnek, az Európai Tanácsnak, a Tanácsnak, az Európai Gazdasági és Szociális Bizottságnak és a Régiók Bizottságának – Az európai zöld megállapodás</w:t>
            </w:r>
            <w:r w:rsidRPr="000A1755">
              <w:rPr>
                <w:b/>
                <w:i/>
              </w:rPr>
              <w:t>,</w:t>
            </w:r>
            <w:r w:rsidRPr="005C31F7">
              <w:t xml:space="preserve"> </w:t>
            </w:r>
            <w:proofErr w:type="gramStart"/>
            <w:r w:rsidRPr="005C31F7">
              <w:t>COM(</w:t>
            </w:r>
            <w:proofErr w:type="gramEnd"/>
            <w:r w:rsidRPr="005C31F7">
              <w:t>2019)</w:t>
            </w:r>
            <w:r w:rsidRPr="000A1755">
              <w:rPr>
                <w:b/>
                <w:i/>
              </w:rPr>
              <w:t> </w:t>
            </w:r>
            <w:r w:rsidRPr="005C31F7">
              <w:t>640</w:t>
            </w:r>
            <w:r w:rsidRPr="000A1755">
              <w:rPr>
                <w:b/>
                <w:i/>
              </w:rPr>
              <w:t xml:space="preserve"> </w:t>
            </w:r>
            <w:proofErr w:type="spellStart"/>
            <w:r w:rsidRPr="000A1755">
              <w:rPr>
                <w:b/>
                <w:i/>
              </w:rPr>
              <w:t>final</w:t>
            </w:r>
            <w:proofErr w:type="spellEnd"/>
            <w:r w:rsidRPr="005C31F7">
              <w:t>, 2019. december 11.</w:t>
            </w:r>
          </w:p>
        </w:tc>
        <w:tc>
          <w:tcPr>
            <w:tcW w:w="4876" w:type="dxa"/>
            <w:hideMark/>
          </w:tcPr>
          <w:p w:rsidR="005D6338" w:rsidRPr="005C31F7" w:rsidRDefault="005D6338" w:rsidP="000A1755">
            <w:pPr>
              <w:pStyle w:val="Normal6"/>
              <w:rPr>
                <w:szCs w:val="24"/>
              </w:rPr>
            </w:pPr>
            <w:r w:rsidRPr="005C31F7">
              <w:rPr>
                <w:vertAlign w:val="superscript"/>
              </w:rPr>
              <w:t>2</w:t>
            </w:r>
            <w:r w:rsidRPr="005C31F7">
              <w:t xml:space="preserve"> A Bizottság közleménye az Európai Parlamentnek, az Európai Tanácsnak, a Tanácsnak, az Európai Gazdasági és Szociális Bizottságnak és a Régiók Bizottságának – Az európai zöld megállapodás </w:t>
            </w:r>
            <w:r w:rsidR="000A1755">
              <w:rPr>
                <w:b/>
                <w:i/>
              </w:rPr>
              <w:t>(</w:t>
            </w:r>
            <w:proofErr w:type="gramStart"/>
            <w:r w:rsidRPr="005C31F7">
              <w:t>COM(</w:t>
            </w:r>
            <w:proofErr w:type="gramEnd"/>
            <w:r w:rsidRPr="005C31F7">
              <w:t>2019)</w:t>
            </w:r>
            <w:r w:rsidR="000A1755">
              <w:rPr>
                <w:b/>
                <w:i/>
              </w:rPr>
              <w:t>0</w:t>
            </w:r>
            <w:r w:rsidRPr="005C31F7">
              <w:t>640</w:t>
            </w:r>
            <w:r w:rsidR="000A1755">
              <w:rPr>
                <w:b/>
                <w:i/>
              </w:rPr>
              <w:t>)</w:t>
            </w:r>
            <w:r w:rsidRPr="005C31F7">
              <w:t>, 2019. december 11.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0A1755">
            <w:pPr>
              <w:pStyle w:val="Normal6"/>
            </w:pPr>
            <w:r w:rsidRPr="005C31F7">
              <w:rPr>
                <w:vertAlign w:val="superscript"/>
              </w:rPr>
              <w:t>3</w:t>
            </w:r>
            <w:r w:rsidRPr="005C31F7">
              <w:t xml:space="preserve"> A Bizottság közleménye az Európai Parlamentnek, a Tanácsnak, az Európai Gazdasági és Szociális Bizottságnak és a Régiók Bizottságának – A vegyi anyagokra vonatkozó fenntarthatósági stratégia a </w:t>
            </w:r>
            <w:proofErr w:type="gramStart"/>
            <w:r w:rsidRPr="005C31F7">
              <w:t>toxikus</w:t>
            </w:r>
            <w:proofErr w:type="gramEnd"/>
            <w:r w:rsidRPr="005C31F7">
              <w:t xml:space="preserve"> anyagoktól mentes környezetért</w:t>
            </w:r>
            <w:r w:rsidR="000A1755" w:rsidRPr="000A1755">
              <w:rPr>
                <w:b/>
                <w:i/>
              </w:rPr>
              <w:t>,</w:t>
            </w:r>
            <w:r w:rsidR="000A1755" w:rsidRPr="005C31F7">
              <w:t xml:space="preserve"> COM(2019)</w:t>
            </w:r>
            <w:r w:rsidR="000A1755" w:rsidRPr="000A1755">
              <w:rPr>
                <w:b/>
                <w:i/>
              </w:rPr>
              <w:t> </w:t>
            </w:r>
            <w:r w:rsidR="000A1755" w:rsidRPr="005C31F7">
              <w:t>6</w:t>
            </w:r>
            <w:r w:rsidR="000A1755">
              <w:t>67</w:t>
            </w:r>
            <w:r w:rsidR="000A1755" w:rsidRPr="000A1755">
              <w:rPr>
                <w:b/>
                <w:i/>
              </w:rPr>
              <w:t xml:space="preserve"> </w:t>
            </w:r>
            <w:proofErr w:type="spellStart"/>
            <w:r w:rsidR="000A1755" w:rsidRPr="000A1755">
              <w:rPr>
                <w:b/>
                <w:i/>
              </w:rPr>
              <w:t>final</w:t>
            </w:r>
            <w:proofErr w:type="spellEnd"/>
            <w:r w:rsidRPr="005C31F7">
              <w:t>, 2020. október 14.</w:t>
            </w:r>
          </w:p>
        </w:tc>
        <w:tc>
          <w:tcPr>
            <w:tcW w:w="4876" w:type="dxa"/>
            <w:hideMark/>
          </w:tcPr>
          <w:p w:rsidR="005D6338" w:rsidRPr="005C31F7" w:rsidRDefault="005D6338" w:rsidP="000A1755">
            <w:pPr>
              <w:pStyle w:val="Normal6"/>
              <w:rPr>
                <w:szCs w:val="24"/>
              </w:rPr>
            </w:pPr>
            <w:r w:rsidRPr="005C31F7">
              <w:rPr>
                <w:vertAlign w:val="superscript"/>
              </w:rPr>
              <w:t>3</w:t>
            </w:r>
            <w:r w:rsidRPr="005C31F7">
              <w:t xml:space="preserve"> A Bizottság közleménye az Európai Parlamentnek, a Tanácsnak, az Európai Gazdasági és Szociális Bizottságnak és a Régiók Bizottságának – A vegyi anyagokra vonatkozó fenntarthatósági stratégia a </w:t>
            </w:r>
            <w:proofErr w:type="gramStart"/>
            <w:r w:rsidRPr="005C31F7">
              <w:t>toxikus</w:t>
            </w:r>
            <w:proofErr w:type="gramEnd"/>
            <w:r w:rsidRPr="005C31F7">
              <w:t xml:space="preserve"> anyagoktól mentes környezetért </w:t>
            </w:r>
            <w:r w:rsidR="000A1755">
              <w:rPr>
                <w:b/>
                <w:i/>
              </w:rPr>
              <w:t>(</w:t>
            </w:r>
            <w:r w:rsidR="000A1755" w:rsidRPr="005C31F7">
              <w:t>COM(2019)</w:t>
            </w:r>
            <w:r w:rsidR="000A1755">
              <w:rPr>
                <w:b/>
                <w:i/>
              </w:rPr>
              <w:t>0</w:t>
            </w:r>
            <w:r w:rsidR="000A1755" w:rsidRPr="005C31F7">
              <w:t>6</w:t>
            </w:r>
            <w:r w:rsidR="000A1755">
              <w:t>67</w:t>
            </w:r>
            <w:r w:rsidR="000A1755">
              <w:rPr>
                <w:b/>
                <w:i/>
              </w:rPr>
              <w:t>)</w:t>
            </w:r>
            <w:r w:rsidRPr="005C31F7">
              <w:t>, 2020. október 14.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2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2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>(2)</w:t>
            </w:r>
            <w:r w:rsidRPr="005C31F7">
              <w:tab/>
              <w:t xml:space="preserve">Egyes tudományos és technikai feladatokat az Európai Vegyianyag-ügynökségre kell átruházni annak érdekében, hogy a tudományos ellenőrzés és a </w:t>
            </w:r>
            <w:proofErr w:type="spellStart"/>
            <w:r w:rsidRPr="005C31F7">
              <w:t>digitalizáció</w:t>
            </w:r>
            <w:proofErr w:type="spellEnd"/>
            <w:r w:rsidRPr="005C31F7">
              <w:t xml:space="preserve"> eljárásai és szintjei összhangba kerüljenek az Európai Vegyianyag-ügynökség jelenlegi szabványaival és eljárásaival. Erre a </w:t>
            </w:r>
            <w:r w:rsidRPr="005C31F7">
              <w:lastRenderedPageBreak/>
              <w:t xml:space="preserve">tudományos minőség, az átláthatóság, az adatok kereshetősége és az </w:t>
            </w:r>
            <w:proofErr w:type="spellStart"/>
            <w:r w:rsidRPr="005C31F7">
              <w:t>interoperabilitás</w:t>
            </w:r>
            <w:proofErr w:type="spellEnd"/>
            <w:r w:rsidRPr="005C31F7">
              <w:t xml:space="preserve"> következetes normáinak biztosítása érdekében is szükség van, összhangban az „egy anyag – egy értékelés</w:t>
            </w:r>
            <w:proofErr w:type="gramStart"/>
            <w:r w:rsidRPr="005C31F7">
              <w:t>” megközelítésre</w:t>
            </w:r>
            <w:proofErr w:type="gramEnd"/>
            <w:r w:rsidRPr="005C31F7">
              <w:t xml:space="preserve"> vonatkozó célkitűzéssel.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lastRenderedPageBreak/>
              <w:t>(2)</w:t>
            </w:r>
            <w:r w:rsidRPr="005C31F7">
              <w:tab/>
              <w:t xml:space="preserve">Egyes tudományos és technikai feladatokat az Európai Vegyianyag-ügynökségre kell átruházni annak érdekében, hogy a tudományos ellenőrzés és a </w:t>
            </w:r>
            <w:proofErr w:type="spellStart"/>
            <w:r w:rsidRPr="005C31F7">
              <w:t>digitalizáció</w:t>
            </w:r>
            <w:proofErr w:type="spellEnd"/>
            <w:r w:rsidRPr="005C31F7">
              <w:t xml:space="preserve"> eljárásai és szintjei összhangba kerüljenek az Európai Vegyianyag-ügynökség jelenlegi szabványaival és eljárásaival. Erre a </w:t>
            </w:r>
            <w:r w:rsidRPr="005C31F7">
              <w:lastRenderedPageBreak/>
              <w:t xml:space="preserve">tudományos minőség, az átláthatóság, az adatok kereshetősége és az </w:t>
            </w:r>
            <w:proofErr w:type="spellStart"/>
            <w:r w:rsidRPr="005C31F7">
              <w:t>interoperabilitás</w:t>
            </w:r>
            <w:proofErr w:type="spellEnd"/>
            <w:r w:rsidRPr="005C31F7">
              <w:t xml:space="preserve"> következetes normáinak biztosítása érdekében is szükség van, összhangban az „egy anyag – egy értékelés</w:t>
            </w:r>
            <w:proofErr w:type="gramStart"/>
            <w:r w:rsidRPr="005C31F7">
              <w:t>” megközelítésre</w:t>
            </w:r>
            <w:proofErr w:type="gramEnd"/>
            <w:r w:rsidRPr="005C31F7">
              <w:t xml:space="preserve"> vonatkozó célkitűzéssel. </w:t>
            </w:r>
            <w:r w:rsidRPr="005C31F7">
              <w:rPr>
                <w:b/>
                <w:i/>
              </w:rPr>
              <w:t xml:space="preserve">Emellett a </w:t>
            </w:r>
            <w:proofErr w:type="spellStart"/>
            <w:r w:rsidRPr="005C31F7">
              <w:rPr>
                <w:b/>
                <w:i/>
              </w:rPr>
              <w:t>digitalizáció</w:t>
            </w:r>
            <w:proofErr w:type="spellEnd"/>
            <w:r w:rsidRPr="005C31F7">
              <w:rPr>
                <w:b/>
                <w:i/>
              </w:rPr>
              <w:t xml:space="preserve"> és az egyszerűsített folyamatok csökkenteni fogják a párhuzamos erőfeszítéseket és az adminisztratív késedelmeket, jelentős költségmegtakarítást és hatékonyságnövekedést biztosítva mind a tagállamok, mind a gazdasági szereplők számára.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3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6 a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(6a)</w:t>
            </w:r>
            <w:r w:rsidRPr="005C31F7">
              <w:rPr>
                <w:b/>
                <w:i/>
              </w:rPr>
              <w:tab/>
              <w:t xml:space="preserve">Az emberi egészség, a környezet és a fogyasztók biztonságának magas szintű védelme érdekében a 2011/65/EU irányelvben említett korlátozott anyagok jegyzékét rendszeres időközönként felül kell vizsgálni. Helyénvaló legalább 36 hónapos felülvizsgálati időszakot megállapítani, figyelembe véve a piaci fejleményeket, valamint a műszaki és tudományos fejlődést, továbbá azt, hogy a tagállamok bármikor benyújthatnak korlátozási dokumentációkat, és </w:t>
            </w:r>
            <w:proofErr w:type="gramStart"/>
            <w:r w:rsidRPr="005C31F7">
              <w:rPr>
                <w:b/>
                <w:i/>
              </w:rPr>
              <w:t>horizontális</w:t>
            </w:r>
            <w:proofErr w:type="gramEnd"/>
            <w:r w:rsidRPr="005C31F7">
              <w:rPr>
                <w:b/>
                <w:i/>
              </w:rPr>
              <w:t xml:space="preserve"> korlátozási intézkedések kezdeményezhetők és fogadhatók el az 1907/2006/EK rendelet, az (EU) 2019/1021 rendelet vagy a veszélyes anyagokra és vegyi anyagokra vonatkozó fenntarthatósági kritériumokról szóló egyéb uniós jogszabály alapján.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4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8 preambulumbekezdés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>(8)</w:t>
            </w:r>
            <w:r w:rsidRPr="005C31F7">
              <w:tab/>
              <w:t xml:space="preserve">A 2011/65/EU irányelv eljárási rendelkezéseinek módosításához </w:t>
            </w:r>
            <w:r w:rsidRPr="005C31F7">
              <w:rPr>
                <w:b/>
                <w:i/>
              </w:rPr>
              <w:t>12</w:t>
            </w:r>
            <w:r w:rsidRPr="005C31F7">
              <w:t xml:space="preserve"> hónapos átmeneti időszakra van szükség ahhoz, hogy az Európai Vegyianyag-ügynökség számára megfelelően ki lehessen osztani az erőforrásokat és a feladatokat. Ez az időkeret elegendő ahhoz, hogy a </w:t>
            </w:r>
            <w:proofErr w:type="gramStart"/>
            <w:r w:rsidRPr="005C31F7">
              <w:t>potenciális</w:t>
            </w:r>
            <w:proofErr w:type="gramEnd"/>
            <w:r w:rsidRPr="005C31F7">
              <w:t xml:space="preserve"> kérelmezők vagy a tagállamok alkalmazkodhassanak az említett irányelv szerinti módosított eljárási lépésekhez.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t>(8)</w:t>
            </w:r>
            <w:r w:rsidRPr="005C31F7">
              <w:tab/>
              <w:t xml:space="preserve">A 2011/65/EU irányelv eljárási rendelkezéseinek módosításához </w:t>
            </w:r>
            <w:r w:rsidRPr="005C31F7">
              <w:rPr>
                <w:b/>
                <w:i/>
              </w:rPr>
              <w:t>18</w:t>
            </w:r>
            <w:r w:rsidRPr="005C31F7">
              <w:t xml:space="preserve"> hónapos átmeneti időszakra van szükség ahhoz, hogy az Európai Vegyianyag-ügynökség számára megfelelően ki lehessen osztani az erőforrásokat és a feladatokat. Ez az időkeret elegendő ahhoz, hogy a </w:t>
            </w:r>
            <w:proofErr w:type="gramStart"/>
            <w:r w:rsidRPr="005C31F7">
              <w:t>potenciális</w:t>
            </w:r>
            <w:proofErr w:type="gramEnd"/>
            <w:r w:rsidRPr="005C31F7">
              <w:t xml:space="preserve"> kérelmezők vagy a tagállamok alkalmazkodhassanak az említett irányelv szerinti módosított eljárási lépésekhez.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5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1 pont – a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5 cikk – 4 bekezdés – 2 </w:t>
      </w:r>
      <w:proofErr w:type="spellStart"/>
      <w:r w:rsidRPr="005C31F7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 xml:space="preserve">Amennyiben a kérelmező az első </w:t>
            </w:r>
            <w:proofErr w:type="spellStart"/>
            <w:r w:rsidRPr="005C31F7">
              <w:t>albekezdés</w:t>
            </w:r>
            <w:proofErr w:type="spellEnd"/>
            <w:r w:rsidRPr="005C31F7">
              <w:t xml:space="preserve"> c) pontjával összhangban meghatározott határidőn belül nem egészíti ki a kérelmet az Ügynökség által az V. mellékletnek megfelelően azonosított hiányzó elemekkel, az Ügynökség </w:t>
            </w:r>
            <w:r w:rsidRPr="005C31F7">
              <w:rPr>
                <w:b/>
                <w:i/>
              </w:rPr>
              <w:t>elutasíthatja</w:t>
            </w:r>
            <w:r w:rsidRPr="005C31F7">
              <w:t xml:space="preserve"> a kérelmet. Az Ügynökség megállapítja és indokolatlan késedelem nélkül közli a kérelmezővel azt az időpontot, amikor a kérelem hiánytalannak minősül.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t xml:space="preserve">Amennyiben a kérelmező az első </w:t>
            </w:r>
            <w:proofErr w:type="spellStart"/>
            <w:r w:rsidRPr="005C31F7">
              <w:t>albekezdés</w:t>
            </w:r>
            <w:proofErr w:type="spellEnd"/>
            <w:r w:rsidRPr="005C31F7">
              <w:t xml:space="preserve"> c) pontjával összhangban meghatározott határidőn belül nem egészíti ki a kérelmet az Ügynökség által az V. mellékletnek megfelelően azonosított hiányzó elemekkel, az Ügynökség </w:t>
            </w:r>
            <w:r w:rsidRPr="005C31F7">
              <w:rPr>
                <w:b/>
                <w:i/>
              </w:rPr>
              <w:t>elutasítja</w:t>
            </w:r>
            <w:r w:rsidRPr="005C31F7">
              <w:t xml:space="preserve"> a kérelmet. Az Ügynökség megállapítja és indokolatlan késedelem nélkül közli a kérelmezővel azt az időpontot, amikor a kérelem hiánytalannak minősül.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6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1 pont – b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5 cikk – 4a bekezdés – 5 </w:t>
      </w:r>
      <w:proofErr w:type="spellStart"/>
      <w:r w:rsidRPr="005C31F7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 xml:space="preserve">Az Ügynökség meghatározza, hogy véleményeinek és azok mellékleteinek mely részeit kell nyilvánosan elérhetővé </w:t>
            </w:r>
            <w:r w:rsidRPr="005C31F7">
              <w:lastRenderedPageBreak/>
              <w:t>tenni a honlapján, és ezeket a részeket nyilvánosan elérhetővé teszi a honlapján.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lastRenderedPageBreak/>
              <w:t xml:space="preserve">Az Ügynökség meghatározza, hogy véleményeinek és azok mellékleteinek mely részeit kell nyilvánosan elérhetővé </w:t>
            </w:r>
            <w:r w:rsidRPr="005C31F7">
              <w:lastRenderedPageBreak/>
              <w:t>tenni a honlapján, és ezeket a részeket nyilvánosan elérhetővé teszi a honlapján</w:t>
            </w:r>
            <w:r w:rsidRPr="005C31F7">
              <w:rPr>
                <w:b/>
                <w:i/>
              </w:rPr>
              <w:t xml:space="preserve">, beleértve a második </w:t>
            </w:r>
            <w:proofErr w:type="spellStart"/>
            <w:r w:rsidRPr="005C31F7">
              <w:rPr>
                <w:b/>
                <w:i/>
              </w:rPr>
              <w:t>albekezdés</w:t>
            </w:r>
            <w:proofErr w:type="spellEnd"/>
            <w:r w:rsidRPr="005C31F7">
              <w:rPr>
                <w:b/>
                <w:i/>
              </w:rPr>
              <w:t xml:space="preserve"> c) pontjával összhangban benyújtott kérelmeket</w:t>
            </w:r>
            <w:r w:rsidRPr="005C31F7">
              <w:t>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7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1 pont – b a pont (új)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>5 cikk – 5 bekezdés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Hatályos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proofErr w:type="spellStart"/>
            <w:r w:rsidRPr="005C31F7">
              <w:rPr>
                <w:b/>
                <w:i/>
              </w:rPr>
              <w:t>ba</w:t>
            </w:r>
            <w:proofErr w:type="spellEnd"/>
            <w:r w:rsidRPr="005C31F7">
              <w:rPr>
                <w:b/>
                <w:i/>
              </w:rPr>
              <w:t>)</w:t>
            </w:r>
            <w:r w:rsidRPr="005C31F7">
              <w:rPr>
                <w:b/>
                <w:i/>
              </w:rPr>
              <w:tab/>
              <w:t>az (5) bekezdés helyébe a következő szöveg lép: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 xml:space="preserve">5. </w:t>
            </w:r>
            <w:r w:rsidR="000A1755">
              <w:tab/>
            </w:r>
            <w:r w:rsidRPr="005C31F7">
              <w:t>A mentesség megújítására vonatkozó kérelmet legalább 18 hónappal a mentesség lejárta előtt kell benyújtani. Az érvényben lévő mentesség mindenképpen érvényben marad mindaddig, amíg a Bizottság nem hoz döntést a megújítási kérelemről.</w:t>
            </w:r>
          </w:p>
        </w:tc>
        <w:tc>
          <w:tcPr>
            <w:tcW w:w="4876" w:type="dxa"/>
            <w:hideMark/>
          </w:tcPr>
          <w:p w:rsidR="005D6338" w:rsidRPr="005C31F7" w:rsidRDefault="000A1755" w:rsidP="00723EC2">
            <w:pPr>
              <w:pStyle w:val="Normal6"/>
              <w:rPr>
                <w:szCs w:val="24"/>
              </w:rPr>
            </w:pPr>
            <w:r w:rsidRPr="000A1755">
              <w:rPr>
                <w:b/>
                <w:i/>
              </w:rPr>
              <w:t>„</w:t>
            </w:r>
            <w:r w:rsidR="005D6338" w:rsidRPr="005C31F7">
              <w:t xml:space="preserve">5. </w:t>
            </w:r>
            <w:r>
              <w:tab/>
            </w:r>
            <w:r w:rsidR="005D6338" w:rsidRPr="005C31F7">
              <w:t xml:space="preserve">A mentesség megújítására vonatkozó kérelmet legalább 18 hónappal a mentesség lejárta előtt kell benyújtani. </w:t>
            </w:r>
            <w:r w:rsidR="005D6338" w:rsidRPr="005C31F7">
              <w:rPr>
                <w:b/>
                <w:i/>
              </w:rPr>
              <w:t xml:space="preserve">A Bizottság az Ügynökség véleményeinek kézhezvételétől számított hat hónapon belül határozatot fogad el a kérelemről. </w:t>
            </w:r>
            <w:r w:rsidR="005D6338" w:rsidRPr="005C31F7">
              <w:t>Az érvényben lévő mentesség mindenképpen érvényben marad mindaddig, amíg a Bizottság nem hoz döntést a megújítási kérelemről.</w:t>
            </w:r>
            <w:r w:rsidR="005D6338" w:rsidRPr="005C31F7">
              <w:rPr>
                <w:b/>
                <w:i/>
              </w:rPr>
              <w:t>”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8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a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1 bekezdés – 1 </w:t>
      </w:r>
      <w:proofErr w:type="spellStart"/>
      <w:r w:rsidRPr="005C31F7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 xml:space="preserve">Az 1. cikkben kitűzött célok elérése céljából és az elővigyázatosság elvének figyelembevételével a Bizottság a saját kezdeményezésére vagy egy tagállam által készített, a (2) bekezdésben említett </w:t>
            </w:r>
            <w:proofErr w:type="gramStart"/>
            <w:r w:rsidRPr="005C31F7">
              <w:t>információkat</w:t>
            </w:r>
            <w:proofErr w:type="gramEnd"/>
            <w:r w:rsidRPr="005C31F7">
              <w:t xml:space="preserve"> tartalmazó korlátozási dokumentáció benyújtását követően alapos értékelés alapján rendszeresen felülvizsgálja és módosítja a korlátozott anyagok II. mellékletben szereplő jegyzékét.;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t xml:space="preserve">Az 1. cikkben kitűzött célok elérése céljából és az elővigyázatosság elvének figyelembevételével a Bizottság a saját kezdeményezésére vagy egy tagállam által készített, a (2) bekezdésben említett </w:t>
            </w:r>
            <w:proofErr w:type="gramStart"/>
            <w:r w:rsidRPr="005C31F7">
              <w:t>információkat</w:t>
            </w:r>
            <w:proofErr w:type="gramEnd"/>
            <w:r w:rsidRPr="005C31F7">
              <w:t xml:space="preserve"> tartalmazó korlátozási dokumentáció benyújtását követően alapos értékelés alapján rendszeresen </w:t>
            </w:r>
            <w:r w:rsidRPr="005C31F7">
              <w:rPr>
                <w:b/>
                <w:i/>
              </w:rPr>
              <w:t xml:space="preserve">és legalább 36 havonta </w:t>
            </w:r>
            <w:r w:rsidRPr="005C31F7">
              <w:t>felülvizsgálja és módosítja a korlátozott anyagok II. mellékletben szereplő jegyzékét.;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9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1 </w:t>
      </w:r>
      <w:proofErr w:type="spellStart"/>
      <w:r w:rsidRPr="005C31F7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>A korlátozott anyagok II. mellékletben szereplő jegyzékének felülvizsgálata és módosítása az Ügynökség által a Bizottság kérésére készített vagy a valamely tagállam által készített korlátozási dokumentáción alapul.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t xml:space="preserve">A korlátozott anyagok </w:t>
            </w:r>
            <w:r w:rsidRPr="005C31F7">
              <w:rPr>
                <w:b/>
                <w:i/>
              </w:rPr>
              <w:t xml:space="preserve">vagy valamely anyagcsoport </w:t>
            </w:r>
            <w:r w:rsidRPr="005C31F7">
              <w:t>II. mellékletben szereplő jegyzékének felülvizsgálata és módosítása az Ügynökség által a Bizottság kérésére készített vagy a valamely tagállam által készített korlátozási dokumentáción alapul.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10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2 </w:t>
      </w:r>
      <w:proofErr w:type="spellStart"/>
      <w:r w:rsidRPr="005C31F7">
        <w:t>albekezdés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 xml:space="preserve">Az Ügynökség vagy a tagállamok figyelembe vesznek minden rendelkezésre álló </w:t>
            </w:r>
            <w:proofErr w:type="gramStart"/>
            <w:r w:rsidRPr="005C31F7">
              <w:t>információt</w:t>
            </w:r>
            <w:proofErr w:type="gramEnd"/>
            <w:r w:rsidRPr="005C31F7">
              <w:t xml:space="preserve"> és bármely releváns, az elektromos és elektronikus berendezésekben használt anyagok </w:t>
            </w:r>
            <w:r w:rsidRPr="005C31F7">
              <w:rPr>
                <w:b/>
                <w:i/>
              </w:rPr>
              <w:t>életciklusára</w:t>
            </w:r>
            <w:r w:rsidRPr="005C31F7">
              <w:t xml:space="preserve"> – különösen a hulladékfázisra – vonatkozó egyéb uniós jogszabályok alkalmazásában benyújtott </w:t>
            </w:r>
            <w:r w:rsidRPr="005C31F7">
              <w:rPr>
                <w:b/>
                <w:i/>
              </w:rPr>
              <w:t>kockázatértékelést</w:t>
            </w:r>
            <w:r w:rsidRPr="005C31F7">
              <w:t xml:space="preserve">. E célból az uniós jogszabályok alapján létrehozott és hasonló feladatot ellátó egyéb szervek kérésre </w:t>
            </w:r>
            <w:proofErr w:type="gramStart"/>
            <w:r w:rsidRPr="005C31F7">
              <w:t>információt</w:t>
            </w:r>
            <w:proofErr w:type="gramEnd"/>
            <w:r w:rsidRPr="005C31F7">
              <w:t xml:space="preserve"> nyújtanak be az Ügynökségnek vagy az érintett tagállamnak.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t xml:space="preserve">Az Ügynökség vagy a tagállamok figyelembe vesznek minden rendelkezésre álló </w:t>
            </w:r>
            <w:proofErr w:type="gramStart"/>
            <w:r w:rsidRPr="005C31F7">
              <w:t>információt</w:t>
            </w:r>
            <w:proofErr w:type="gramEnd"/>
            <w:r w:rsidRPr="005C31F7">
              <w:t xml:space="preserve"> és bármely releváns, az elektromos és elektronikus berendezésekben használt anyagok </w:t>
            </w:r>
            <w:r w:rsidRPr="005C31F7">
              <w:rPr>
                <w:b/>
                <w:i/>
              </w:rPr>
              <w:t>életciklusának bármely részére</w:t>
            </w:r>
            <w:r w:rsidRPr="005C31F7">
              <w:t xml:space="preserve"> – különösen a hulladékfázisra – vonatkozó egyéb uniós jogszabályok alkalmazásában benyújtott </w:t>
            </w:r>
            <w:r w:rsidRPr="005C31F7">
              <w:rPr>
                <w:b/>
                <w:i/>
              </w:rPr>
              <w:t>értékelést</w:t>
            </w:r>
            <w:r w:rsidRPr="005C31F7">
              <w:t xml:space="preserve">. E célból az uniós jogszabályok alapján létrehozott és hasonló feladatot ellátó egyéb szervek kérésre </w:t>
            </w:r>
            <w:proofErr w:type="gramStart"/>
            <w:r w:rsidRPr="005C31F7">
              <w:t>információt</w:t>
            </w:r>
            <w:proofErr w:type="gramEnd"/>
            <w:r w:rsidRPr="005C31F7">
              <w:t xml:space="preserve"> nyújtanak be az Ügynökségnek vagy az érintett tagállamnak.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11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3 </w:t>
      </w:r>
      <w:proofErr w:type="spellStart"/>
      <w:r w:rsidRPr="005C31F7">
        <w:t>albekezdés</w:t>
      </w:r>
      <w:proofErr w:type="spellEnd"/>
      <w:r w:rsidRPr="005C31F7">
        <w:t xml:space="preserve"> – -a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-a)</w:t>
            </w:r>
            <w:r w:rsidRPr="005C31F7">
              <w:rPr>
                <w:b/>
                <w:i/>
              </w:rPr>
              <w:tab/>
              <w:t>az anyag azonosítója;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12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3 </w:t>
      </w:r>
      <w:proofErr w:type="spellStart"/>
      <w:r w:rsidRPr="005C31F7">
        <w:t>albekezdés</w:t>
      </w:r>
      <w:proofErr w:type="spellEnd"/>
      <w:r w:rsidRPr="005C31F7">
        <w:t xml:space="preserve"> – -</w:t>
      </w:r>
      <w:proofErr w:type="gramStart"/>
      <w:r w:rsidRPr="005C31F7">
        <w:t>a</w:t>
      </w:r>
      <w:proofErr w:type="gramEnd"/>
      <w:r w:rsidRPr="005C31F7">
        <w:t xml:space="preserve"> </w:t>
      </w:r>
      <w:proofErr w:type="spellStart"/>
      <w:r w:rsidRPr="005C31F7">
        <w:t>a</w:t>
      </w:r>
      <w:proofErr w:type="spellEnd"/>
      <w:r w:rsidRPr="005C31F7">
        <w:t xml:space="preserve">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-</w:t>
            </w:r>
            <w:proofErr w:type="spellStart"/>
            <w:r w:rsidRPr="005C31F7">
              <w:rPr>
                <w:b/>
                <w:i/>
              </w:rPr>
              <w:t>aa</w:t>
            </w:r>
            <w:proofErr w:type="spellEnd"/>
            <w:r w:rsidRPr="005C31F7">
              <w:rPr>
                <w:b/>
                <w:i/>
              </w:rPr>
              <w:t>)</w:t>
            </w:r>
            <w:r w:rsidRPr="005C31F7">
              <w:rPr>
                <w:b/>
                <w:i/>
              </w:rPr>
              <w:tab/>
              <w:t>a javasolt korlátozás II. mellékletbe történő bejegyzésének pontos és egyértelmű megfogalmazása;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13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3 </w:t>
      </w:r>
      <w:proofErr w:type="spellStart"/>
      <w:r w:rsidRPr="005C31F7">
        <w:t>albekezdés</w:t>
      </w:r>
      <w:proofErr w:type="spellEnd"/>
      <w:r w:rsidRPr="005C31F7">
        <w:t xml:space="preserve"> – -a b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-ab)</w:t>
            </w:r>
            <w:r w:rsidRPr="005C31F7">
              <w:rPr>
                <w:b/>
                <w:i/>
              </w:rPr>
              <w:tab/>
              <w:t>a korlátozásra vonatkozó hivatkozások és tudományos bizonyítékok;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14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3 </w:t>
      </w:r>
      <w:proofErr w:type="spellStart"/>
      <w:r w:rsidRPr="005C31F7">
        <w:t>albekezdés</w:t>
      </w:r>
      <w:proofErr w:type="spellEnd"/>
      <w:r w:rsidRPr="005C31F7">
        <w:t xml:space="preserve"> – b a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proofErr w:type="spellStart"/>
            <w:r w:rsidRPr="005C31F7">
              <w:rPr>
                <w:b/>
                <w:i/>
              </w:rPr>
              <w:t>ba</w:t>
            </w:r>
            <w:proofErr w:type="spellEnd"/>
            <w:r w:rsidRPr="005C31F7">
              <w:rPr>
                <w:b/>
                <w:i/>
              </w:rPr>
              <w:t>)</w:t>
            </w:r>
            <w:r w:rsidRPr="005C31F7">
              <w:rPr>
                <w:b/>
                <w:i/>
              </w:rPr>
              <w:tab/>
              <w:t xml:space="preserve">a lehetséges alternatívákra, azok rendelkezésre állására és </w:t>
            </w:r>
            <w:proofErr w:type="spellStart"/>
            <w:r w:rsidRPr="005C31F7">
              <w:rPr>
                <w:b/>
                <w:i/>
              </w:rPr>
              <w:t>alkalmasságára</w:t>
            </w:r>
            <w:proofErr w:type="spellEnd"/>
            <w:r w:rsidRPr="005C31F7">
              <w:rPr>
                <w:b/>
                <w:i/>
              </w:rPr>
              <w:t xml:space="preserve"> vonatkozó </w:t>
            </w:r>
            <w:proofErr w:type="gramStart"/>
            <w:r w:rsidRPr="005C31F7">
              <w:rPr>
                <w:b/>
                <w:i/>
              </w:rPr>
              <w:t>információk</w:t>
            </w:r>
            <w:proofErr w:type="gramEnd"/>
            <w:r w:rsidRPr="005C31F7">
              <w:rPr>
                <w:b/>
                <w:i/>
              </w:rPr>
              <w:t>;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15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lastRenderedPageBreak/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3 </w:t>
      </w:r>
      <w:proofErr w:type="spellStart"/>
      <w:r w:rsidRPr="005C31F7">
        <w:t>albekezdés</w:t>
      </w:r>
      <w:proofErr w:type="spellEnd"/>
      <w:r w:rsidRPr="005C31F7">
        <w:t xml:space="preserve"> – b </w:t>
      </w:r>
      <w:proofErr w:type="spellStart"/>
      <w:r w:rsidRPr="005C31F7">
        <w:t>b</w:t>
      </w:r>
      <w:proofErr w:type="spellEnd"/>
      <w:r w:rsidRPr="005C31F7">
        <w:t xml:space="preserve">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proofErr w:type="spellStart"/>
            <w:r w:rsidRPr="005C31F7">
              <w:rPr>
                <w:b/>
                <w:i/>
              </w:rPr>
              <w:t>bb</w:t>
            </w:r>
            <w:proofErr w:type="spellEnd"/>
            <w:r w:rsidRPr="005C31F7">
              <w:rPr>
                <w:b/>
                <w:i/>
              </w:rPr>
              <w:t>)</w:t>
            </w:r>
            <w:r w:rsidRPr="005C31F7">
              <w:rPr>
                <w:b/>
                <w:i/>
              </w:rPr>
              <w:tab/>
              <w:t>azon megfontolás indoklása, hogy az uniós szintű korlátozás a legmegfelelőbb intézkedés.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16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3 pont – c pont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 xml:space="preserve">6 cikk – 2 bekezdés – 3 </w:t>
      </w:r>
      <w:proofErr w:type="spellStart"/>
      <w:r w:rsidRPr="005C31F7">
        <w:t>albekezdés</w:t>
      </w:r>
      <w:proofErr w:type="spellEnd"/>
      <w:r w:rsidRPr="005C31F7">
        <w:t xml:space="preserve"> – b c pont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proofErr w:type="spellStart"/>
            <w:r w:rsidRPr="005C31F7">
              <w:rPr>
                <w:b/>
                <w:i/>
              </w:rPr>
              <w:t>bc</w:t>
            </w:r>
            <w:proofErr w:type="spellEnd"/>
            <w:r w:rsidRPr="005C31F7">
              <w:rPr>
                <w:b/>
                <w:i/>
              </w:rPr>
              <w:t>)</w:t>
            </w:r>
            <w:r w:rsidRPr="005C31F7">
              <w:rPr>
                <w:b/>
                <w:i/>
              </w:rPr>
              <w:tab/>
              <w:t>társadalmi-gazdasági értékelés.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17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4 a pont (új)</w:t>
      </w:r>
    </w:p>
    <w:p w:rsidR="005D6338" w:rsidRPr="005C31F7" w:rsidRDefault="005D6338" w:rsidP="005D6338">
      <w:pPr>
        <w:keepNext/>
      </w:pPr>
      <w:r w:rsidRPr="005C31F7">
        <w:t>2011/65/EU irányelv</w:t>
      </w:r>
    </w:p>
    <w:p w:rsidR="005D6338" w:rsidRPr="005C31F7" w:rsidRDefault="005D6338" w:rsidP="005D6338">
      <w:r w:rsidRPr="005C31F7">
        <w:t>20 cikk – 1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4a.</w:t>
            </w:r>
            <w:r w:rsidRPr="005C31F7">
              <w:rPr>
                <w:b/>
                <w:i/>
              </w:rPr>
              <w:tab/>
              <w:t>A 20. cikk a következő bekezdéssel egészül ki: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„(1a)</w:t>
            </w:r>
            <w:r w:rsidRPr="005C31F7">
              <w:rPr>
                <w:b/>
                <w:i/>
              </w:rPr>
              <w:tab/>
              <w:t xml:space="preserve">A felhatalmazáson alapuló jogi </w:t>
            </w:r>
            <w:proofErr w:type="gramStart"/>
            <w:r w:rsidRPr="005C31F7">
              <w:rPr>
                <w:b/>
                <w:i/>
              </w:rPr>
              <w:t>aktus</w:t>
            </w:r>
            <w:proofErr w:type="gramEnd"/>
            <w:r w:rsidRPr="005C31F7">
              <w:rPr>
                <w:b/>
                <w:i/>
              </w:rPr>
              <w:t xml:space="preserve"> elfogadása előtt a Bizottság a jogalkotás minőségének javításáról szóló, 2016. április 13-i intézményközi megállapodásban megállapított elvekkel összhangban konzultál az egyes tagállamok által kijelölt szakértőkkel.”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18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1 cikk – 1 bekezdés – 4 b pont (új)</w:t>
      </w:r>
    </w:p>
    <w:p w:rsidR="005D6338" w:rsidRPr="005C31F7" w:rsidRDefault="005D6338" w:rsidP="005D6338">
      <w:pPr>
        <w:keepNext/>
      </w:pPr>
      <w:r w:rsidRPr="005C31F7">
        <w:lastRenderedPageBreak/>
        <w:t>2011/65/EU irányelv</w:t>
      </w:r>
    </w:p>
    <w:p w:rsidR="005D6338" w:rsidRPr="005C31F7" w:rsidRDefault="005D6338" w:rsidP="005D6338">
      <w:r w:rsidRPr="005C31F7">
        <w:t>24 cikk – 2 a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4b.</w:t>
            </w:r>
            <w:r w:rsidRPr="005C31F7">
              <w:rPr>
                <w:b/>
                <w:i/>
              </w:rPr>
              <w:tab/>
              <w:t>A 24. cikk a következő bekezdéssel egészül ki: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</w:tcPr>
          <w:p w:rsidR="005D6338" w:rsidRPr="005C31F7" w:rsidRDefault="005D6338" w:rsidP="00723EC2">
            <w:pPr>
              <w:pStyle w:val="Normal6"/>
            </w:pPr>
          </w:p>
        </w:tc>
        <w:tc>
          <w:tcPr>
            <w:tcW w:w="4876" w:type="dxa"/>
            <w:hideMark/>
          </w:tcPr>
          <w:p w:rsidR="005D6338" w:rsidRPr="005C31F7" w:rsidRDefault="005D6338" w:rsidP="000A1755">
            <w:pPr>
              <w:pStyle w:val="Normal6"/>
              <w:rPr>
                <w:szCs w:val="24"/>
              </w:rPr>
            </w:pPr>
            <w:r w:rsidRPr="005C31F7">
              <w:rPr>
                <w:b/>
                <w:i/>
              </w:rPr>
              <w:t>„(2a)</w:t>
            </w:r>
            <w:r w:rsidRPr="005C31F7">
              <w:rPr>
                <w:b/>
                <w:i/>
              </w:rPr>
              <w:tab/>
            </w:r>
            <w:proofErr w:type="gramStart"/>
            <w:r w:rsidRPr="005C31F7">
              <w:rPr>
                <w:b/>
                <w:i/>
              </w:rPr>
              <w:t>A</w:t>
            </w:r>
            <w:proofErr w:type="gramEnd"/>
            <w:r w:rsidRPr="005C31F7">
              <w:rPr>
                <w:b/>
                <w:i/>
              </w:rPr>
              <w:t xml:space="preserve"> Bizottság nyomon követi az Európai Vegyianyag-ügynökség erőforrásaival, valamint az Európai Vegyianyag-ügynökség tudományos bizottságainak feladataival, </w:t>
            </w:r>
            <w:proofErr w:type="spellStart"/>
            <w:r w:rsidRPr="005C31F7">
              <w:rPr>
                <w:b/>
                <w:i/>
              </w:rPr>
              <w:t>munkaterhével</w:t>
            </w:r>
            <w:proofErr w:type="spellEnd"/>
            <w:r w:rsidRPr="005C31F7">
              <w:rPr>
                <w:b/>
                <w:i/>
              </w:rPr>
              <w:t xml:space="preserve"> és hatáskörével kapcsolatos helyzetet, és szükség esetén jogalkotási javaslatot terjeszt elő az Európai Vegyianyag-ügynökség e rendelet által bevezetett feladatokból eredő igényeinek tükrözése és tudományos bizottságai ir</w:t>
            </w:r>
            <w:r w:rsidR="000A1755">
              <w:rPr>
                <w:b/>
                <w:i/>
              </w:rPr>
              <w:t>ányításának javítása érdekében.”</w:t>
            </w:r>
          </w:p>
        </w:tc>
      </w:tr>
    </w:tbl>
    <w:p w:rsidR="005D6338" w:rsidRPr="005C31F7" w:rsidRDefault="005D6338" w:rsidP="005D6338"/>
    <w:p w:rsidR="005D6338" w:rsidRPr="005C31F7" w:rsidRDefault="005D6338" w:rsidP="005D6338">
      <w:pPr>
        <w:pStyle w:val="AmNumberTabs"/>
      </w:pPr>
      <w:r w:rsidRPr="005C31F7">
        <w:t>Módosítás</w:t>
      </w:r>
      <w:r w:rsidRPr="005C31F7">
        <w:tab/>
      </w:r>
      <w:r w:rsidRPr="005C31F7">
        <w:tab/>
        <w:t>19</w:t>
      </w:r>
    </w:p>
    <w:p w:rsidR="005D6338" w:rsidRPr="005C31F7" w:rsidRDefault="005D6338" w:rsidP="005D6338"/>
    <w:p w:rsidR="005D6338" w:rsidRPr="005C31F7" w:rsidRDefault="005D6338" w:rsidP="005D6338">
      <w:pPr>
        <w:pStyle w:val="NormalBold"/>
        <w:keepNext/>
      </w:pPr>
      <w:r w:rsidRPr="005C31F7">
        <w:t>Irányelvre irányuló javaslat</w:t>
      </w:r>
    </w:p>
    <w:p w:rsidR="005D6338" w:rsidRPr="005C31F7" w:rsidRDefault="005D6338" w:rsidP="005D6338">
      <w:pPr>
        <w:pStyle w:val="NormalBold"/>
      </w:pPr>
      <w:r w:rsidRPr="005C31F7">
        <w:t>2 cikk – 1 bekezdés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D6338" w:rsidRPr="005C31F7" w:rsidTr="00723EC2">
        <w:trPr>
          <w:jc w:val="center"/>
        </w:trPr>
        <w:tc>
          <w:tcPr>
            <w:tcW w:w="9752" w:type="dxa"/>
            <w:gridSpan w:val="2"/>
          </w:tcPr>
          <w:p w:rsidR="005D6338" w:rsidRPr="005C31F7" w:rsidRDefault="005D6338" w:rsidP="00723EC2">
            <w:pPr>
              <w:keepNext/>
            </w:pP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A Bizottság által javasolt szöveg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ColumnHeading"/>
              <w:keepNext/>
            </w:pPr>
            <w:r w:rsidRPr="005C31F7">
              <w:t>Módosítás</w:t>
            </w:r>
          </w:p>
        </w:tc>
      </w:tr>
      <w:tr w:rsidR="005D6338" w:rsidRPr="005C31F7" w:rsidTr="00723EC2">
        <w:trPr>
          <w:jc w:val="center"/>
        </w:trPr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</w:pPr>
            <w:r w:rsidRPr="005C31F7">
              <w:t xml:space="preserve">Ezen irányelv rendelkezései [Kiadóhivatal: </w:t>
            </w:r>
            <w:r w:rsidRPr="005C31F7">
              <w:rPr>
                <w:b/>
                <w:i/>
              </w:rPr>
              <w:t>12</w:t>
            </w:r>
            <w:r w:rsidRPr="005C31F7">
              <w:t xml:space="preserve"> hónappal ezen irányelv közzététele után]-</w:t>
            </w:r>
            <w:proofErr w:type="spellStart"/>
            <w:r w:rsidRPr="005C31F7">
              <w:t>tól</w:t>
            </w:r>
            <w:proofErr w:type="spellEnd"/>
            <w:r w:rsidRPr="005C31F7">
              <w:t>/-</w:t>
            </w:r>
            <w:proofErr w:type="spellStart"/>
            <w:r w:rsidRPr="005C31F7">
              <w:t>től</w:t>
            </w:r>
            <w:proofErr w:type="spellEnd"/>
            <w:r w:rsidRPr="005C31F7">
              <w:t xml:space="preserve"> alkalmazandók.</w:t>
            </w:r>
          </w:p>
        </w:tc>
        <w:tc>
          <w:tcPr>
            <w:tcW w:w="4876" w:type="dxa"/>
            <w:hideMark/>
          </w:tcPr>
          <w:p w:rsidR="005D6338" w:rsidRPr="005C31F7" w:rsidRDefault="005D6338" w:rsidP="00723EC2">
            <w:pPr>
              <w:pStyle w:val="Normal6"/>
              <w:rPr>
                <w:szCs w:val="24"/>
              </w:rPr>
            </w:pPr>
            <w:r w:rsidRPr="005C31F7">
              <w:t xml:space="preserve">Ezen irányelv </w:t>
            </w:r>
            <w:proofErr w:type="gramStart"/>
            <w:r w:rsidRPr="005C31F7">
              <w:t xml:space="preserve">rendelkezései </w:t>
            </w:r>
            <w:r w:rsidR="000A1755">
              <w:rPr>
                <w:b/>
                <w:i/>
              </w:rPr>
              <w:t>.</w:t>
            </w:r>
            <w:proofErr w:type="gramEnd"/>
            <w:r w:rsidR="000A1755">
              <w:rPr>
                <w:b/>
                <w:i/>
              </w:rPr>
              <w:t xml:space="preserve">.. </w:t>
            </w:r>
            <w:r w:rsidRPr="005C31F7">
              <w:t xml:space="preserve">[Kiadóhivatal: </w:t>
            </w:r>
            <w:r w:rsidRPr="005C31F7">
              <w:rPr>
                <w:b/>
                <w:i/>
              </w:rPr>
              <w:t>18</w:t>
            </w:r>
            <w:r w:rsidRPr="005C31F7">
              <w:t xml:space="preserve"> hónappal ezen irányelv közzététele után]-</w:t>
            </w:r>
            <w:proofErr w:type="spellStart"/>
            <w:r w:rsidRPr="005C31F7">
              <w:t>tól</w:t>
            </w:r>
            <w:proofErr w:type="spellEnd"/>
            <w:r w:rsidRPr="005C31F7">
              <w:t>/-</w:t>
            </w:r>
            <w:proofErr w:type="spellStart"/>
            <w:r w:rsidRPr="005C31F7">
              <w:t>től</w:t>
            </w:r>
            <w:proofErr w:type="spellEnd"/>
            <w:r w:rsidRPr="005C31F7">
              <w:t xml:space="preserve"> alkalmazandók.</w:t>
            </w:r>
          </w:p>
        </w:tc>
      </w:tr>
    </w:tbl>
    <w:p w:rsidR="00E365E1" w:rsidRPr="005C31F7" w:rsidRDefault="00E365E1" w:rsidP="008364CC"/>
    <w:sectPr w:rsidR="00E365E1" w:rsidRPr="005C31F7" w:rsidSect="005C31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4CC" w:rsidRPr="005C31F7" w:rsidRDefault="008364CC">
      <w:r w:rsidRPr="005C31F7">
        <w:separator/>
      </w:r>
    </w:p>
  </w:endnote>
  <w:endnote w:type="continuationSeparator" w:id="0">
    <w:p w:rsidR="008364CC" w:rsidRPr="005C31F7" w:rsidRDefault="008364CC">
      <w:r w:rsidRPr="005C31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31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31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31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4CC" w:rsidRPr="005C31F7" w:rsidRDefault="008364CC">
      <w:r w:rsidRPr="005C31F7">
        <w:separator/>
      </w:r>
    </w:p>
  </w:footnote>
  <w:footnote w:type="continuationSeparator" w:id="0">
    <w:p w:rsidR="008364CC" w:rsidRPr="005C31F7" w:rsidRDefault="008364CC">
      <w:r w:rsidRPr="005C31F7">
        <w:continuationSeparator/>
      </w:r>
    </w:p>
  </w:footnote>
  <w:footnote w:id="1">
    <w:p w:rsidR="00D102D7" w:rsidRPr="00DF5664" w:rsidRDefault="00D102D7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DF5664">
        <w:rPr>
          <w:lang w:val="fi-FI"/>
        </w:rPr>
        <w:t xml:space="preserve"> </w:t>
      </w:r>
      <w:r w:rsidRPr="00DF5664">
        <w:rPr>
          <w:sz w:val="24"/>
          <w:szCs w:val="24"/>
          <w:lang w:val="fi-FI"/>
        </w:rPr>
        <w:tab/>
      </w:r>
      <w:r w:rsidRPr="00DF5664">
        <w:rPr>
          <w:sz w:val="24"/>
          <w:szCs w:val="24"/>
          <w:lang w:val="hu-HU"/>
        </w:rPr>
        <w:t xml:space="preserve">Az ügyet a 60. cikk (4) bekezdésének negyedik </w:t>
      </w:r>
      <w:proofErr w:type="spellStart"/>
      <w:r w:rsidRPr="00DF5664">
        <w:rPr>
          <w:sz w:val="24"/>
          <w:szCs w:val="24"/>
          <w:lang w:val="hu-HU"/>
        </w:rPr>
        <w:t>albekezdése</w:t>
      </w:r>
      <w:proofErr w:type="spellEnd"/>
      <w:r w:rsidRPr="00DF5664">
        <w:rPr>
          <w:sz w:val="24"/>
          <w:szCs w:val="24"/>
          <w:lang w:val="hu-HU"/>
        </w:rPr>
        <w:t xml:space="preserve"> alapján visszautalták az illetékes bizottsághoz intézményközi tárgyalások céljából (A10-0019/2025)</w:t>
      </w:r>
      <w:r w:rsidR="00781343" w:rsidRPr="00DF5664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31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31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31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5"/>
    <w:docVar w:name="dvlangue" w:val="HU"/>
    <w:docVar w:name="dvnumam" w:val="19"/>
    <w:docVar w:name="dvpe" w:val="763.254"/>
    <w:docVar w:name="dvrapporteur" w:val="Előadó: "/>
    <w:docVar w:name="dvtitre" w:val="Az Európai Parlament 2025.  ...-i jogalkotási állásfoglalása a 2011/65/EU európai parlamenti és tanácsi irányelvnek a tudományos és technikai feladatok Európai Vegyianyag-ügynökségre való átruházása tekintetében történő módosításáról szóló európai parlamenti és tanácsi irányelvre irányuló javaslatról(COM(2023)0781 – C9-0448/2023 – 2023/0454(COD))"/>
  </w:docVars>
  <w:rsids>
    <w:rsidRoot w:val="008364CC"/>
    <w:rsid w:val="00002272"/>
    <w:rsid w:val="00064002"/>
    <w:rsid w:val="000677B9"/>
    <w:rsid w:val="000831BA"/>
    <w:rsid w:val="000A1755"/>
    <w:rsid w:val="000A42CC"/>
    <w:rsid w:val="000E7DD9"/>
    <w:rsid w:val="0010095E"/>
    <w:rsid w:val="00125B37"/>
    <w:rsid w:val="00187494"/>
    <w:rsid w:val="001C11E5"/>
    <w:rsid w:val="001F32AE"/>
    <w:rsid w:val="002767FF"/>
    <w:rsid w:val="002B18FE"/>
    <w:rsid w:val="002B5493"/>
    <w:rsid w:val="00343214"/>
    <w:rsid w:val="00361C00"/>
    <w:rsid w:val="00365236"/>
    <w:rsid w:val="0039562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1F7"/>
    <w:rsid w:val="005D633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343"/>
    <w:rsid w:val="00786EC0"/>
    <w:rsid w:val="007A1D98"/>
    <w:rsid w:val="007D1690"/>
    <w:rsid w:val="007E22AD"/>
    <w:rsid w:val="00817416"/>
    <w:rsid w:val="008364C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6F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3E5A"/>
    <w:rsid w:val="00C941CB"/>
    <w:rsid w:val="00CC2357"/>
    <w:rsid w:val="00CF071A"/>
    <w:rsid w:val="00D058B8"/>
    <w:rsid w:val="00D102D7"/>
    <w:rsid w:val="00D56C11"/>
    <w:rsid w:val="00D834A0"/>
    <w:rsid w:val="00D872DF"/>
    <w:rsid w:val="00D91E21"/>
    <w:rsid w:val="00DA7FCD"/>
    <w:rsid w:val="00DF566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68D746-3D7C-4954-81C6-FBE18946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D6338"/>
    <w:rPr>
      <w:b/>
    </w:rPr>
  </w:style>
  <w:style w:type="paragraph" w:customStyle="1" w:styleId="NormalHanging12a">
    <w:name w:val="NormalHanging12a"/>
    <w:basedOn w:val="Normal"/>
    <w:rsid w:val="005D633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5D633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D633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D6338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5D633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D6338"/>
    <w:rPr>
      <w:b/>
      <w:sz w:val="24"/>
      <w:lang w:val="hu-HU"/>
    </w:rPr>
  </w:style>
  <w:style w:type="paragraph" w:customStyle="1" w:styleId="ColumnHeading">
    <w:name w:val="ColumnHeading"/>
    <w:basedOn w:val="Normal"/>
    <w:rsid w:val="005D6338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5D6338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0A175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A1D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1D9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8E1BE-7AA6-4033-8539-4D046C72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1938</Words>
  <Characters>13647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2025-04-01T12:12:00Z</dcterms:created>
  <dcterms:modified xsi:type="dcterms:W3CDTF">2025-04-01T12:12:00Z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A10-0019/2025</vt:lpwstr>
  </property>
  <property fmtid="{D5CDD505-2E9C-101B-9397-08002B2CF9AE}" pid="4" name="&lt;Type&gt;">
    <vt:lpwstr>RR</vt:lpwstr>
  </property>
</Properties>
</file>