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2517" w:rsidTr="0010095E">
        <w:trPr>
          <w:trHeight w:hRule="exact" w:val="1418"/>
        </w:trPr>
        <w:tc>
          <w:tcPr>
            <w:tcW w:w="6804" w:type="dxa"/>
            <w:shd w:val="clear" w:color="auto" w:fill="auto"/>
            <w:vAlign w:val="center"/>
          </w:tcPr>
          <w:p w:rsidR="00751A4A" w:rsidRPr="00D12517" w:rsidRDefault="00342E20" w:rsidP="0010095E">
            <w:pPr>
              <w:pStyle w:val="EPName"/>
            </w:pPr>
            <w:r w:rsidRPr="00D12517">
              <w:t>Eiropas Parlaments</w:t>
            </w:r>
          </w:p>
          <w:p w:rsidR="00751A4A" w:rsidRPr="00D12517" w:rsidRDefault="005F1B17" w:rsidP="005F1B17">
            <w:pPr>
              <w:pStyle w:val="EPTerm"/>
              <w:rPr>
                <w:rStyle w:val="HideTWBExt"/>
                <w:noProof w:val="0"/>
                <w:vanish w:val="0"/>
                <w:color w:val="auto"/>
              </w:rPr>
            </w:pPr>
            <w:r w:rsidRPr="00D12517">
              <w:t>2024</w:t>
            </w:r>
            <w:r w:rsidR="00817416" w:rsidRPr="00D12517">
              <w:t>-202</w:t>
            </w:r>
            <w:r w:rsidRPr="00D12517">
              <w:t>9</w:t>
            </w:r>
          </w:p>
        </w:tc>
        <w:tc>
          <w:tcPr>
            <w:tcW w:w="2268" w:type="dxa"/>
            <w:shd w:val="clear" w:color="auto" w:fill="auto"/>
          </w:tcPr>
          <w:p w:rsidR="00751A4A" w:rsidRPr="00D12517" w:rsidRDefault="00187494" w:rsidP="0010095E">
            <w:pPr>
              <w:pStyle w:val="EPLogo"/>
            </w:pPr>
            <w:r w:rsidRPr="00D125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2517" w:rsidRDefault="00D058B8" w:rsidP="004C5D52">
      <w:pPr>
        <w:pStyle w:val="LineTop"/>
      </w:pPr>
    </w:p>
    <w:p w:rsidR="00680577" w:rsidRPr="00D12517" w:rsidRDefault="00342E20" w:rsidP="00680577">
      <w:pPr>
        <w:pStyle w:val="EPBodyTA1"/>
      </w:pPr>
      <w:r w:rsidRPr="00D12517">
        <w:t>PIEŅEMTIE TEKSTI</w:t>
      </w:r>
    </w:p>
    <w:p w:rsidR="00D058B8" w:rsidRPr="00D12517" w:rsidRDefault="00D058B8" w:rsidP="00D058B8">
      <w:pPr>
        <w:pStyle w:val="LineBottom"/>
      </w:pPr>
    </w:p>
    <w:p w:rsidR="00342E20" w:rsidRPr="00D12517" w:rsidRDefault="00342E20" w:rsidP="00342E20">
      <w:pPr>
        <w:pStyle w:val="ATHeading1"/>
      </w:pPr>
      <w:bookmarkStart w:id="0" w:name="TANumber"/>
      <w:r w:rsidRPr="00D12517">
        <w:t>P10_TA(2025)00</w:t>
      </w:r>
      <w:bookmarkEnd w:id="0"/>
      <w:r w:rsidR="00D12517" w:rsidRPr="00D12517">
        <w:t>46</w:t>
      </w:r>
    </w:p>
    <w:p w:rsidR="00342E20" w:rsidRPr="00D12517" w:rsidRDefault="00394836" w:rsidP="00342E20">
      <w:pPr>
        <w:pStyle w:val="ATHeading2"/>
      </w:pPr>
      <w:r w:rsidRPr="00D12517">
        <w:t>Zinātnisko un tehnisko uzdevumu pārdalīšana Eiropas Ķimikāliju aģentūrai</w:t>
      </w:r>
    </w:p>
    <w:p w:rsidR="00342E20" w:rsidRPr="00D12517" w:rsidRDefault="00342E20" w:rsidP="00342E20">
      <w:pPr>
        <w:rPr>
          <w:i/>
          <w:vanish/>
        </w:rPr>
      </w:pPr>
      <w:r w:rsidRPr="00D12517">
        <w:rPr>
          <w:i/>
        </w:rPr>
        <w:fldChar w:fldCharType="begin"/>
      </w:r>
      <w:r w:rsidRPr="00D12517">
        <w:rPr>
          <w:i/>
        </w:rPr>
        <w:instrText xml:space="preserve"> TC"(</w:instrText>
      </w:r>
      <w:bookmarkStart w:id="1" w:name="DocNumber"/>
      <w:r w:rsidRPr="00D12517">
        <w:rPr>
          <w:i/>
        </w:rPr>
        <w:instrText>A10-0019/2025</w:instrText>
      </w:r>
      <w:bookmarkEnd w:id="1"/>
      <w:r w:rsidRPr="00D12517">
        <w:rPr>
          <w:i/>
        </w:rPr>
        <w:instrText xml:space="preserve"> - Referents: Dimitris Tsiodras)"\l3 \n&gt; \* MERGEFORMAT </w:instrText>
      </w:r>
      <w:r w:rsidRPr="00D12517">
        <w:rPr>
          <w:i/>
        </w:rPr>
        <w:fldChar w:fldCharType="end"/>
      </w:r>
    </w:p>
    <w:p w:rsidR="00342E20" w:rsidRPr="00D12517" w:rsidRDefault="00342E20" w:rsidP="00342E20">
      <w:pPr>
        <w:rPr>
          <w:vanish/>
        </w:rPr>
      </w:pPr>
      <w:bookmarkStart w:id="2" w:name="Commission"/>
      <w:r w:rsidRPr="00D12517">
        <w:rPr>
          <w:vanish/>
        </w:rPr>
        <w:t>Vides, klimata un pārtikas nekaitīguma komiteja</w:t>
      </w:r>
      <w:bookmarkEnd w:id="2"/>
    </w:p>
    <w:p w:rsidR="00342E20" w:rsidRPr="00D12517" w:rsidRDefault="00342E20" w:rsidP="00342E20">
      <w:pPr>
        <w:rPr>
          <w:vanish/>
        </w:rPr>
      </w:pPr>
      <w:bookmarkStart w:id="3" w:name="PE"/>
      <w:r w:rsidRPr="00D12517">
        <w:rPr>
          <w:vanish/>
        </w:rPr>
        <w:t>PE763.254</w:t>
      </w:r>
      <w:bookmarkEnd w:id="3"/>
    </w:p>
    <w:p w:rsidR="00425DB8" w:rsidRPr="00D12517" w:rsidRDefault="00342E20" w:rsidP="00394836">
      <w:pPr>
        <w:pStyle w:val="ATHeading3"/>
      </w:pPr>
      <w:bookmarkStart w:id="4" w:name="Sujet"/>
      <w:r w:rsidRPr="00D12517">
        <w:t xml:space="preserve">Eiropas Parlamenta 2025. gada </w:t>
      </w:r>
      <w:r w:rsidR="00394836" w:rsidRPr="00D12517">
        <w:t>1</w:t>
      </w:r>
      <w:r w:rsidRPr="00D12517">
        <w:t xml:space="preserve">. </w:t>
      </w:r>
      <w:r w:rsidR="00394836" w:rsidRPr="00D12517">
        <w:t>aprī</w:t>
      </w:r>
      <w:r w:rsidR="00DC4055">
        <w:t>lī</w:t>
      </w:r>
      <w:r w:rsidR="00DC4055" w:rsidRPr="0018560E">
        <w:t xml:space="preserve"> pieņemtie grozījumi priekšlikumā </w:t>
      </w:r>
      <w:r w:rsidRPr="00D12517">
        <w:t>Eiropas Parlamenta un Padomes direktīvai, ar ko attiecībā uz zinātnisko un tehnisko uzdevumu pārdalīšanu Eiropas Ķimikāliju aģentūrai groza Eiropas Parlamenta un Padomes Direktīvu 2011/65/ES</w:t>
      </w:r>
      <w:bookmarkEnd w:id="4"/>
      <w:r w:rsidRPr="00D12517">
        <w:t xml:space="preserve"> </w:t>
      </w:r>
      <w:bookmarkStart w:id="5" w:name="References"/>
      <w:r w:rsidRPr="00D12517">
        <w:t>(COM(2023)0781 – C9-0448/2023 – 2023/0454(COD))</w:t>
      </w:r>
      <w:bookmarkEnd w:id="5"/>
      <w:r w:rsidR="00DC4055">
        <w:rPr>
          <w:rStyle w:val="FootnoteReference"/>
        </w:rPr>
        <w:footnoteReference w:id="1"/>
      </w:r>
    </w:p>
    <w:p w:rsidR="00425DB8" w:rsidRPr="00D12517" w:rsidRDefault="00425DB8" w:rsidP="00425DB8">
      <w:pPr>
        <w:pStyle w:val="NormalBold"/>
      </w:pPr>
      <w:r w:rsidRPr="00D12517">
        <w:t>(Parastā likumdošanas procedūra: pirmais lasījums)</w:t>
      </w:r>
    </w:p>
    <w:p w:rsidR="00425DB8" w:rsidRPr="00D12517" w:rsidRDefault="00425DB8" w:rsidP="00425DB8">
      <w:pPr>
        <w:pStyle w:val="AmNumberTabs"/>
      </w:pPr>
      <w:r w:rsidRPr="00D12517">
        <w:t>Grozījums Nr.</w:t>
      </w:r>
      <w:r w:rsidRPr="00D12517">
        <w:tab/>
      </w:r>
      <w:r w:rsidRPr="00D12517">
        <w:tab/>
        <w:t>1</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hideMark/>
          </w:tcPr>
          <w:p w:rsidR="00425DB8" w:rsidRPr="00D12517" w:rsidRDefault="00425DB8" w:rsidP="004B1248">
            <w:pPr>
              <w:pStyle w:val="Normal6"/>
            </w:pPr>
            <w:r w:rsidRPr="00D12517">
              <w:t>(1)</w:t>
            </w:r>
            <w:r w:rsidRPr="00D12517">
              <w:tab/>
              <w:t>Komisija savā paziņojumā “Eiropas zaļais kurss”</w:t>
            </w:r>
            <w:r w:rsidRPr="00D12517">
              <w:rPr>
                <w:vertAlign w:val="superscript"/>
              </w:rPr>
              <w:t>2</w:t>
            </w:r>
            <w:r w:rsidRPr="00D12517">
              <w:t xml:space="preserve"> ir izvirzījusi mērķi, ka ķīmiskā drošuma novērtējumos jāpāriet uz procesu “viena viela — viens novērtējums”, aicinot ieviest pārredzamākus un vienkāršākus riska novērtēšanas procesus, lai samazinātu slogu visām ieinteresētajām personām, paātrinātu lēmumu pieņemšanu, kā arī uzlabotu zinātnisko lēmumu un atzinumu konsekvenci un </w:t>
            </w:r>
            <w:proofErr w:type="spellStart"/>
            <w:r w:rsidRPr="00D12517">
              <w:t>paredzamību</w:t>
            </w:r>
            <w:proofErr w:type="spellEnd"/>
            <w:r w:rsidRPr="00D12517">
              <w:t>. Savā paziņojumā par Ilgtspēju sekmējošu ķimikāliju stratēģiju</w:t>
            </w:r>
            <w:r w:rsidRPr="00D12517">
              <w:rPr>
                <w:vertAlign w:val="superscript"/>
              </w:rPr>
              <w:t>3</w:t>
            </w:r>
            <w:r w:rsidRPr="00D12517">
              <w:t xml:space="preserve"> Komisija secina: lai šo mērķi sasniegtu, daļa ķimikāliju jomas zinātniskā un tehniskā darba, kas tiek veikts Savienības līmenī Savienības tiesību aktu vajadzībām, ir jāpārdala pašām piemērotākajām Savienības aģentūrām. Tas vienkāršotu pašreizējo sistēmu, uzlabotu dažādos Savienības tiesību aktos paredzēto drošuma novērtējumu kvalitāti un saskanību un nodrošinātu pašreizējo resursu efektīvāku izmantošanu.</w:t>
            </w:r>
          </w:p>
        </w:tc>
        <w:tc>
          <w:tcPr>
            <w:tcW w:w="4876" w:type="dxa"/>
            <w:hideMark/>
          </w:tcPr>
          <w:p w:rsidR="00425DB8" w:rsidRPr="00D12517" w:rsidRDefault="00425DB8" w:rsidP="004B1248">
            <w:pPr>
              <w:pStyle w:val="Normal6"/>
              <w:rPr>
                <w:szCs w:val="24"/>
              </w:rPr>
            </w:pPr>
            <w:r w:rsidRPr="00D12517">
              <w:t>(1)</w:t>
            </w:r>
            <w:r w:rsidRPr="00D12517">
              <w:tab/>
              <w:t>Komisija savā paziņojumā “Eiropas zaļais kurss”</w:t>
            </w:r>
            <w:r w:rsidRPr="00D12517">
              <w:rPr>
                <w:vertAlign w:val="superscript"/>
              </w:rPr>
              <w:t>2</w:t>
            </w:r>
            <w:r w:rsidRPr="00D12517">
              <w:t xml:space="preserve"> ir izvirzījusi mērķi, ka ķīmiskā drošuma novērtējumos jāpāriet uz procesu “viena viela — viens novērtējums”, aicinot ieviest pārredzamākus un vienkāršākus riska novērtēšanas procesus, lai samazinātu slogu visām ieinteresētajām personām, paātrinātu lēmumu pieņemšanu, kā arī uzlabotu zinātnisko lēmumu un atzinumu konsekvenci un </w:t>
            </w:r>
            <w:proofErr w:type="spellStart"/>
            <w:r w:rsidRPr="00D12517">
              <w:t>paredzamību</w:t>
            </w:r>
            <w:proofErr w:type="spellEnd"/>
            <w:r w:rsidRPr="00D12517">
              <w:t>. Savā paziņojumā par Ilgtspēju sekmējošu ķimikāliju stratēģiju</w:t>
            </w:r>
            <w:r w:rsidRPr="00D12517">
              <w:rPr>
                <w:vertAlign w:val="superscript"/>
              </w:rPr>
              <w:t>3</w:t>
            </w:r>
            <w:r w:rsidRPr="00D12517">
              <w:t xml:space="preserve"> Komisija secina: lai šo mērķi sasniegtu, daļa ķimikāliju jomas zinātniskā un tehniskā darba, kas tiek veikts Savienības līmenī Savienības tiesību aktu vajadzībām, ir jāpārdala pašām piemērotākajām Savienības aģentūrām. Tas vienkāršotu pašreizējo sistēmu, uzlabotu dažādos Savienības tiesību aktos paredzēto drošuma novērtējumu kvalitāti un saskanību un nodrošinātu pašreizējo resursu efektīvāku izmantošanu. </w:t>
            </w:r>
            <w:r w:rsidRPr="00D12517">
              <w:rPr>
                <w:b/>
                <w:i/>
              </w:rPr>
              <w:t>Paredzams, ka šī pieeja veicinās arī izmaksu lietderību un konkurētspēju, vienkāršojot regulatīvās procedūras un samazinot administratīvo slogu, kā arī nodrošinot, ka uzņēmumi var efektīvi pielāgoties mainīgajam tiesiskajam regulējumam.</w:t>
            </w:r>
          </w:p>
        </w:tc>
      </w:tr>
      <w:tr w:rsidR="00425DB8" w:rsidRPr="00D12517" w:rsidTr="004B1248">
        <w:trPr>
          <w:jc w:val="center"/>
        </w:trPr>
        <w:tc>
          <w:tcPr>
            <w:tcW w:w="4876" w:type="dxa"/>
            <w:hideMark/>
          </w:tcPr>
          <w:p w:rsidR="00425DB8" w:rsidRPr="00D12517" w:rsidRDefault="00425DB8" w:rsidP="004B1248">
            <w:pPr>
              <w:pStyle w:val="Normal6"/>
            </w:pPr>
            <w:r w:rsidRPr="00D12517">
              <w:t>__________________</w:t>
            </w:r>
          </w:p>
        </w:tc>
        <w:tc>
          <w:tcPr>
            <w:tcW w:w="4876" w:type="dxa"/>
            <w:hideMark/>
          </w:tcPr>
          <w:p w:rsidR="00425DB8" w:rsidRPr="00D12517" w:rsidRDefault="00425DB8" w:rsidP="004B1248">
            <w:pPr>
              <w:pStyle w:val="Normal6"/>
              <w:rPr>
                <w:szCs w:val="24"/>
              </w:rPr>
            </w:pPr>
            <w:r w:rsidRPr="00D12517">
              <w:t>__________________</w:t>
            </w:r>
          </w:p>
        </w:tc>
      </w:tr>
      <w:tr w:rsidR="00425DB8" w:rsidRPr="00D12517" w:rsidTr="004B1248">
        <w:trPr>
          <w:jc w:val="center"/>
        </w:trPr>
        <w:tc>
          <w:tcPr>
            <w:tcW w:w="4876" w:type="dxa"/>
            <w:hideMark/>
          </w:tcPr>
          <w:p w:rsidR="00425DB8" w:rsidRPr="00D12517" w:rsidRDefault="00425DB8" w:rsidP="004B1248">
            <w:pPr>
              <w:pStyle w:val="Normal6"/>
            </w:pPr>
            <w:r w:rsidRPr="00D12517">
              <w:rPr>
                <w:vertAlign w:val="superscript"/>
              </w:rPr>
              <w:t>2</w:t>
            </w:r>
            <w:r w:rsidRPr="00D12517">
              <w:t xml:space="preserve"> Komisijas paziņojums Eiropas Parlamentam, Eiropadomei, Padomei, Eiropas Ekonomikas un sociālo lietu komitejai un Reģionu komitejai “Eiropas zaļais kurss”, (COM(2019) 640 </w:t>
            </w:r>
            <w:proofErr w:type="spellStart"/>
            <w:r w:rsidRPr="00D12517">
              <w:t>final</w:t>
            </w:r>
            <w:proofErr w:type="spellEnd"/>
            <w:r w:rsidRPr="00D12517">
              <w:t>, 2019. gada 11. decembris).</w:t>
            </w:r>
          </w:p>
        </w:tc>
        <w:tc>
          <w:tcPr>
            <w:tcW w:w="4876" w:type="dxa"/>
            <w:hideMark/>
          </w:tcPr>
          <w:p w:rsidR="00425DB8" w:rsidRPr="00D12517" w:rsidRDefault="00425DB8" w:rsidP="004B1248">
            <w:pPr>
              <w:pStyle w:val="Normal6"/>
              <w:rPr>
                <w:szCs w:val="24"/>
              </w:rPr>
            </w:pPr>
            <w:r w:rsidRPr="00D12517">
              <w:rPr>
                <w:vertAlign w:val="superscript"/>
              </w:rPr>
              <w:t>2</w:t>
            </w:r>
            <w:r w:rsidRPr="00D12517">
              <w:t xml:space="preserve"> Komisijas paziņojums Eiropas Parlamentam, Eiropadomei, Padomei, Eiropas Ekonomikas un sociālo lietu komitejai un Reģionu komitejai “Eiropas zaļais kurss”, (COM(2019) 640 </w:t>
            </w:r>
            <w:proofErr w:type="spellStart"/>
            <w:r w:rsidRPr="00D12517">
              <w:t>final</w:t>
            </w:r>
            <w:proofErr w:type="spellEnd"/>
            <w:r w:rsidRPr="00D12517">
              <w:t>, 2019. gada 11. decembris).</w:t>
            </w:r>
          </w:p>
        </w:tc>
      </w:tr>
      <w:tr w:rsidR="00425DB8" w:rsidRPr="00D12517" w:rsidTr="004B1248">
        <w:trPr>
          <w:jc w:val="center"/>
        </w:trPr>
        <w:tc>
          <w:tcPr>
            <w:tcW w:w="4876" w:type="dxa"/>
            <w:hideMark/>
          </w:tcPr>
          <w:p w:rsidR="00425DB8" w:rsidRPr="00D12517" w:rsidRDefault="00425DB8" w:rsidP="004B1248">
            <w:pPr>
              <w:pStyle w:val="Normal6"/>
            </w:pPr>
            <w:r w:rsidRPr="00D12517">
              <w:rPr>
                <w:vertAlign w:val="superscript"/>
              </w:rPr>
              <w:t>3</w:t>
            </w:r>
            <w:r w:rsidRPr="00D12517">
              <w:t xml:space="preserve"> Komisijas paziņojums Eiropas Parlamentam, Padomei, Eiropas Ekonomikas un sociālo lietu komitejai un Reģionu komitejai “Ilgtspēju sekmējoša ķimikāliju stratēģija. Ceļā uz vidi, kas </w:t>
            </w:r>
            <w:r w:rsidRPr="00D12517">
              <w:lastRenderedPageBreak/>
              <w:t xml:space="preserve">brīva no </w:t>
            </w:r>
            <w:proofErr w:type="spellStart"/>
            <w:r w:rsidRPr="00D12517">
              <w:t>toksikantiem</w:t>
            </w:r>
            <w:proofErr w:type="spellEnd"/>
            <w:r w:rsidRPr="00D12517">
              <w:t xml:space="preserve">” (COM(2020) 667 </w:t>
            </w:r>
            <w:proofErr w:type="spellStart"/>
            <w:r w:rsidRPr="00D12517">
              <w:t>final</w:t>
            </w:r>
            <w:proofErr w:type="spellEnd"/>
            <w:r w:rsidRPr="00D12517">
              <w:t>, 2020. gada 14. oktobris).</w:t>
            </w:r>
          </w:p>
        </w:tc>
        <w:tc>
          <w:tcPr>
            <w:tcW w:w="4876" w:type="dxa"/>
            <w:hideMark/>
          </w:tcPr>
          <w:p w:rsidR="00425DB8" w:rsidRPr="00D12517" w:rsidRDefault="00425DB8" w:rsidP="004B1248">
            <w:pPr>
              <w:pStyle w:val="Normal6"/>
              <w:rPr>
                <w:szCs w:val="24"/>
              </w:rPr>
            </w:pPr>
            <w:r w:rsidRPr="00D12517">
              <w:rPr>
                <w:vertAlign w:val="superscript"/>
              </w:rPr>
              <w:lastRenderedPageBreak/>
              <w:t>3</w:t>
            </w:r>
            <w:r w:rsidRPr="00D12517">
              <w:t xml:space="preserve"> Komisijas paziņojums Eiropas Parlamentam, Padomei, Eiropas Ekonomikas un sociālo lietu komitejai un Reģionu komitejai “Ilgtspēju sekmējoša ķimikāliju stratēģija. Ceļā uz vidi, kas </w:t>
            </w:r>
            <w:r w:rsidRPr="00D12517">
              <w:lastRenderedPageBreak/>
              <w:t xml:space="preserve">brīva no </w:t>
            </w:r>
            <w:proofErr w:type="spellStart"/>
            <w:r w:rsidRPr="00D12517">
              <w:t>toksikantiem</w:t>
            </w:r>
            <w:proofErr w:type="spellEnd"/>
            <w:r w:rsidRPr="00D12517">
              <w:t xml:space="preserve">” (COM(2020) 667 </w:t>
            </w:r>
            <w:proofErr w:type="spellStart"/>
            <w:r w:rsidRPr="00D12517">
              <w:t>final</w:t>
            </w:r>
            <w:proofErr w:type="spellEnd"/>
            <w:r w:rsidRPr="00D12517">
              <w:t>, 2020. gada 14. oktobris).</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2</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hideMark/>
          </w:tcPr>
          <w:p w:rsidR="00425DB8" w:rsidRPr="00D12517" w:rsidRDefault="00425DB8" w:rsidP="004B1248">
            <w:pPr>
              <w:pStyle w:val="Normal6"/>
            </w:pPr>
            <w:r w:rsidRPr="00D12517">
              <w:t>(2)</w:t>
            </w:r>
            <w:r w:rsidRPr="00D12517">
              <w:tab/>
              <w:t xml:space="preserve">Dažu zinātnisko un tehnisko uzdevumu pārdalīšana Eiropas Ķimikāliju aģentūrai ir nepieciešama, lai zinātniskās pārbaudes un </w:t>
            </w:r>
            <w:proofErr w:type="spellStart"/>
            <w:r w:rsidRPr="00D12517">
              <w:t>digitalizācijas</w:t>
            </w:r>
            <w:proofErr w:type="spellEnd"/>
            <w:r w:rsidRPr="00D12517">
              <w:t xml:space="preserve"> procesus un līmeņus pieskaņotu pašreizējiem Eiropas Ķimikāliju aģentūras standartiem un procesiem. Tā arī nepieciešama, lai nodrošinātu konsekventus zinātniskās kvalitātes, </w:t>
            </w:r>
            <w:proofErr w:type="spellStart"/>
            <w:r w:rsidRPr="00D12517">
              <w:t>pārredzamības</w:t>
            </w:r>
            <w:proofErr w:type="spellEnd"/>
            <w:r w:rsidRPr="00D12517">
              <w:t xml:space="preserve">, datu </w:t>
            </w:r>
            <w:proofErr w:type="spellStart"/>
            <w:r w:rsidRPr="00D12517">
              <w:t>meklējamības</w:t>
            </w:r>
            <w:proofErr w:type="spellEnd"/>
            <w:r w:rsidRPr="00D12517">
              <w:t xml:space="preserve"> un </w:t>
            </w:r>
            <w:proofErr w:type="spellStart"/>
            <w:r w:rsidRPr="00D12517">
              <w:t>sadarbspējas</w:t>
            </w:r>
            <w:proofErr w:type="spellEnd"/>
            <w:r w:rsidRPr="00D12517">
              <w:t xml:space="preserve"> standartus saskaņā ar ieceri “viena viela — viens novērtējums”.</w:t>
            </w:r>
          </w:p>
        </w:tc>
        <w:tc>
          <w:tcPr>
            <w:tcW w:w="4876" w:type="dxa"/>
            <w:hideMark/>
          </w:tcPr>
          <w:p w:rsidR="00425DB8" w:rsidRPr="00D12517" w:rsidRDefault="00425DB8" w:rsidP="004B1248">
            <w:pPr>
              <w:pStyle w:val="Normal6"/>
              <w:rPr>
                <w:szCs w:val="24"/>
              </w:rPr>
            </w:pPr>
            <w:r w:rsidRPr="00D12517">
              <w:t>(2)</w:t>
            </w:r>
            <w:r w:rsidRPr="00D12517">
              <w:tab/>
              <w:t xml:space="preserve">Dažu zinātnisko un tehnisko uzdevumu pārdalīšana Eiropas Ķimikāliju aģentūrai ir nepieciešama, lai zinātniskās pārbaudes un </w:t>
            </w:r>
            <w:proofErr w:type="spellStart"/>
            <w:r w:rsidRPr="00D12517">
              <w:t>digitalizācijas</w:t>
            </w:r>
            <w:proofErr w:type="spellEnd"/>
            <w:r w:rsidRPr="00D12517">
              <w:t xml:space="preserve"> procesus un līmeņus pieskaņotu pašreizējiem Eiropas Ķimikāliju aģentūras standartiem un procesiem. Tā arī nepieciešama, lai nodrošinātu konsekventus zinātniskās kvalitātes, </w:t>
            </w:r>
            <w:proofErr w:type="spellStart"/>
            <w:r w:rsidRPr="00D12517">
              <w:t>pārredzamības</w:t>
            </w:r>
            <w:proofErr w:type="spellEnd"/>
            <w:r w:rsidRPr="00D12517">
              <w:t xml:space="preserve">, datu </w:t>
            </w:r>
            <w:proofErr w:type="spellStart"/>
            <w:r w:rsidRPr="00D12517">
              <w:t>meklējamības</w:t>
            </w:r>
            <w:proofErr w:type="spellEnd"/>
            <w:r w:rsidRPr="00D12517">
              <w:t xml:space="preserve"> un </w:t>
            </w:r>
            <w:proofErr w:type="spellStart"/>
            <w:r w:rsidRPr="00D12517">
              <w:t>sadarbspējas</w:t>
            </w:r>
            <w:proofErr w:type="spellEnd"/>
            <w:r w:rsidRPr="00D12517">
              <w:t xml:space="preserve"> standartus saskaņā ar ieceri “viena viela — viens novērtējums”. </w:t>
            </w:r>
            <w:r w:rsidRPr="00D12517">
              <w:rPr>
                <w:b/>
                <w:i/>
              </w:rPr>
              <w:t xml:space="preserve">Turklāt </w:t>
            </w:r>
            <w:proofErr w:type="spellStart"/>
            <w:r w:rsidRPr="00D12517">
              <w:rPr>
                <w:b/>
                <w:i/>
              </w:rPr>
              <w:t>digitalizācija</w:t>
            </w:r>
            <w:proofErr w:type="spellEnd"/>
            <w:r w:rsidRPr="00D12517">
              <w:rPr>
                <w:b/>
                <w:i/>
              </w:rPr>
              <w:t xml:space="preserve"> un racionalizēti procesi samazinās dublējošos centienus un administratīvo kavēšanos, nodrošinot būtiskus izmaksu ietaupījumus un efektivitātes ieguvumus gan dalībvalstīm, gan uzņēmējiem.</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3</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6.a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r w:rsidRPr="00D12517">
              <w:rPr>
                <w:b/>
                <w:i/>
              </w:rPr>
              <w:t>(6a)</w:t>
            </w:r>
            <w:r w:rsidRPr="00D12517">
              <w:rPr>
                <w:b/>
                <w:i/>
              </w:rPr>
              <w:tab/>
              <w:t xml:space="preserve">Saraksts ar Direktīvā 2011/65/ES minētajām vielām, kuru izmantošana ir ierobežota, būtu periodiski jāpārskata, lai nodrošinātu cilvēka veselības, vides un patērētāju drošības aizsardzības augstu līmeni. Ir lietderīgi noteikt vismaz 36 mēnešu pārskatīšanas periodu, ņemot vērā tirgus attīstību un zinātnes un tehnikas attīstību un to, ka dalībvalstis jebkurā laikā var iesniegt ierobežošanas dokumentāciju, kā arī var ierosināt un pieņemt horizontālus ierobežošanas pasākumus saskaņā ar Regulu (EK) </w:t>
            </w:r>
            <w:r w:rsidRPr="00D12517">
              <w:rPr>
                <w:b/>
                <w:i/>
              </w:rPr>
              <w:lastRenderedPageBreak/>
              <w:t>Nr. 1907/2006, Regulu (ES) 2019/1021 vai citiem Savienības tiesību aktiem par bīstamo vielu un ķimikāliju ilgtspējas kritērijiem.</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4</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hideMark/>
          </w:tcPr>
          <w:p w:rsidR="00425DB8" w:rsidRPr="00D12517" w:rsidRDefault="00425DB8" w:rsidP="004B1248">
            <w:pPr>
              <w:pStyle w:val="Normal6"/>
            </w:pPr>
            <w:r w:rsidRPr="00D12517">
              <w:t>(8)</w:t>
            </w:r>
            <w:r w:rsidRPr="00D12517">
              <w:tab/>
              <w:t xml:space="preserve">Lai Eiropas Ķimikāliju aģentūrai varētu pienācīgi iedalīt resursus un uzdevumus, Direktīvas 2011/65/ES procedūru noteikumu grozīšanai ir vajadzīgs </w:t>
            </w:r>
            <w:r w:rsidRPr="00D12517">
              <w:rPr>
                <w:b/>
                <w:i/>
              </w:rPr>
              <w:t>12</w:t>
            </w:r>
            <w:r w:rsidRPr="00D12517">
              <w:t> mēnešus ilgs pārejas periods. Šis termiņš tiek uzskatīts par pietiekamu, lai potenciālajiem pieteikumu iesniedzējiem vai dalībvalstīm dotu iespēju pielāgoties minētajā direktīvā noteiktajām procedūras soļu izmaiņām.</w:t>
            </w:r>
          </w:p>
        </w:tc>
        <w:tc>
          <w:tcPr>
            <w:tcW w:w="4876" w:type="dxa"/>
            <w:hideMark/>
          </w:tcPr>
          <w:p w:rsidR="00425DB8" w:rsidRPr="00D12517" w:rsidRDefault="00425DB8" w:rsidP="004B1248">
            <w:pPr>
              <w:pStyle w:val="Normal6"/>
              <w:rPr>
                <w:szCs w:val="24"/>
              </w:rPr>
            </w:pPr>
            <w:r w:rsidRPr="00D12517">
              <w:t>(8)</w:t>
            </w:r>
            <w:r w:rsidRPr="00D12517">
              <w:tab/>
              <w:t xml:space="preserve">Lai Eiropas Ķimikāliju aģentūrai varētu pienācīgi iedalīt resursus un uzdevumus, Direktīvas 2011/65/ES procedūru noteikumu grozīšanai ir vajadzīgs </w:t>
            </w:r>
            <w:r w:rsidRPr="00D12517">
              <w:rPr>
                <w:b/>
                <w:i/>
              </w:rPr>
              <w:t>18</w:t>
            </w:r>
            <w:r w:rsidRPr="00D12517">
              <w:t> mēnešus ilgs pārejas periods. Šis termiņš tiek uzskatīts par pietiekamu, lai potenciālajiem pieteikumu iesniedzējiem vai dalībvalstīm dotu iespēju pielāgoties minētajā direktīvā noteiktajām procedūras soļu izmaiņām.</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5</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pants – 1. daļa – 1. punkts – a apakšpunkts</w:t>
      </w:r>
    </w:p>
    <w:p w:rsidR="00425DB8" w:rsidRPr="00D12517" w:rsidRDefault="00425DB8" w:rsidP="00425DB8">
      <w:pPr>
        <w:keepNext/>
      </w:pPr>
      <w:r w:rsidRPr="00D12517">
        <w:t>Direktīva 2011/65/ES</w:t>
      </w:r>
    </w:p>
    <w:p w:rsidR="00425DB8" w:rsidRPr="00D12517" w:rsidRDefault="00425DB8" w:rsidP="00425DB8">
      <w:r w:rsidRPr="00D12517">
        <w:t>5. pants – 4.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hideMark/>
          </w:tcPr>
          <w:p w:rsidR="00425DB8" w:rsidRPr="00D12517" w:rsidRDefault="00425DB8" w:rsidP="004B1248">
            <w:pPr>
              <w:pStyle w:val="Normal6"/>
            </w:pPr>
            <w:r w:rsidRPr="00D12517">
              <w:t xml:space="preserve">Ja pieteikuma iesniedzējs termiņā, kas noteikts saskaņā ar šā punkta pirmās daļas c) apakšpunktu, pieteikumu nepapildina ar trūkstošajiem elementiem, ko norādījusi Aģentūra, ievērojot V pielikumu, Aģentūra šādu pieteikumu </w:t>
            </w:r>
            <w:r w:rsidRPr="00D12517">
              <w:rPr>
                <w:b/>
                <w:i/>
              </w:rPr>
              <w:t>var noraidīt</w:t>
            </w:r>
            <w:r w:rsidRPr="00D12517">
              <w:t>. Aģentūra bez liekas kavēšanās nosaka un pieteikuma iesniedzējam paziņo dienu, no kuras pieteikums tiek uzskatīts par pilnīgi aizpildītu.</w:t>
            </w:r>
          </w:p>
        </w:tc>
        <w:tc>
          <w:tcPr>
            <w:tcW w:w="4876" w:type="dxa"/>
            <w:hideMark/>
          </w:tcPr>
          <w:p w:rsidR="00425DB8" w:rsidRPr="00D12517" w:rsidRDefault="00425DB8" w:rsidP="004B1248">
            <w:pPr>
              <w:pStyle w:val="Normal6"/>
              <w:rPr>
                <w:szCs w:val="24"/>
              </w:rPr>
            </w:pPr>
            <w:r w:rsidRPr="00D12517">
              <w:t xml:space="preserve">Ja pieteikuma iesniedzējs termiņā, kas noteikts saskaņā ar šā punkta pirmās daļas c) apakšpunktu, pieteikumu nepapildina ar trūkstošajiem elementiem, ko norādījusi Aģentūra, ievērojot V pielikumu, Aģentūra šādu pieteikumu </w:t>
            </w:r>
            <w:r w:rsidRPr="00D12517">
              <w:rPr>
                <w:b/>
                <w:i/>
              </w:rPr>
              <w:t>noraida</w:t>
            </w:r>
            <w:r w:rsidRPr="00D12517">
              <w:t>. Aģentūra bez liekas kavēšanās nosaka un pieteikuma iesniedzējam paziņo dienu, no kuras pieteikums tiek uzskatīts par pilnīgi aizpildītu.</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6</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pants – 1. daļa – 1. punkts – b apakšpunkts</w:t>
      </w:r>
    </w:p>
    <w:p w:rsidR="00425DB8" w:rsidRPr="00D12517" w:rsidRDefault="00425DB8" w:rsidP="00425DB8">
      <w:pPr>
        <w:keepNext/>
      </w:pPr>
      <w:r w:rsidRPr="00D12517">
        <w:lastRenderedPageBreak/>
        <w:t>Direktīva 2011/65/ES</w:t>
      </w:r>
    </w:p>
    <w:p w:rsidR="00425DB8" w:rsidRPr="00D12517" w:rsidRDefault="00425DB8" w:rsidP="00425DB8">
      <w:r w:rsidRPr="00D12517">
        <w:t>5. pants – 4.a punkts – 5.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hideMark/>
          </w:tcPr>
          <w:p w:rsidR="00425DB8" w:rsidRPr="00D12517" w:rsidRDefault="00425DB8" w:rsidP="004B1248">
            <w:pPr>
              <w:pStyle w:val="Normal6"/>
            </w:pPr>
            <w:r w:rsidRPr="00D12517">
              <w:t>Aģentūra nosaka, kuras tās atzinumu un to pielikumu daļas būtu jādara publiski pieejamas tās vietnē, un šīs daļas dara publiski pieejamas savā vietnē.</w:t>
            </w:r>
          </w:p>
        </w:tc>
        <w:tc>
          <w:tcPr>
            <w:tcW w:w="4876" w:type="dxa"/>
            <w:hideMark/>
          </w:tcPr>
          <w:p w:rsidR="00425DB8" w:rsidRPr="00D12517" w:rsidRDefault="00425DB8" w:rsidP="004B1248">
            <w:pPr>
              <w:pStyle w:val="Normal6"/>
              <w:rPr>
                <w:szCs w:val="24"/>
              </w:rPr>
            </w:pPr>
            <w:r w:rsidRPr="00D12517">
              <w:t>Aģentūra nosaka, kuras tās atzinumu un to pielikumu daļas būtu jādara publiski pieejamas tās vietnē, un šīs daļas</w:t>
            </w:r>
            <w:r w:rsidRPr="00D12517">
              <w:rPr>
                <w:b/>
                <w:i/>
              </w:rPr>
              <w:t>, tostarp visus pieprasījumus, kas iesniegti saskaņā ar otrās daļas c) apakšpunktu,</w:t>
            </w:r>
            <w:r w:rsidRPr="00D12517">
              <w:t xml:space="preserve"> dara publiski pieejamas savā vietnē.</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7</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 xml:space="preserve">1. pants – 1. daļa – 1. punkts – </w:t>
      </w:r>
      <w:proofErr w:type="spellStart"/>
      <w:r w:rsidRPr="00D12517">
        <w:t>ba</w:t>
      </w:r>
      <w:proofErr w:type="spellEnd"/>
      <w:r w:rsidRPr="00D12517">
        <w:t xml:space="preserve"> apakšpunkts (jauns)</w:t>
      </w:r>
    </w:p>
    <w:p w:rsidR="00425DB8" w:rsidRPr="00D12517" w:rsidRDefault="00425DB8" w:rsidP="00425DB8">
      <w:pPr>
        <w:keepNext/>
      </w:pPr>
      <w:r w:rsidRPr="00D12517">
        <w:t>Direktīva 2011/65/ES</w:t>
      </w:r>
    </w:p>
    <w:p w:rsidR="00425DB8" w:rsidRPr="00D12517" w:rsidRDefault="00425DB8" w:rsidP="00425DB8">
      <w:r w:rsidRPr="00D12517">
        <w:t>5. pants – 5.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Spēkā esošais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proofErr w:type="spellStart"/>
            <w:r w:rsidRPr="00D12517">
              <w:rPr>
                <w:b/>
                <w:i/>
              </w:rPr>
              <w:t>ba</w:t>
            </w:r>
            <w:proofErr w:type="spellEnd"/>
            <w:r w:rsidRPr="00D12517">
              <w:rPr>
                <w:b/>
                <w:i/>
              </w:rPr>
              <w:t>)</w:t>
            </w:r>
            <w:r w:rsidRPr="00D12517">
              <w:rPr>
                <w:b/>
                <w:i/>
              </w:rPr>
              <w:tab/>
              <w:t>panta 5. punktu aizstāj ar šādu:</w:t>
            </w:r>
          </w:p>
        </w:tc>
      </w:tr>
      <w:tr w:rsidR="00425DB8" w:rsidRPr="00D12517" w:rsidTr="004B1248">
        <w:trPr>
          <w:jc w:val="center"/>
        </w:trPr>
        <w:tc>
          <w:tcPr>
            <w:tcW w:w="4876" w:type="dxa"/>
            <w:hideMark/>
          </w:tcPr>
          <w:p w:rsidR="00425DB8" w:rsidRPr="00D12517" w:rsidRDefault="00425DB8" w:rsidP="004B1248">
            <w:pPr>
              <w:pStyle w:val="Normal6"/>
            </w:pPr>
            <w:r w:rsidRPr="00D12517">
              <w:t>5. Pieteikumu par atbrīvojuma pagarināšanu iesniedz ne vēlāk kā 18 mēnešus pirms atbrīvojuma termiņa beigām. Spēkā esošais atbrīvojums paliek spēkā, kamēr Komisija nav pieņēmusi lēmumu par pagarināšanas pieteikumu.</w:t>
            </w:r>
          </w:p>
        </w:tc>
        <w:tc>
          <w:tcPr>
            <w:tcW w:w="4876" w:type="dxa"/>
            <w:hideMark/>
          </w:tcPr>
          <w:p w:rsidR="00425DB8" w:rsidRPr="00D12517" w:rsidRDefault="00425DB8" w:rsidP="004B1248">
            <w:pPr>
              <w:pStyle w:val="Normal6"/>
              <w:rPr>
                <w:szCs w:val="24"/>
              </w:rPr>
            </w:pPr>
            <w:r w:rsidRPr="00D12517">
              <w:t>“5. Pieteikumu par atbrīvojuma pagarināšanu iesniedz ne vēlāk kā 18 mēnešus pirms atbrīvojuma termiņa beigām</w:t>
            </w:r>
            <w:r w:rsidRPr="00D12517">
              <w:rPr>
                <w:b/>
                <w:i/>
              </w:rPr>
              <w:t>.</w:t>
            </w:r>
            <w:r w:rsidRPr="00D12517">
              <w:t xml:space="preserve"> </w:t>
            </w:r>
            <w:r w:rsidRPr="00D12517">
              <w:rPr>
                <w:b/>
                <w:i/>
              </w:rPr>
              <w:t>Komisija lēmumu par pieteikumu pieņem sešu mēnešu laikā pēc Aģentūras atzinumu saņemšanas</w:t>
            </w:r>
            <w:r w:rsidRPr="00D12517">
              <w:t>.</w:t>
            </w:r>
            <w:r w:rsidRPr="00D12517">
              <w:rPr>
                <w:b/>
                <w:i/>
              </w:rPr>
              <w:t xml:space="preserve"> </w:t>
            </w:r>
            <w:r w:rsidRPr="00D12517">
              <w:t>Spēkā esošais atbrīvojums paliek spēkā, kamēr Komisija nav pieņēmusi lēmumu par pagarināšanas pieteikumu.</w:t>
            </w:r>
          </w:p>
        </w:tc>
      </w:tr>
    </w:tbl>
    <w:p w:rsidR="00425DB8" w:rsidRPr="00D12517" w:rsidRDefault="00425DB8" w:rsidP="00425DB8">
      <w:pPr>
        <w:pStyle w:val="AmNumberTabs"/>
      </w:pPr>
      <w:r w:rsidRPr="00D12517">
        <w:t>Grozījums Nr.</w:t>
      </w:r>
      <w:r w:rsidRPr="00D12517">
        <w:tab/>
      </w:r>
      <w:r w:rsidRPr="00D12517">
        <w:tab/>
        <w:t>8</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pants – 1. daļa – 3. punkts – a apakšpunkts</w:t>
      </w:r>
    </w:p>
    <w:p w:rsidR="00425DB8" w:rsidRPr="00D12517" w:rsidRDefault="00425DB8" w:rsidP="00425DB8">
      <w:pPr>
        <w:keepNext/>
      </w:pPr>
      <w:r w:rsidRPr="00D12517">
        <w:t>Direktīva 2011/65/ES</w:t>
      </w:r>
    </w:p>
    <w:p w:rsidR="00425DB8" w:rsidRPr="00D12517" w:rsidRDefault="00425DB8" w:rsidP="00425DB8">
      <w:r w:rsidRPr="00D12517">
        <w:t>6. pants – 1.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hideMark/>
          </w:tcPr>
          <w:p w:rsidR="00425DB8" w:rsidRPr="00D12517" w:rsidRDefault="00425DB8" w:rsidP="004B1248">
            <w:pPr>
              <w:pStyle w:val="Normal6"/>
            </w:pPr>
            <w:r w:rsidRPr="00D12517">
              <w:t xml:space="preserve">Lai sasniegtu 1. pantā noteiktos mērķus un ņemot vērā piesardzības principu, Komisija periodiski pēc savas iniciatīvas vai tad, kad ir iesniegta dalībvalsts sagatavota izmantošanas ierobežošanas </w:t>
            </w:r>
            <w:r w:rsidRPr="00D12517">
              <w:lastRenderedPageBreak/>
              <w:t>dokumentācija, kurā iekļauta 2. punktā minētā informācija, apsver iespēju pārskatīt un grozīt II pielikumā iekļauto ierobežota izmantojuma vielu sarakstu</w:t>
            </w:r>
            <w:r w:rsidRPr="00D12517">
              <w:rPr>
                <w:b/>
                <w:i/>
              </w:rPr>
              <w:t>.</w:t>
            </w:r>
            <w:r w:rsidRPr="00D12517">
              <w:t>;</w:t>
            </w:r>
          </w:p>
        </w:tc>
        <w:tc>
          <w:tcPr>
            <w:tcW w:w="4876" w:type="dxa"/>
            <w:hideMark/>
          </w:tcPr>
          <w:p w:rsidR="00425DB8" w:rsidRPr="00D12517" w:rsidRDefault="00425DB8" w:rsidP="004B1248">
            <w:pPr>
              <w:pStyle w:val="Normal6"/>
              <w:rPr>
                <w:szCs w:val="24"/>
              </w:rPr>
            </w:pPr>
            <w:r w:rsidRPr="00D12517">
              <w:lastRenderedPageBreak/>
              <w:t xml:space="preserve">Lai sasniegtu 1. pantā noteiktos mērķus un ņemot vērā piesardzības principu, Komisija periodiski </w:t>
            </w:r>
            <w:r w:rsidRPr="00D12517">
              <w:rPr>
                <w:b/>
                <w:i/>
              </w:rPr>
              <w:t xml:space="preserve">un vismaz reizi 36 mēnešos </w:t>
            </w:r>
            <w:r w:rsidRPr="00D12517">
              <w:t xml:space="preserve">pēc savas iniciatīvas vai tad, kad ir iesniegta dalībvalsts sagatavota izmantošanas </w:t>
            </w:r>
            <w:r w:rsidRPr="00D12517">
              <w:lastRenderedPageBreak/>
              <w:t>ierobežošanas dokumentācija, kurā iekļauta 2. punktā minētā informācija, apsver iespēju pārskatīt un grozīt II pielikumā iekļauto ierobežota izmantojuma vielu sarakstu;</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9</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pants – 1. daļa – 3. punkts – c apakšpunkts</w:t>
      </w:r>
    </w:p>
    <w:p w:rsidR="00425DB8" w:rsidRPr="00D12517" w:rsidRDefault="00425DB8" w:rsidP="00425DB8">
      <w:pPr>
        <w:keepNext/>
      </w:pPr>
      <w:r w:rsidRPr="00D12517">
        <w:t>Direktīva 2011/65/ES</w:t>
      </w:r>
    </w:p>
    <w:p w:rsidR="00425DB8" w:rsidRPr="00D12517" w:rsidRDefault="00425DB8" w:rsidP="00425DB8">
      <w:r w:rsidRPr="00D12517">
        <w:t>6. pants – 2.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hideMark/>
          </w:tcPr>
          <w:p w:rsidR="00425DB8" w:rsidRPr="00D12517" w:rsidRDefault="00425DB8" w:rsidP="004B1248">
            <w:pPr>
              <w:pStyle w:val="Normal6"/>
            </w:pPr>
            <w:r w:rsidRPr="00D12517">
              <w:t>To II pielikumā iekļauto vielu saraksta pārskatīšanu un grozīšanu, kuru izmantošana ir ierobežota, veic, pamatojoties uz izmantošanas ierobežošanas dokumentāciju, ko pēc Komisijas pieprasījuma sagatavojusi Aģentūra vai ko sagatavojusi dalībvalsts.</w:t>
            </w:r>
          </w:p>
        </w:tc>
        <w:tc>
          <w:tcPr>
            <w:tcW w:w="4876" w:type="dxa"/>
            <w:hideMark/>
          </w:tcPr>
          <w:p w:rsidR="00425DB8" w:rsidRPr="00D12517" w:rsidRDefault="00425DB8" w:rsidP="004B1248">
            <w:pPr>
              <w:pStyle w:val="Normal6"/>
              <w:rPr>
                <w:szCs w:val="24"/>
              </w:rPr>
            </w:pPr>
            <w:r w:rsidRPr="00D12517">
              <w:t xml:space="preserve">To II pielikumā iekļauto vielu </w:t>
            </w:r>
            <w:r w:rsidRPr="00D12517">
              <w:rPr>
                <w:b/>
                <w:i/>
              </w:rPr>
              <w:t xml:space="preserve">vai vielu grupas </w:t>
            </w:r>
            <w:r w:rsidRPr="00D12517">
              <w:t>saraksta pārskatīšanu un grozīšanu, kuru izmantošana ir ierobežota, veic, pamatojoties uz izmantošanas ierobežošanas dokumentāciju, ko pēc Komisijas pieprasījuma sagatavojusi Aģentūra vai ko sagatavojusi dalībvalsts.</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10</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pants – 1. daļa – 3. punkts – c apakšpunkts</w:t>
      </w:r>
    </w:p>
    <w:p w:rsidR="00425DB8" w:rsidRPr="00D12517" w:rsidRDefault="00425DB8" w:rsidP="00425DB8">
      <w:pPr>
        <w:keepNext/>
      </w:pPr>
      <w:r w:rsidRPr="00D12517">
        <w:t>Direktīva 2011/65/ES</w:t>
      </w:r>
    </w:p>
    <w:p w:rsidR="00425DB8" w:rsidRPr="00D12517" w:rsidRDefault="00425DB8" w:rsidP="00425DB8">
      <w:r w:rsidRPr="00D12517">
        <w:t>6. pants – 2.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hideMark/>
          </w:tcPr>
          <w:p w:rsidR="00425DB8" w:rsidRPr="00D12517" w:rsidRDefault="00425DB8" w:rsidP="004B1248">
            <w:pPr>
              <w:pStyle w:val="Normal6"/>
            </w:pPr>
            <w:r w:rsidRPr="00D12517">
              <w:t xml:space="preserve">Aģentūra vai dalībvalsts ņem vērā visu pieejamo informāciju un visus relevantos </w:t>
            </w:r>
            <w:r w:rsidRPr="00D12517">
              <w:rPr>
                <w:b/>
                <w:i/>
              </w:rPr>
              <w:t xml:space="preserve">riska </w:t>
            </w:r>
            <w:r w:rsidRPr="00D12517">
              <w:t xml:space="preserve">novērtējumus, kas iesniegti citu Savienības tiesību aktu vajadzībām un attiecas uz EEI izmantotās vielas aprites </w:t>
            </w:r>
            <w:r w:rsidRPr="00D12517">
              <w:rPr>
                <w:b/>
                <w:i/>
              </w:rPr>
              <w:t>ciklu</w:t>
            </w:r>
            <w:r w:rsidRPr="00D12517">
              <w:t>, it sevišķi atkritumu stadiju. Šajā nolūkā citas struktūras, kas izveidotas saskaņā ar Savienības tiesību aktiem un veic līdzīgu uzdevumu, pēc pieprasījuma sniedz informāciju Aģentūrai vai attiecīgajai dalībvalstij.</w:t>
            </w:r>
          </w:p>
        </w:tc>
        <w:tc>
          <w:tcPr>
            <w:tcW w:w="4876" w:type="dxa"/>
            <w:hideMark/>
          </w:tcPr>
          <w:p w:rsidR="00425DB8" w:rsidRPr="00D12517" w:rsidRDefault="00425DB8" w:rsidP="004B1248">
            <w:pPr>
              <w:pStyle w:val="Normal6"/>
              <w:rPr>
                <w:szCs w:val="24"/>
              </w:rPr>
            </w:pPr>
            <w:r w:rsidRPr="00D12517">
              <w:t xml:space="preserve">Aģentūra vai dalībvalsts ņem vērā visu pieejamo informāciju un visus relevantos novērtējumus, kas iesniegti citu Savienības tiesību aktu vajadzībām un attiecas uz EEI izmantotās vielas aprites </w:t>
            </w:r>
            <w:r w:rsidRPr="00D12517">
              <w:rPr>
                <w:b/>
                <w:i/>
              </w:rPr>
              <w:t>cikla jebkādu daļu</w:t>
            </w:r>
            <w:r w:rsidRPr="00D12517">
              <w:t>, it sevišķi atkritumu stadiju. Šajā nolūkā citas struktūras, kas izveidotas saskaņā ar Savienības tiesību aktiem un veic līdzīgu uzdevumu, pēc pieprasījuma sniedz informāciju Aģentūrai vai attiecīgajai dalībvalstij.</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11</w:t>
      </w:r>
    </w:p>
    <w:p w:rsidR="00425DB8" w:rsidRPr="00D12517" w:rsidRDefault="00425DB8" w:rsidP="00425DB8"/>
    <w:p w:rsidR="00425DB8" w:rsidRPr="00D12517" w:rsidRDefault="00425DB8" w:rsidP="00425DB8">
      <w:pPr>
        <w:pStyle w:val="NormalBold"/>
        <w:keepNext/>
      </w:pPr>
      <w:r w:rsidRPr="00D12517">
        <w:lastRenderedPageBreak/>
        <w:t>Direktīvas priekšlikums</w:t>
      </w:r>
    </w:p>
    <w:p w:rsidR="00425DB8" w:rsidRPr="00D12517" w:rsidRDefault="00425DB8" w:rsidP="00425DB8">
      <w:pPr>
        <w:pStyle w:val="NormalBold"/>
      </w:pPr>
      <w:r w:rsidRPr="00D12517">
        <w:t>1. pants – 1. daļa – 3. punkts – c apakšpunkts</w:t>
      </w:r>
    </w:p>
    <w:p w:rsidR="00425DB8" w:rsidRPr="00D12517" w:rsidRDefault="00425DB8" w:rsidP="00425DB8">
      <w:pPr>
        <w:keepNext/>
      </w:pPr>
      <w:r w:rsidRPr="00D12517">
        <w:t>Direktīva 2011/65/ES</w:t>
      </w:r>
    </w:p>
    <w:p w:rsidR="00425DB8" w:rsidRPr="00D12517" w:rsidRDefault="00425DB8" w:rsidP="00425DB8">
      <w:r w:rsidRPr="00D12517">
        <w:t>6. pants – 2. punkts – 3. daļa – -a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r w:rsidRPr="00D12517">
              <w:rPr>
                <w:b/>
                <w:i/>
              </w:rPr>
              <w:t>-a)</w:t>
            </w:r>
            <w:r w:rsidRPr="00D12517">
              <w:rPr>
                <w:b/>
                <w:i/>
              </w:rPr>
              <w:tab/>
              <w:t>vielas identitāti;</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12</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pants – 1. daļa – 3. punkts – c apakšpunkts</w:t>
      </w:r>
    </w:p>
    <w:p w:rsidR="00425DB8" w:rsidRPr="00D12517" w:rsidRDefault="00425DB8" w:rsidP="00425DB8">
      <w:pPr>
        <w:keepNext/>
      </w:pPr>
      <w:r w:rsidRPr="00D12517">
        <w:t>Direktīva 2011/65/ES</w:t>
      </w:r>
    </w:p>
    <w:p w:rsidR="00425DB8" w:rsidRPr="00D12517" w:rsidRDefault="00425DB8" w:rsidP="00425DB8">
      <w:r w:rsidRPr="00D12517">
        <w:t>6. pants – 2. punkts – 3. daļa – -</w:t>
      </w:r>
      <w:proofErr w:type="spellStart"/>
      <w:r w:rsidRPr="00D12517">
        <w:t>aa</w:t>
      </w:r>
      <w:proofErr w:type="spellEnd"/>
      <w:r w:rsidRPr="00D12517">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r w:rsidRPr="00D12517">
              <w:rPr>
                <w:b/>
                <w:i/>
              </w:rPr>
              <w:t>-</w:t>
            </w:r>
            <w:proofErr w:type="spellStart"/>
            <w:r w:rsidRPr="00D12517">
              <w:rPr>
                <w:b/>
                <w:i/>
              </w:rPr>
              <w:t>aa</w:t>
            </w:r>
            <w:proofErr w:type="spellEnd"/>
            <w:r w:rsidRPr="00D12517">
              <w:rPr>
                <w:b/>
                <w:i/>
              </w:rPr>
              <w:t>)</w:t>
            </w:r>
            <w:r w:rsidRPr="00D12517">
              <w:rPr>
                <w:b/>
                <w:i/>
              </w:rPr>
              <w:tab/>
              <w:t>precīzu un skaidru formulējumu ierosinātā ierobežojuma iekļaušanai II pielikumā;</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13</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pants – 1. daļa – 3. punkts – c apakšpunkts</w:t>
      </w:r>
    </w:p>
    <w:p w:rsidR="00425DB8" w:rsidRPr="00D12517" w:rsidRDefault="00425DB8" w:rsidP="00425DB8">
      <w:pPr>
        <w:keepNext/>
      </w:pPr>
      <w:r w:rsidRPr="00D12517">
        <w:t>Direktīva 2011/65/ES</w:t>
      </w:r>
    </w:p>
    <w:p w:rsidR="00425DB8" w:rsidRPr="00D12517" w:rsidRDefault="00425DB8" w:rsidP="00425DB8">
      <w:r w:rsidRPr="00D12517">
        <w:t>6. pants – 2. punkts – 3. daļa – -</w:t>
      </w:r>
      <w:proofErr w:type="spellStart"/>
      <w:r w:rsidRPr="00D12517">
        <w:t>ab</w:t>
      </w:r>
      <w:proofErr w:type="spellEnd"/>
      <w:r w:rsidRPr="00D12517">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r w:rsidRPr="00D12517">
              <w:rPr>
                <w:b/>
                <w:i/>
              </w:rPr>
              <w:t>-</w:t>
            </w:r>
            <w:proofErr w:type="spellStart"/>
            <w:r w:rsidRPr="00D12517">
              <w:rPr>
                <w:b/>
                <w:i/>
              </w:rPr>
              <w:t>ab</w:t>
            </w:r>
            <w:proofErr w:type="spellEnd"/>
            <w:r w:rsidRPr="00D12517">
              <w:rPr>
                <w:b/>
                <w:i/>
              </w:rPr>
              <w:t>)</w:t>
            </w:r>
            <w:r w:rsidRPr="00D12517">
              <w:rPr>
                <w:b/>
                <w:i/>
              </w:rPr>
              <w:tab/>
              <w:t>atsauces un zinātniskos pierādījumus par ierobežojumu;</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14</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pants – 1. daļa – 3. punkts – c apakšpunkts</w:t>
      </w:r>
    </w:p>
    <w:p w:rsidR="00425DB8" w:rsidRPr="00D12517" w:rsidRDefault="00425DB8" w:rsidP="00425DB8">
      <w:pPr>
        <w:keepNext/>
      </w:pPr>
      <w:r w:rsidRPr="00D12517">
        <w:t>Direktīva 2011/65/ES</w:t>
      </w:r>
    </w:p>
    <w:p w:rsidR="00425DB8" w:rsidRPr="00D12517" w:rsidRDefault="00425DB8" w:rsidP="00425DB8">
      <w:r w:rsidRPr="00D12517">
        <w:t xml:space="preserve">6. pants – 2. punkts – 3. daļa – </w:t>
      </w:r>
      <w:proofErr w:type="spellStart"/>
      <w:r w:rsidRPr="00D12517">
        <w:t>ba</w:t>
      </w:r>
      <w:proofErr w:type="spellEnd"/>
      <w:r w:rsidRPr="00D12517">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proofErr w:type="spellStart"/>
            <w:r w:rsidRPr="00D12517">
              <w:rPr>
                <w:b/>
                <w:i/>
              </w:rPr>
              <w:t>ba</w:t>
            </w:r>
            <w:proofErr w:type="spellEnd"/>
            <w:r w:rsidRPr="00D12517">
              <w:rPr>
                <w:b/>
                <w:i/>
              </w:rPr>
              <w:t>)</w:t>
            </w:r>
            <w:r w:rsidRPr="00D12517">
              <w:rPr>
                <w:b/>
                <w:i/>
              </w:rPr>
              <w:tab/>
              <w:t>informāciju par iespējamiem alternatīviem risinājumiem, to pieejamību un uzticamību;</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15</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pants – 1. daļa – 3. punkts – c apakšpunkts</w:t>
      </w:r>
    </w:p>
    <w:p w:rsidR="00425DB8" w:rsidRPr="00D12517" w:rsidRDefault="00425DB8" w:rsidP="00425DB8">
      <w:pPr>
        <w:keepNext/>
      </w:pPr>
      <w:r w:rsidRPr="00D12517">
        <w:t>Direktīva 2011/65/ES</w:t>
      </w:r>
    </w:p>
    <w:p w:rsidR="00425DB8" w:rsidRPr="00D12517" w:rsidRDefault="00425DB8" w:rsidP="00425DB8">
      <w:r w:rsidRPr="00D12517">
        <w:t xml:space="preserve">6. pants – 2. punkts – 3. daļa – </w:t>
      </w:r>
      <w:proofErr w:type="spellStart"/>
      <w:r w:rsidRPr="00D12517">
        <w:t>bb</w:t>
      </w:r>
      <w:proofErr w:type="spellEnd"/>
      <w:r w:rsidRPr="00D12517">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proofErr w:type="spellStart"/>
            <w:r w:rsidRPr="00D12517">
              <w:rPr>
                <w:b/>
                <w:i/>
              </w:rPr>
              <w:t>bb</w:t>
            </w:r>
            <w:proofErr w:type="spellEnd"/>
            <w:r w:rsidRPr="00D12517">
              <w:rPr>
                <w:b/>
                <w:i/>
              </w:rPr>
              <w:t>)</w:t>
            </w:r>
            <w:r w:rsidRPr="00D12517">
              <w:rPr>
                <w:b/>
                <w:i/>
              </w:rPr>
              <w:tab/>
              <w:t>pamatojumu tam, ka Savienības mēroga ierobežojums uzskatāms par vispiemērotāko pasākumu.</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16</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pants – 1. daļa – 3. punkts – c apakšpunkts</w:t>
      </w:r>
    </w:p>
    <w:p w:rsidR="00425DB8" w:rsidRPr="00D12517" w:rsidRDefault="00425DB8" w:rsidP="00425DB8">
      <w:pPr>
        <w:keepNext/>
      </w:pPr>
      <w:r w:rsidRPr="00D12517">
        <w:t>Direktīva 2011/65/ES</w:t>
      </w:r>
    </w:p>
    <w:p w:rsidR="00425DB8" w:rsidRPr="00D12517" w:rsidRDefault="00425DB8" w:rsidP="00425DB8">
      <w:r w:rsidRPr="00D12517">
        <w:t xml:space="preserve">6. pants – 2. punkts – 3. daļa – </w:t>
      </w:r>
      <w:proofErr w:type="spellStart"/>
      <w:r w:rsidRPr="00D12517">
        <w:t>bc</w:t>
      </w:r>
      <w:proofErr w:type="spellEnd"/>
      <w:r w:rsidRPr="00D12517">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proofErr w:type="spellStart"/>
            <w:r w:rsidRPr="00D12517">
              <w:rPr>
                <w:b/>
                <w:i/>
              </w:rPr>
              <w:t>bc</w:t>
            </w:r>
            <w:proofErr w:type="spellEnd"/>
            <w:r w:rsidRPr="00D12517">
              <w:rPr>
                <w:b/>
                <w:i/>
              </w:rPr>
              <w:t>)</w:t>
            </w:r>
            <w:r w:rsidRPr="00D12517">
              <w:rPr>
                <w:b/>
                <w:i/>
              </w:rPr>
              <w:tab/>
              <w:t>sociālekonomisko novērtējumu.</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17</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1. pants – 1. daļa – 4.a punkts (jauns)</w:t>
      </w:r>
    </w:p>
    <w:p w:rsidR="00425DB8" w:rsidRPr="00D12517" w:rsidRDefault="00425DB8" w:rsidP="00425DB8">
      <w:pPr>
        <w:keepNext/>
      </w:pPr>
      <w:r w:rsidRPr="00D12517">
        <w:t>Direktīva 2011/65/ES</w:t>
      </w:r>
    </w:p>
    <w:p w:rsidR="00425DB8" w:rsidRPr="00D12517" w:rsidRDefault="00425DB8" w:rsidP="00425DB8">
      <w:r w:rsidRPr="00D12517">
        <w:t>20.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r w:rsidRPr="00D12517">
              <w:rPr>
                <w:b/>
                <w:i/>
              </w:rPr>
              <w:t>4</w:t>
            </w:r>
            <w:r w:rsidR="00DC4055">
              <w:rPr>
                <w:b/>
                <w:i/>
              </w:rPr>
              <w:t>.a</w:t>
            </w:r>
            <w:r w:rsidRPr="00D12517">
              <w:rPr>
                <w:b/>
                <w:i/>
              </w:rPr>
              <w:tab/>
              <w:t>direktīvas 20. pantā iekļauj šādu punktu:</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r w:rsidRPr="00D12517">
              <w:rPr>
                <w:b/>
                <w:i/>
              </w:rPr>
              <w:t>“1.a</w:t>
            </w:r>
            <w:r w:rsidRPr="00D12517">
              <w:rPr>
                <w:b/>
                <w:i/>
              </w:rPr>
              <w:tab/>
              <w:t>Pirms deleģētā akta pieņemšanas Komisija apspriežas ar ekspertiem, kurus katra dalībvalsts iecēlusi saskaņā ar principiem, kas noteikti 2016. gada 13. aprīļa Iestāžu nolīgumā par labāku likumdošanas procesu.”</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18</w:t>
      </w:r>
    </w:p>
    <w:p w:rsidR="00425DB8" w:rsidRPr="00D12517" w:rsidRDefault="00425DB8" w:rsidP="00425DB8"/>
    <w:p w:rsidR="00425DB8" w:rsidRPr="00D12517" w:rsidRDefault="00425DB8" w:rsidP="00425DB8">
      <w:pPr>
        <w:pStyle w:val="NormalBold"/>
        <w:keepNext/>
      </w:pPr>
      <w:r w:rsidRPr="00D12517">
        <w:lastRenderedPageBreak/>
        <w:t>Direktīvas priekšlikums</w:t>
      </w:r>
    </w:p>
    <w:p w:rsidR="00425DB8" w:rsidRPr="00D12517" w:rsidRDefault="00425DB8" w:rsidP="00425DB8">
      <w:pPr>
        <w:pStyle w:val="NormalBold"/>
      </w:pPr>
      <w:r w:rsidRPr="00D12517">
        <w:t>1. pants – 1. daļa – 4.b punkts (jauns)</w:t>
      </w:r>
    </w:p>
    <w:p w:rsidR="00425DB8" w:rsidRPr="00D12517" w:rsidRDefault="00425DB8" w:rsidP="00425DB8">
      <w:pPr>
        <w:keepNext/>
      </w:pPr>
      <w:r w:rsidRPr="00D12517">
        <w:t>Direktīva 2011/65/ES</w:t>
      </w:r>
    </w:p>
    <w:p w:rsidR="00425DB8" w:rsidRPr="00D12517" w:rsidRDefault="00425DB8" w:rsidP="00425DB8">
      <w:r w:rsidRPr="00D12517">
        <w:t>24.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r w:rsidRPr="00D12517">
              <w:rPr>
                <w:b/>
                <w:i/>
              </w:rPr>
              <w:t>4</w:t>
            </w:r>
            <w:r w:rsidR="00DC4055">
              <w:rPr>
                <w:b/>
                <w:i/>
              </w:rPr>
              <w:t>.b</w:t>
            </w:r>
            <w:bookmarkStart w:id="6" w:name="_GoBack"/>
            <w:bookmarkEnd w:id="6"/>
            <w:r w:rsidRPr="00D12517">
              <w:rPr>
                <w:b/>
                <w:i/>
              </w:rPr>
              <w:tab/>
              <w:t>direktīvas 24. pantam pievieno šādu punktu:</w:t>
            </w:r>
          </w:p>
        </w:tc>
      </w:tr>
      <w:tr w:rsidR="00425DB8" w:rsidRPr="00D12517" w:rsidTr="004B1248">
        <w:trPr>
          <w:jc w:val="center"/>
        </w:trPr>
        <w:tc>
          <w:tcPr>
            <w:tcW w:w="4876" w:type="dxa"/>
          </w:tcPr>
          <w:p w:rsidR="00425DB8" w:rsidRPr="00D12517" w:rsidRDefault="00425DB8" w:rsidP="004B1248">
            <w:pPr>
              <w:pStyle w:val="Normal6"/>
            </w:pPr>
          </w:p>
        </w:tc>
        <w:tc>
          <w:tcPr>
            <w:tcW w:w="4876" w:type="dxa"/>
            <w:hideMark/>
          </w:tcPr>
          <w:p w:rsidR="00425DB8" w:rsidRPr="00D12517" w:rsidRDefault="00425DB8" w:rsidP="004B1248">
            <w:pPr>
              <w:pStyle w:val="Normal6"/>
              <w:rPr>
                <w:szCs w:val="24"/>
              </w:rPr>
            </w:pPr>
            <w:r w:rsidRPr="00D12517">
              <w:rPr>
                <w:b/>
                <w:i/>
              </w:rPr>
              <w:t>“2.a</w:t>
            </w:r>
            <w:r w:rsidRPr="00D12517">
              <w:rPr>
                <w:b/>
                <w:i/>
              </w:rPr>
              <w:tab/>
              <w:t>Komisija uzrauga situāciju attiecībā uz Eiropas Ķimikāliju aģentūras resursiem un Eiropas Ķimikāliju aģentūras zinātnisko komiteju uzdevumiem, darba apjomu un uzdevumiem, un vajadzības gadījumā iesniedz tiesību akta priekšlikumu, lai atspoguļotu visas Eiropas Ķimikāliju aģentūras vajadzības, kas izriet no šajā regulā noteiktajiem uzdevumiem, un lai uzlabotu tās zinātnisko komiteju pārvaldību.”</w:t>
            </w:r>
          </w:p>
        </w:tc>
      </w:tr>
    </w:tbl>
    <w:p w:rsidR="00425DB8" w:rsidRPr="00D12517" w:rsidRDefault="00425DB8" w:rsidP="00425DB8"/>
    <w:p w:rsidR="00425DB8" w:rsidRPr="00D12517" w:rsidRDefault="00425DB8" w:rsidP="00425DB8">
      <w:pPr>
        <w:pStyle w:val="AmNumberTabs"/>
      </w:pPr>
      <w:r w:rsidRPr="00D12517">
        <w:t>Grozījums Nr.</w:t>
      </w:r>
      <w:r w:rsidRPr="00D12517">
        <w:tab/>
      </w:r>
      <w:r w:rsidRPr="00D12517">
        <w:tab/>
        <w:t>19</w:t>
      </w:r>
    </w:p>
    <w:p w:rsidR="00425DB8" w:rsidRPr="00D12517" w:rsidRDefault="00425DB8" w:rsidP="00425DB8"/>
    <w:p w:rsidR="00425DB8" w:rsidRPr="00D12517" w:rsidRDefault="00425DB8" w:rsidP="00425DB8">
      <w:pPr>
        <w:pStyle w:val="NormalBold"/>
        <w:keepNext/>
      </w:pPr>
      <w:r w:rsidRPr="00D12517">
        <w:t>Direktīvas priekšlikums</w:t>
      </w:r>
    </w:p>
    <w:p w:rsidR="00425DB8" w:rsidRPr="00D12517" w:rsidRDefault="00425DB8" w:rsidP="00425DB8">
      <w:pPr>
        <w:pStyle w:val="NormalBold"/>
      </w:pPr>
      <w:r w:rsidRPr="00D12517">
        <w:t>2.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B8" w:rsidRPr="00D12517" w:rsidTr="004B1248">
        <w:trPr>
          <w:jc w:val="center"/>
        </w:trPr>
        <w:tc>
          <w:tcPr>
            <w:tcW w:w="9752" w:type="dxa"/>
            <w:gridSpan w:val="2"/>
          </w:tcPr>
          <w:p w:rsidR="00425DB8" w:rsidRPr="00D12517" w:rsidRDefault="00425DB8" w:rsidP="004B1248">
            <w:pPr>
              <w:keepNext/>
            </w:pPr>
          </w:p>
        </w:tc>
      </w:tr>
      <w:tr w:rsidR="00425DB8" w:rsidRPr="00D12517" w:rsidTr="004B1248">
        <w:trPr>
          <w:jc w:val="center"/>
        </w:trPr>
        <w:tc>
          <w:tcPr>
            <w:tcW w:w="4876" w:type="dxa"/>
            <w:hideMark/>
          </w:tcPr>
          <w:p w:rsidR="00425DB8" w:rsidRPr="00D12517" w:rsidRDefault="00425DB8" w:rsidP="004B1248">
            <w:pPr>
              <w:pStyle w:val="ColumnHeading"/>
              <w:keepNext/>
            </w:pPr>
            <w:r w:rsidRPr="00D12517">
              <w:t>Komisijas ierosinātais teksts</w:t>
            </w:r>
          </w:p>
        </w:tc>
        <w:tc>
          <w:tcPr>
            <w:tcW w:w="4876" w:type="dxa"/>
            <w:hideMark/>
          </w:tcPr>
          <w:p w:rsidR="00425DB8" w:rsidRPr="00D12517" w:rsidRDefault="00425DB8" w:rsidP="004B1248">
            <w:pPr>
              <w:pStyle w:val="ColumnHeading"/>
              <w:keepNext/>
            </w:pPr>
            <w:r w:rsidRPr="00D12517">
              <w:t>Grozījums</w:t>
            </w:r>
          </w:p>
        </w:tc>
      </w:tr>
      <w:tr w:rsidR="00425DB8" w:rsidRPr="00D12517" w:rsidTr="004B1248">
        <w:trPr>
          <w:jc w:val="center"/>
        </w:trPr>
        <w:tc>
          <w:tcPr>
            <w:tcW w:w="4876" w:type="dxa"/>
            <w:hideMark/>
          </w:tcPr>
          <w:p w:rsidR="00425DB8" w:rsidRPr="00D12517" w:rsidRDefault="00425DB8" w:rsidP="004B1248">
            <w:pPr>
              <w:pStyle w:val="Normal6"/>
            </w:pPr>
            <w:r w:rsidRPr="00D12517">
              <w:t xml:space="preserve">Šīs direktīvas noteikumus piemēro no [OV: </w:t>
            </w:r>
            <w:r w:rsidRPr="00D12517">
              <w:rPr>
                <w:b/>
                <w:i/>
              </w:rPr>
              <w:t>12</w:t>
            </w:r>
            <w:r w:rsidRPr="00D12517">
              <w:t xml:space="preserve"> mēneši pēc šīs direktīvas publicēšanas dienas].</w:t>
            </w:r>
          </w:p>
        </w:tc>
        <w:tc>
          <w:tcPr>
            <w:tcW w:w="4876" w:type="dxa"/>
            <w:hideMark/>
          </w:tcPr>
          <w:p w:rsidR="00425DB8" w:rsidRPr="00D12517" w:rsidRDefault="00425DB8" w:rsidP="004B1248">
            <w:pPr>
              <w:pStyle w:val="Normal6"/>
              <w:rPr>
                <w:szCs w:val="24"/>
              </w:rPr>
            </w:pPr>
            <w:r w:rsidRPr="00D12517">
              <w:t xml:space="preserve">Šīs direktīvas noteikumus piemēro no [OV: </w:t>
            </w:r>
            <w:r w:rsidRPr="00D12517">
              <w:rPr>
                <w:b/>
                <w:i/>
              </w:rPr>
              <w:t>18</w:t>
            </w:r>
            <w:r w:rsidRPr="00D12517">
              <w:t xml:space="preserve"> mēneši pēc šīs direktīvas publicēšanas dienas].</w:t>
            </w:r>
          </w:p>
        </w:tc>
      </w:tr>
    </w:tbl>
    <w:p w:rsidR="00E365E1" w:rsidRPr="00D12517" w:rsidRDefault="00E365E1" w:rsidP="00342E20"/>
    <w:sectPr w:rsidR="00E365E1" w:rsidRPr="00D12517" w:rsidSect="00805B8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E20" w:rsidRPr="00805B88" w:rsidRDefault="00342E20">
      <w:r w:rsidRPr="00805B88">
        <w:separator/>
      </w:r>
    </w:p>
  </w:endnote>
  <w:endnote w:type="continuationSeparator" w:id="0">
    <w:p w:rsidR="00342E20" w:rsidRPr="00805B88" w:rsidRDefault="00342E20">
      <w:r w:rsidRPr="00805B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B8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B8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B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E20" w:rsidRPr="00805B88" w:rsidRDefault="00342E20">
      <w:r w:rsidRPr="00805B88">
        <w:separator/>
      </w:r>
    </w:p>
  </w:footnote>
  <w:footnote w:type="continuationSeparator" w:id="0">
    <w:p w:rsidR="00342E20" w:rsidRPr="00805B88" w:rsidRDefault="00342E20">
      <w:r w:rsidRPr="00805B88">
        <w:continuationSeparator/>
      </w:r>
    </w:p>
  </w:footnote>
  <w:footnote w:id="1">
    <w:p w:rsidR="00DC4055" w:rsidRPr="00DC4055" w:rsidRDefault="00DC4055">
      <w:pPr>
        <w:pStyle w:val="FootnoteText"/>
        <w:rPr>
          <w:sz w:val="24"/>
          <w:szCs w:val="24"/>
          <w:lang w:val="lv-LV"/>
        </w:rPr>
      </w:pPr>
      <w:r>
        <w:rPr>
          <w:rStyle w:val="FootnoteReference"/>
        </w:rPr>
        <w:footnoteRef/>
      </w:r>
      <w:r>
        <w:t xml:space="preserve"> </w:t>
      </w:r>
      <w:r>
        <w:rPr>
          <w:lang w:val="lv-LV"/>
        </w:rPr>
        <w:tab/>
      </w:r>
      <w:proofErr w:type="spellStart"/>
      <w:r w:rsidRPr="00DC4055">
        <w:rPr>
          <w:sz w:val="24"/>
          <w:szCs w:val="24"/>
        </w:rPr>
        <w:t>Jautājumu</w:t>
      </w:r>
      <w:proofErr w:type="spellEnd"/>
      <w:r w:rsidRPr="00DC4055">
        <w:rPr>
          <w:sz w:val="24"/>
          <w:szCs w:val="24"/>
        </w:rPr>
        <w:t xml:space="preserve"> </w:t>
      </w:r>
      <w:proofErr w:type="spellStart"/>
      <w:r w:rsidRPr="00DC4055">
        <w:rPr>
          <w:sz w:val="24"/>
          <w:szCs w:val="24"/>
        </w:rPr>
        <w:t>nodeva</w:t>
      </w:r>
      <w:proofErr w:type="spellEnd"/>
      <w:r w:rsidRPr="00DC4055">
        <w:rPr>
          <w:sz w:val="24"/>
          <w:szCs w:val="24"/>
        </w:rPr>
        <w:t xml:space="preserve"> </w:t>
      </w:r>
      <w:proofErr w:type="spellStart"/>
      <w:r w:rsidRPr="00DC4055">
        <w:rPr>
          <w:sz w:val="24"/>
          <w:szCs w:val="24"/>
        </w:rPr>
        <w:t>atpakaļ</w:t>
      </w:r>
      <w:proofErr w:type="spellEnd"/>
      <w:r w:rsidRPr="00DC4055">
        <w:rPr>
          <w:sz w:val="24"/>
          <w:szCs w:val="24"/>
        </w:rPr>
        <w:t xml:space="preserve"> </w:t>
      </w:r>
      <w:proofErr w:type="spellStart"/>
      <w:r w:rsidRPr="00DC4055">
        <w:rPr>
          <w:sz w:val="24"/>
          <w:szCs w:val="24"/>
        </w:rPr>
        <w:t>atbildīgajai</w:t>
      </w:r>
      <w:proofErr w:type="spellEnd"/>
      <w:r w:rsidRPr="00DC4055">
        <w:rPr>
          <w:sz w:val="24"/>
          <w:szCs w:val="24"/>
        </w:rPr>
        <w:t xml:space="preserve"> </w:t>
      </w:r>
      <w:proofErr w:type="spellStart"/>
      <w:r w:rsidRPr="00DC4055">
        <w:rPr>
          <w:sz w:val="24"/>
          <w:szCs w:val="24"/>
        </w:rPr>
        <w:t>komitejai</w:t>
      </w:r>
      <w:proofErr w:type="spellEnd"/>
      <w:r w:rsidRPr="00DC4055">
        <w:rPr>
          <w:sz w:val="24"/>
          <w:szCs w:val="24"/>
        </w:rPr>
        <w:t xml:space="preserve"> </w:t>
      </w:r>
      <w:proofErr w:type="spellStart"/>
      <w:r w:rsidRPr="00DC4055">
        <w:rPr>
          <w:sz w:val="24"/>
          <w:szCs w:val="24"/>
        </w:rPr>
        <w:t>atkārtotai</w:t>
      </w:r>
      <w:proofErr w:type="spellEnd"/>
      <w:r w:rsidRPr="00DC4055">
        <w:rPr>
          <w:sz w:val="24"/>
          <w:szCs w:val="24"/>
        </w:rPr>
        <w:t xml:space="preserve"> </w:t>
      </w:r>
      <w:proofErr w:type="spellStart"/>
      <w:r w:rsidRPr="00DC4055">
        <w:rPr>
          <w:sz w:val="24"/>
          <w:szCs w:val="24"/>
        </w:rPr>
        <w:t>izskatīšanai</w:t>
      </w:r>
      <w:proofErr w:type="spellEnd"/>
      <w:r w:rsidRPr="00DC4055">
        <w:rPr>
          <w:sz w:val="24"/>
          <w:szCs w:val="24"/>
        </w:rPr>
        <w:t xml:space="preserve"> </w:t>
      </w:r>
      <w:proofErr w:type="spellStart"/>
      <w:r w:rsidRPr="00DC4055">
        <w:rPr>
          <w:sz w:val="24"/>
          <w:szCs w:val="24"/>
        </w:rPr>
        <w:t>saskaņā</w:t>
      </w:r>
      <w:proofErr w:type="spellEnd"/>
      <w:r w:rsidRPr="00DC4055">
        <w:rPr>
          <w:sz w:val="24"/>
          <w:szCs w:val="24"/>
        </w:rPr>
        <w:t xml:space="preserve"> </w:t>
      </w:r>
      <w:proofErr w:type="spellStart"/>
      <w:r w:rsidRPr="00DC4055">
        <w:rPr>
          <w:sz w:val="24"/>
          <w:szCs w:val="24"/>
        </w:rPr>
        <w:t>ar</w:t>
      </w:r>
      <w:proofErr w:type="spellEnd"/>
      <w:r w:rsidRPr="00DC4055">
        <w:rPr>
          <w:sz w:val="24"/>
          <w:szCs w:val="24"/>
        </w:rPr>
        <w:t xml:space="preserve"> </w:t>
      </w:r>
      <w:r>
        <w:rPr>
          <w:sz w:val="24"/>
          <w:szCs w:val="24"/>
        </w:rPr>
        <w:t>60</w:t>
      </w:r>
      <w:r w:rsidRPr="00DC4055">
        <w:rPr>
          <w:sz w:val="24"/>
          <w:szCs w:val="24"/>
        </w:rPr>
        <w:t xml:space="preserve">. </w:t>
      </w:r>
      <w:proofErr w:type="spellStart"/>
      <w:proofErr w:type="gramStart"/>
      <w:r w:rsidRPr="00DC4055">
        <w:rPr>
          <w:sz w:val="24"/>
          <w:szCs w:val="24"/>
        </w:rPr>
        <w:t>panta</w:t>
      </w:r>
      <w:proofErr w:type="spellEnd"/>
      <w:proofErr w:type="gramEnd"/>
      <w:r w:rsidRPr="00DC4055">
        <w:rPr>
          <w:sz w:val="24"/>
          <w:szCs w:val="24"/>
        </w:rPr>
        <w:t xml:space="preserve"> 4. </w:t>
      </w:r>
      <w:proofErr w:type="spellStart"/>
      <w:proofErr w:type="gramStart"/>
      <w:r w:rsidRPr="00DC4055">
        <w:rPr>
          <w:sz w:val="24"/>
          <w:szCs w:val="24"/>
        </w:rPr>
        <w:t>punkta</w:t>
      </w:r>
      <w:proofErr w:type="spellEnd"/>
      <w:proofErr w:type="gramEnd"/>
      <w:r w:rsidRPr="00DC4055">
        <w:rPr>
          <w:sz w:val="24"/>
          <w:szCs w:val="24"/>
        </w:rPr>
        <w:t xml:space="preserve"> </w:t>
      </w:r>
      <w:proofErr w:type="spellStart"/>
      <w:r w:rsidRPr="00DC4055">
        <w:rPr>
          <w:sz w:val="24"/>
          <w:szCs w:val="24"/>
        </w:rPr>
        <w:t>ceturto</w:t>
      </w:r>
      <w:proofErr w:type="spellEnd"/>
      <w:r w:rsidRPr="00DC4055">
        <w:rPr>
          <w:sz w:val="24"/>
          <w:szCs w:val="24"/>
        </w:rPr>
        <w:t xml:space="preserve"> </w:t>
      </w:r>
      <w:proofErr w:type="spellStart"/>
      <w:r w:rsidRPr="00DC4055">
        <w:rPr>
          <w:sz w:val="24"/>
          <w:szCs w:val="24"/>
        </w:rPr>
        <w:t>daļu</w:t>
      </w:r>
      <w:proofErr w:type="spellEnd"/>
      <w:r w:rsidRPr="00DC4055">
        <w:rPr>
          <w:sz w:val="24"/>
          <w:szCs w:val="24"/>
        </w:rPr>
        <w:t xml:space="preserve"> (</w:t>
      </w:r>
      <w:r w:rsidRPr="0023620E">
        <w:rPr>
          <w:sz w:val="24"/>
          <w:szCs w:val="24"/>
          <w:lang w:val="en-GB"/>
        </w:rPr>
        <w:t>A10-0019/2025</w:t>
      </w:r>
      <w:r w:rsidRPr="00DC4055">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B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B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B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LV"/>
    <w:docVar w:name="dvnumam" w:val="19"/>
    <w:docVar w:name="dvpe" w:val="763.254"/>
    <w:docVar w:name="dvrapporteur" w:val="Referents: "/>
    <w:docVar w:name="dvstar" w:val="***I"/>
    <w:docVar w:name="dvtitre" w:val="Eiropas Parlamenta 2025. gada XX. XXX normatīvā rezolūcija par priekšlikumu Eiropas Parlamenta un Padomes direktīvai, ar ko attiecībā uz zinātnisko un tehnisko uzdevumu pārdalīšanu Eiropas Ķimikāliju aģentūrai groza Eiropas Parlamenta un Padomes Direktīvu 2011/65/ES(COM(2023)0781 – C9-0448/2023 – 2023/0454(COD))"/>
  </w:docVars>
  <w:rsids>
    <w:rsidRoot w:val="00342E20"/>
    <w:rsid w:val="00002272"/>
    <w:rsid w:val="00064002"/>
    <w:rsid w:val="000677B9"/>
    <w:rsid w:val="000831BA"/>
    <w:rsid w:val="000A42CC"/>
    <w:rsid w:val="000E7DD9"/>
    <w:rsid w:val="0010095E"/>
    <w:rsid w:val="00125B37"/>
    <w:rsid w:val="00187494"/>
    <w:rsid w:val="001B1204"/>
    <w:rsid w:val="001F32AE"/>
    <w:rsid w:val="002767FF"/>
    <w:rsid w:val="002B18FE"/>
    <w:rsid w:val="002B5493"/>
    <w:rsid w:val="00342E20"/>
    <w:rsid w:val="00343214"/>
    <w:rsid w:val="00361C00"/>
    <w:rsid w:val="00394836"/>
    <w:rsid w:val="00395FA1"/>
    <w:rsid w:val="003E15D4"/>
    <w:rsid w:val="00411CCE"/>
    <w:rsid w:val="0041666E"/>
    <w:rsid w:val="00421060"/>
    <w:rsid w:val="00425DB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5B8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517"/>
    <w:rsid w:val="00D56C11"/>
    <w:rsid w:val="00D834A0"/>
    <w:rsid w:val="00D872DF"/>
    <w:rsid w:val="00D91E21"/>
    <w:rsid w:val="00DA7FCD"/>
    <w:rsid w:val="00DC405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45F69"/>
  <w15:chartTrackingRefBased/>
  <w15:docId w15:val="{7414E903-832D-43C0-8C19-5075C5D2E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25DB8"/>
    <w:rPr>
      <w:b/>
    </w:rPr>
  </w:style>
  <w:style w:type="paragraph" w:customStyle="1" w:styleId="NormalBold12a">
    <w:name w:val="NormalBold12a"/>
    <w:basedOn w:val="Normal"/>
    <w:rsid w:val="00425DB8"/>
    <w:pPr>
      <w:spacing w:after="240"/>
    </w:pPr>
    <w:rPr>
      <w:b/>
    </w:rPr>
  </w:style>
  <w:style w:type="paragraph" w:customStyle="1" w:styleId="NormalHanging12a">
    <w:name w:val="NormalHanging12a"/>
    <w:basedOn w:val="Normal"/>
    <w:rsid w:val="00425DB8"/>
    <w:pPr>
      <w:spacing w:after="240"/>
      <w:ind w:left="567" w:hanging="567"/>
    </w:pPr>
  </w:style>
  <w:style w:type="paragraph" w:customStyle="1" w:styleId="AmNumberTabs">
    <w:name w:val="AmNumberTabs"/>
    <w:basedOn w:val="Normal"/>
    <w:rsid w:val="00425D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425DB8"/>
    <w:pPr>
      <w:spacing w:before="480" w:after="240"/>
    </w:pPr>
  </w:style>
  <w:style w:type="character" w:customStyle="1" w:styleId="Normal6Char">
    <w:name w:val="Normal6 Char"/>
    <w:basedOn w:val="DefaultParagraphFont"/>
    <w:link w:val="Normal6"/>
    <w:locked/>
    <w:rsid w:val="00425DB8"/>
    <w:rPr>
      <w:sz w:val="24"/>
      <w:lang w:val="lv-LV"/>
    </w:rPr>
  </w:style>
  <w:style w:type="paragraph" w:customStyle="1" w:styleId="Normal6">
    <w:name w:val="Normal6"/>
    <w:basedOn w:val="Normal"/>
    <w:link w:val="Normal6Char"/>
    <w:rsid w:val="00425DB8"/>
    <w:pPr>
      <w:spacing w:after="120"/>
    </w:pPr>
  </w:style>
  <w:style w:type="character" w:customStyle="1" w:styleId="NormalBoldChar">
    <w:name w:val="NormalBold Char"/>
    <w:basedOn w:val="DefaultParagraphFont"/>
    <w:link w:val="NormalBold"/>
    <w:locked/>
    <w:rsid w:val="00425DB8"/>
    <w:rPr>
      <w:b/>
      <w:sz w:val="24"/>
      <w:lang w:val="lv-LV"/>
    </w:rPr>
  </w:style>
  <w:style w:type="paragraph" w:customStyle="1" w:styleId="ColumnHeading">
    <w:name w:val="ColumnHeading"/>
    <w:basedOn w:val="Normal"/>
    <w:rsid w:val="00425DB8"/>
    <w:pPr>
      <w:spacing w:after="240"/>
      <w:jc w:val="center"/>
    </w:pPr>
    <w:rPr>
      <w:i/>
    </w:rPr>
  </w:style>
  <w:style w:type="paragraph" w:customStyle="1" w:styleId="CrossRef">
    <w:name w:val="CrossRef"/>
    <w:basedOn w:val="Normal"/>
    <w:rsid w:val="00425DB8"/>
    <w:pPr>
      <w:spacing w:before="240"/>
      <w:jc w:val="center"/>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3BE33-8406-46C1-9834-12B698540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1775</Words>
  <Characters>12562</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2025-04-01T12:54:00Z</dcterms:created>
  <dcterms:modified xsi:type="dcterms:W3CDTF">2025-04-01T12:54:00Z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A10-0019/2025</vt:lpwstr>
  </property>
  <property fmtid="{D5CDD505-2E9C-101B-9397-08002B2CF9AE}" pid="4" name="&lt;Type&gt;">
    <vt:lpwstr>RR</vt:lpwstr>
  </property>
</Properties>
</file>