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3B57" w:rsidTr="0010095E">
        <w:trPr>
          <w:trHeight w:hRule="exact" w:val="1418"/>
        </w:trPr>
        <w:tc>
          <w:tcPr>
            <w:tcW w:w="6804" w:type="dxa"/>
            <w:shd w:val="clear" w:color="auto" w:fill="auto"/>
            <w:vAlign w:val="center"/>
          </w:tcPr>
          <w:p w:rsidR="00751A4A" w:rsidRPr="00F43B57" w:rsidRDefault="004B7DF2" w:rsidP="0010095E">
            <w:pPr>
              <w:pStyle w:val="EPName"/>
            </w:pPr>
            <w:r w:rsidRPr="00F43B57">
              <w:t>Parlament Europejski</w:t>
            </w:r>
          </w:p>
          <w:p w:rsidR="00751A4A" w:rsidRPr="00F43B57" w:rsidRDefault="005F1B17" w:rsidP="005F1B17">
            <w:pPr>
              <w:pStyle w:val="EPTerm"/>
              <w:rPr>
                <w:rStyle w:val="HideTWBExt"/>
                <w:noProof w:val="0"/>
                <w:vanish w:val="0"/>
                <w:color w:val="auto"/>
              </w:rPr>
            </w:pPr>
            <w:r w:rsidRPr="00F43B57">
              <w:t>2024</w:t>
            </w:r>
            <w:r w:rsidR="00817416" w:rsidRPr="00F43B57">
              <w:t>-202</w:t>
            </w:r>
            <w:r w:rsidRPr="00F43B57">
              <w:t>9</w:t>
            </w:r>
          </w:p>
        </w:tc>
        <w:tc>
          <w:tcPr>
            <w:tcW w:w="2268" w:type="dxa"/>
            <w:shd w:val="clear" w:color="auto" w:fill="auto"/>
          </w:tcPr>
          <w:p w:rsidR="00751A4A" w:rsidRPr="00F43B57" w:rsidRDefault="00187494" w:rsidP="0010095E">
            <w:pPr>
              <w:pStyle w:val="EPLogo"/>
            </w:pPr>
            <w:r w:rsidRPr="00F43B5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3B57" w:rsidRDefault="00D058B8" w:rsidP="004C5D52">
      <w:pPr>
        <w:pStyle w:val="LineTop"/>
      </w:pPr>
    </w:p>
    <w:p w:rsidR="00680577" w:rsidRPr="00F43B57" w:rsidRDefault="004B7DF2" w:rsidP="00680577">
      <w:pPr>
        <w:pStyle w:val="EPBodyTA1"/>
      </w:pPr>
      <w:r w:rsidRPr="00F43B57">
        <w:t>TEKSTY PRZYJĘTE</w:t>
      </w:r>
    </w:p>
    <w:p w:rsidR="00D058B8" w:rsidRPr="00F43B57" w:rsidRDefault="00D058B8" w:rsidP="00D058B8">
      <w:pPr>
        <w:pStyle w:val="LineBottom"/>
      </w:pPr>
    </w:p>
    <w:p w:rsidR="004B7DF2" w:rsidRPr="00F43B57" w:rsidRDefault="004B7DF2" w:rsidP="004B7DF2">
      <w:pPr>
        <w:pStyle w:val="ATHeading1"/>
      </w:pPr>
      <w:bookmarkStart w:id="0" w:name="TANumber"/>
      <w:r w:rsidRPr="00F43B57">
        <w:t>P10_TA(2025)00</w:t>
      </w:r>
      <w:bookmarkEnd w:id="0"/>
      <w:r w:rsidR="00270EFA">
        <w:t>46</w:t>
      </w:r>
      <w:bookmarkStart w:id="1" w:name="_GoBack"/>
      <w:bookmarkEnd w:id="1"/>
    </w:p>
    <w:p w:rsidR="004B7DF2" w:rsidRPr="00F43B57" w:rsidRDefault="004B7DF2" w:rsidP="004B7DF2">
      <w:pPr>
        <w:pStyle w:val="ATHeading2"/>
      </w:pPr>
      <w:bookmarkStart w:id="2" w:name="title"/>
      <w:r w:rsidRPr="00F43B57">
        <w:t>Ponowne przydzielenie Europejskiej Agencji Chemikaliów zadań naukowych i technicznych</w:t>
      </w:r>
      <w:bookmarkEnd w:id="2"/>
    </w:p>
    <w:p w:rsidR="004B7DF2" w:rsidRPr="00F43B57" w:rsidRDefault="004B7DF2" w:rsidP="004B7DF2">
      <w:pPr>
        <w:rPr>
          <w:i/>
          <w:vanish/>
        </w:rPr>
      </w:pPr>
      <w:r w:rsidRPr="00F43B57">
        <w:rPr>
          <w:i/>
        </w:rPr>
        <w:fldChar w:fldCharType="begin"/>
      </w:r>
      <w:r w:rsidRPr="00F43B57">
        <w:rPr>
          <w:i/>
        </w:rPr>
        <w:instrText xml:space="preserve"> TC"(</w:instrText>
      </w:r>
      <w:bookmarkStart w:id="3" w:name="DocNumber"/>
      <w:r w:rsidRPr="00F43B57">
        <w:rPr>
          <w:i/>
        </w:rPr>
        <w:instrText>A10-0019/2025</w:instrText>
      </w:r>
      <w:bookmarkEnd w:id="3"/>
      <w:r w:rsidRPr="00F43B57">
        <w:rPr>
          <w:i/>
        </w:rPr>
        <w:instrText xml:space="preserve"> - Sprawozdawca: Dimitris </w:instrText>
      </w:r>
      <w:proofErr w:type="spellStart"/>
      <w:r w:rsidRPr="00F43B57">
        <w:rPr>
          <w:i/>
        </w:rPr>
        <w:instrText>Tsiodras</w:instrText>
      </w:r>
      <w:proofErr w:type="spellEnd"/>
      <w:proofErr w:type="gramStart"/>
      <w:r w:rsidRPr="00F43B57">
        <w:rPr>
          <w:i/>
        </w:rPr>
        <w:instrText>)"\l</w:instrText>
      </w:r>
      <w:proofErr w:type="gramEnd"/>
      <w:r w:rsidRPr="00F43B57">
        <w:rPr>
          <w:i/>
        </w:rPr>
        <w:instrText xml:space="preserve">3 \n&gt; \* MERGEFORMAT </w:instrText>
      </w:r>
      <w:r w:rsidRPr="00F43B57">
        <w:rPr>
          <w:i/>
        </w:rPr>
        <w:fldChar w:fldCharType="end"/>
      </w:r>
    </w:p>
    <w:p w:rsidR="004B7DF2" w:rsidRPr="00F43B57" w:rsidRDefault="004B7DF2" w:rsidP="004B7DF2">
      <w:pPr>
        <w:rPr>
          <w:vanish/>
        </w:rPr>
      </w:pPr>
      <w:bookmarkStart w:id="4" w:name="Commission"/>
      <w:r w:rsidRPr="00F43B57">
        <w:rPr>
          <w:vanish/>
        </w:rPr>
        <w:t>Komisja Ochrony Środowiska Naturalnego, Klimatu i Bezpieczeństwa Żywności</w:t>
      </w:r>
      <w:bookmarkEnd w:id="4"/>
    </w:p>
    <w:p w:rsidR="004B7DF2" w:rsidRPr="00F43B57" w:rsidRDefault="004B7DF2" w:rsidP="004B7DF2">
      <w:pPr>
        <w:rPr>
          <w:vanish/>
        </w:rPr>
      </w:pPr>
      <w:bookmarkStart w:id="5" w:name="PE"/>
      <w:r w:rsidRPr="00F43B57">
        <w:rPr>
          <w:vanish/>
        </w:rPr>
        <w:t>PE763.254</w:t>
      </w:r>
      <w:bookmarkEnd w:id="5"/>
    </w:p>
    <w:p w:rsidR="004B7DF2" w:rsidRPr="00F43B57" w:rsidRDefault="00E7587D" w:rsidP="004B7DF2">
      <w:pPr>
        <w:pStyle w:val="ATHeading3"/>
      </w:pPr>
      <w:bookmarkStart w:id="6" w:name="Sujet"/>
      <w:r>
        <w:t>Poprawki przyjęte przez</w:t>
      </w:r>
      <w:r w:rsidRPr="00661DE2">
        <w:t xml:space="preserve"> Parlament Europejski </w:t>
      </w:r>
      <w:r>
        <w:t>w</w:t>
      </w:r>
      <w:r w:rsidRPr="00661DE2">
        <w:t xml:space="preserve"> dni</w:t>
      </w:r>
      <w:r>
        <w:t>u</w:t>
      </w:r>
      <w:r w:rsidRPr="00661DE2">
        <w:t xml:space="preserve"> </w:t>
      </w:r>
      <w:r w:rsidR="00FE67CA">
        <w:t>1 kwietnia</w:t>
      </w:r>
      <w:r w:rsidR="00257EAF">
        <w:t xml:space="preserve"> </w:t>
      </w:r>
      <w:r w:rsidR="004B7DF2" w:rsidRPr="00F43B57">
        <w:t>2025 r. w sprawie wniosku dotyczącego dyrektywy Parlamentu Europejskiego i Rady zmieniającej dyrektywę Parlamentu Europejskiego i Rady 2011/65/UE w odniesieniu do ponownego przydzielenia Europejskiej Agencji Chemikaliów zadań naukowych i technicznych</w:t>
      </w:r>
      <w:bookmarkEnd w:id="6"/>
      <w:r w:rsidR="004B7DF2" w:rsidRPr="00F43B57">
        <w:t xml:space="preserve"> </w:t>
      </w:r>
      <w:bookmarkStart w:id="7" w:name="References"/>
      <w:r w:rsidR="004B7DF2" w:rsidRPr="00F43B57">
        <w:t>(COM</w:t>
      </w:r>
      <w:proofErr w:type="gramStart"/>
      <w:r w:rsidR="004B7DF2" w:rsidRPr="00F43B57">
        <w:t>(2023)0781 – C</w:t>
      </w:r>
      <w:proofErr w:type="gramEnd"/>
      <w:r w:rsidR="004B7DF2" w:rsidRPr="00F43B57">
        <w:t>9-0448/2023 – 2023/0454(COD))</w:t>
      </w:r>
      <w:bookmarkEnd w:id="7"/>
      <w:r w:rsidR="00270EFA" w:rsidRPr="00CD2102">
        <w:rPr>
          <w:rStyle w:val="FootnoteReference"/>
        </w:rPr>
        <w:footnoteReference w:id="1"/>
      </w:r>
    </w:p>
    <w:p w:rsidR="009607E7" w:rsidRPr="00F43B57" w:rsidRDefault="009607E7" w:rsidP="009607E7">
      <w:pPr>
        <w:pStyle w:val="NormalBold"/>
      </w:pPr>
      <w:r w:rsidRPr="00F43B57">
        <w:t>(Zwykła procedura ustawodawcza: pierwsze czytanie)</w:t>
      </w:r>
    </w:p>
    <w:p w:rsidR="009607E7" w:rsidRPr="00F43B57" w:rsidRDefault="009607E7" w:rsidP="009607E7"/>
    <w:p w:rsidR="009607E7" w:rsidRPr="00F43B57" w:rsidRDefault="009607E7" w:rsidP="009607E7"/>
    <w:p w:rsidR="009607E7" w:rsidRPr="00F43B57" w:rsidRDefault="009607E7" w:rsidP="009607E7">
      <w:pPr>
        <w:pStyle w:val="AmNumberTabs"/>
      </w:pPr>
      <w:r w:rsidRPr="00F43B57">
        <w:t>Poprawka</w:t>
      </w:r>
      <w:r w:rsidRPr="00F43B57">
        <w:tab/>
      </w:r>
      <w:r w:rsidRPr="00F43B57">
        <w:tab/>
        <w:t>1</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Motyw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hideMark/>
          </w:tcPr>
          <w:p w:rsidR="009607E7" w:rsidRPr="00F43B57" w:rsidRDefault="009607E7" w:rsidP="00027336">
            <w:pPr>
              <w:pStyle w:val="Normal6"/>
            </w:pPr>
            <w:proofErr w:type="gramStart"/>
            <w:r w:rsidRPr="00F43B57">
              <w:t>(1)</w:t>
            </w:r>
            <w:r w:rsidRPr="00F43B57">
              <w:tab/>
              <w:t>W</w:t>
            </w:r>
            <w:proofErr w:type="gramEnd"/>
            <w:r w:rsidRPr="00F43B57">
              <w:t xml:space="preserve"> swoim komunikacie „Europejski Zielony Ład”</w:t>
            </w:r>
            <w:r w:rsidRPr="00F43B57">
              <w:rPr>
                <w:vertAlign w:val="superscript"/>
              </w:rPr>
              <w:t>2</w:t>
            </w:r>
            <w:r w:rsidRPr="00F43B57">
              <w:t xml:space="preserve"> Komisja wyznaczyła cel polegający na przejściu, w odniesieniu do ocen bezpieczeństwa chemicznego bezpieczeństwa chemicznego, na podejście „jedna substancja, jedna ocena”, wzywając do wprowadzenia bardziej przejrzystych i prostszych procesów oceny ryzyka w celu zmniejszenia obciążenia wszystkich zainteresowanych stron, przyspieszenia procesu decyzyjnego, a także zwiększenia spójności i przewidywalności decyzji i opinii naukowych. W swoim komunikacie w sprawie strategii w zakresie </w:t>
            </w:r>
            <w:r w:rsidRPr="00F43B57">
              <w:lastRenderedPageBreak/>
              <w:t>chemikaliów na rzecz zrównoważoności</w:t>
            </w:r>
            <w:r w:rsidRPr="00F43B57">
              <w:rPr>
                <w:vertAlign w:val="superscript"/>
              </w:rPr>
              <w:t>3</w:t>
            </w:r>
            <w:r w:rsidRPr="00F43B57">
              <w:t xml:space="preserve"> Komisja stwierdza, że aby osiągnąć ten cel, część prac naukowych i technicznych dotyczących chemikaliów prowadzonych na szczeblu Unii w celu wsparcia prawodawstwa Unii musi zostać ponownie przydzielona najbardziej odpowiednim agencjom UE. Uprościłoby to obecną strukturę, poprawiło jakość i spójność ocen bezpieczeństwa przeprowadzanych na podstawie różnych aktów prawnych Unii oraz zapewniło bardziej efektywne wykorzystanie istniejących zasobów.</w:t>
            </w:r>
          </w:p>
        </w:tc>
        <w:tc>
          <w:tcPr>
            <w:tcW w:w="4876" w:type="dxa"/>
            <w:hideMark/>
          </w:tcPr>
          <w:p w:rsidR="009607E7" w:rsidRPr="00F43B57" w:rsidRDefault="009607E7" w:rsidP="00027336">
            <w:pPr>
              <w:pStyle w:val="Normal6"/>
              <w:rPr>
                <w:szCs w:val="24"/>
              </w:rPr>
            </w:pPr>
            <w:proofErr w:type="gramStart"/>
            <w:r w:rsidRPr="00F43B57">
              <w:lastRenderedPageBreak/>
              <w:t>(1)</w:t>
            </w:r>
            <w:r w:rsidRPr="00F43B57">
              <w:tab/>
              <w:t>W</w:t>
            </w:r>
            <w:proofErr w:type="gramEnd"/>
            <w:r w:rsidRPr="00F43B57">
              <w:t xml:space="preserve"> swoim komunikacie „Europejski Zielony Ład”</w:t>
            </w:r>
            <w:r w:rsidRPr="00F43B57">
              <w:rPr>
                <w:vertAlign w:val="superscript"/>
              </w:rPr>
              <w:t>2</w:t>
            </w:r>
            <w:r w:rsidRPr="00F43B57">
              <w:t xml:space="preserve"> Komisja wyznaczyła cel polegający na przejściu, w odniesieniu do ocen bezpieczeństwa chemicznego bezpieczeństwa chemicznego, na podejście „jedna substancja, jedna ocena”, wzywając do wprowadzenia bardziej przejrzystych i prostszych procesów oceny ryzyka w celu zmniejszenia obciążenia wszystkich zainteresowanych stron, przyspieszenia procesu decyzyjnego, a także zwiększenia spójności i przewidywalności decyzji i opinii naukowych. W swoim komunikacie w sprawie strategii w zakresie </w:t>
            </w:r>
            <w:r w:rsidRPr="00F43B57">
              <w:lastRenderedPageBreak/>
              <w:t>chemikaliów na rzecz zrównoważoności</w:t>
            </w:r>
            <w:r w:rsidRPr="00F43B57">
              <w:rPr>
                <w:vertAlign w:val="superscript"/>
              </w:rPr>
              <w:t>3</w:t>
            </w:r>
            <w:r w:rsidRPr="00F43B57">
              <w:t xml:space="preserve"> Komisja stwierdza, że aby osiągnąć ten cel, część prac naukowych i technicznych dotyczących chemikaliów prowadzonych na szczeblu Unii w celu wsparcia prawodawstwa Unii musi zostać ponownie przydzielona najbardziej odpowiednim agencjom UE. Uprościłoby to obecną strukturę, poprawiło jakość i spójność ocen bezpieczeństwa przeprowadzanych na podstawie różnych aktów prawnych Unii oraz zapewniło bardziej efektywne wykorzystanie istniejących zasobów. </w:t>
            </w:r>
            <w:r w:rsidRPr="00F43B57">
              <w:rPr>
                <w:b/>
                <w:i/>
              </w:rPr>
              <w:t>Oczekuje się również, że podejście to będzie propagowało opłacalność i konkurencyjność dzięki uproszczeniu procedur regulacyjnych, zmniejszeniu obciążeń administracyjnych i dopilnowaniu, by przedsiębiorstwa mogły skutecznie dostosować się do ewoluujących ram regulacyjnych.</w:t>
            </w:r>
          </w:p>
        </w:tc>
      </w:tr>
      <w:tr w:rsidR="009607E7" w:rsidRPr="00F43B57" w:rsidTr="00027336">
        <w:trPr>
          <w:jc w:val="center"/>
        </w:trPr>
        <w:tc>
          <w:tcPr>
            <w:tcW w:w="4876" w:type="dxa"/>
            <w:hideMark/>
          </w:tcPr>
          <w:p w:rsidR="009607E7" w:rsidRPr="00F43B57" w:rsidRDefault="009607E7" w:rsidP="00027336">
            <w:pPr>
              <w:pStyle w:val="Normal6"/>
            </w:pPr>
            <w:r w:rsidRPr="00F43B57">
              <w:lastRenderedPageBreak/>
              <w:t>__________________</w:t>
            </w:r>
          </w:p>
        </w:tc>
        <w:tc>
          <w:tcPr>
            <w:tcW w:w="4876" w:type="dxa"/>
            <w:hideMark/>
          </w:tcPr>
          <w:p w:rsidR="009607E7" w:rsidRPr="00F43B57" w:rsidRDefault="009607E7" w:rsidP="00027336">
            <w:pPr>
              <w:pStyle w:val="Normal6"/>
              <w:rPr>
                <w:szCs w:val="24"/>
              </w:rPr>
            </w:pPr>
            <w:r w:rsidRPr="00F43B57">
              <w:t>__________________</w:t>
            </w:r>
          </w:p>
        </w:tc>
      </w:tr>
      <w:tr w:rsidR="009607E7" w:rsidRPr="00F43B57" w:rsidTr="00027336">
        <w:trPr>
          <w:jc w:val="center"/>
        </w:trPr>
        <w:tc>
          <w:tcPr>
            <w:tcW w:w="4876" w:type="dxa"/>
            <w:hideMark/>
          </w:tcPr>
          <w:p w:rsidR="009607E7" w:rsidRPr="00F43B57" w:rsidRDefault="009607E7" w:rsidP="00027336">
            <w:pPr>
              <w:pStyle w:val="Normal6"/>
            </w:pPr>
            <w:r w:rsidRPr="00F43B57">
              <w:rPr>
                <w:vertAlign w:val="superscript"/>
              </w:rPr>
              <w:t>2</w:t>
            </w:r>
            <w:r w:rsidRPr="00F43B57">
              <w:t xml:space="preserve"> Komunikat Komisji do Parlamentu Europejskiego, Rady Europejskiej, Rady, Komitetu Ekonomiczno-Społecznego i Komitetu Regionów – Europejski Zielony Ład (COM(2019) 640 </w:t>
            </w:r>
            <w:proofErr w:type="spellStart"/>
            <w:r w:rsidRPr="00F43B57">
              <w:t>final</w:t>
            </w:r>
            <w:proofErr w:type="spellEnd"/>
            <w:r w:rsidRPr="00F43B57">
              <w:t xml:space="preserve"> z 11 grudnia 2019 r.). </w:t>
            </w:r>
          </w:p>
        </w:tc>
        <w:tc>
          <w:tcPr>
            <w:tcW w:w="4876" w:type="dxa"/>
            <w:hideMark/>
          </w:tcPr>
          <w:p w:rsidR="009607E7" w:rsidRPr="00F43B57" w:rsidRDefault="009607E7" w:rsidP="00027336">
            <w:pPr>
              <w:pStyle w:val="Normal6"/>
              <w:rPr>
                <w:szCs w:val="24"/>
              </w:rPr>
            </w:pPr>
            <w:r w:rsidRPr="00F43B57">
              <w:rPr>
                <w:vertAlign w:val="superscript"/>
              </w:rPr>
              <w:t>2</w:t>
            </w:r>
            <w:r w:rsidRPr="00F43B57">
              <w:t xml:space="preserve"> Komunikat Komisji do Parlamentu Europejskiego, Rady Europejskiej, Rady, Komitetu Ekonomiczno-Społecznego i Komitetu Regionów – Europejski Zielony Ład (COM(2019) 640 </w:t>
            </w:r>
            <w:proofErr w:type="spellStart"/>
            <w:r w:rsidRPr="00F43B57">
              <w:t>final</w:t>
            </w:r>
            <w:proofErr w:type="spellEnd"/>
            <w:r w:rsidRPr="00F43B57">
              <w:t xml:space="preserve"> z 11 grudnia 2019 r.).</w:t>
            </w:r>
          </w:p>
        </w:tc>
      </w:tr>
      <w:tr w:rsidR="009607E7" w:rsidRPr="00F43B57" w:rsidTr="00027336">
        <w:trPr>
          <w:jc w:val="center"/>
        </w:trPr>
        <w:tc>
          <w:tcPr>
            <w:tcW w:w="4876" w:type="dxa"/>
            <w:hideMark/>
          </w:tcPr>
          <w:p w:rsidR="009607E7" w:rsidRPr="00F43B57" w:rsidRDefault="009607E7" w:rsidP="00027336">
            <w:pPr>
              <w:pStyle w:val="Normal6"/>
            </w:pPr>
            <w:r w:rsidRPr="00F43B57">
              <w:rPr>
                <w:vertAlign w:val="superscript"/>
              </w:rPr>
              <w:t>3</w:t>
            </w:r>
            <w:r w:rsidRPr="00F43B57">
              <w:t xml:space="preserve"> Komunikat Komisji do Parlamentu Europejskiego, Rady, Europejskiego Komitetu Ekonomiczno-Społecznego i Komitetu Regionów: „Strategia w zakresie chemikaliów na rzecz </w:t>
            </w:r>
            <w:proofErr w:type="spellStart"/>
            <w:r w:rsidRPr="00F43B57">
              <w:t>zrównoważoności</w:t>
            </w:r>
            <w:proofErr w:type="spellEnd"/>
            <w:r w:rsidRPr="00F43B57">
              <w:t xml:space="preserve"> na rzecz nietoksycznego środowiska” (COM(2020) 667 </w:t>
            </w:r>
            <w:proofErr w:type="spellStart"/>
            <w:r w:rsidRPr="00F43B57">
              <w:t>final</w:t>
            </w:r>
            <w:proofErr w:type="spellEnd"/>
            <w:r w:rsidRPr="00F43B57">
              <w:t xml:space="preserve"> z dnia 14 października 2020 r.).</w:t>
            </w:r>
          </w:p>
        </w:tc>
        <w:tc>
          <w:tcPr>
            <w:tcW w:w="4876" w:type="dxa"/>
            <w:hideMark/>
          </w:tcPr>
          <w:p w:rsidR="009607E7" w:rsidRPr="00F43B57" w:rsidRDefault="009607E7" w:rsidP="00027336">
            <w:pPr>
              <w:pStyle w:val="Normal6"/>
              <w:rPr>
                <w:szCs w:val="24"/>
              </w:rPr>
            </w:pPr>
            <w:r w:rsidRPr="00F43B57">
              <w:rPr>
                <w:vertAlign w:val="superscript"/>
              </w:rPr>
              <w:t>3</w:t>
            </w:r>
            <w:r w:rsidRPr="00F43B57">
              <w:t xml:space="preserve"> Komunikat Komisji do Parlamentu Europejskiego, Rady, Europejskiego Komitetu Ekonomiczno-Społecznego i Komitetu Regionów: „Strategia w zakresie chemikaliów na rzecz </w:t>
            </w:r>
            <w:proofErr w:type="spellStart"/>
            <w:r w:rsidRPr="00F43B57">
              <w:t>zrównoważoności</w:t>
            </w:r>
            <w:proofErr w:type="spellEnd"/>
            <w:r w:rsidRPr="00F43B57">
              <w:t xml:space="preserve"> na rzecz nietoksycznego środowiska” (COM(2020) 667 </w:t>
            </w:r>
            <w:proofErr w:type="spellStart"/>
            <w:r w:rsidRPr="00F43B57">
              <w:t>final</w:t>
            </w:r>
            <w:proofErr w:type="spellEnd"/>
            <w:r w:rsidRPr="00F43B57">
              <w:t xml:space="preserve"> z dnia 14 października 2020 r.).</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2</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Motyw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hideMark/>
          </w:tcPr>
          <w:p w:rsidR="009607E7" w:rsidRPr="00F43B57" w:rsidRDefault="009607E7" w:rsidP="00027336">
            <w:pPr>
              <w:pStyle w:val="Normal6"/>
            </w:pPr>
            <w:proofErr w:type="gramStart"/>
            <w:r w:rsidRPr="00F43B57">
              <w:t>(2)</w:t>
            </w:r>
            <w:r w:rsidRPr="00F43B57">
              <w:tab/>
              <w:t>Ponowne</w:t>
            </w:r>
            <w:proofErr w:type="gramEnd"/>
            <w:r w:rsidRPr="00F43B57">
              <w:t xml:space="preserve"> przydzielenie niektórych zadań naukowych i technicznych Europejskiej Agencji Chemikaliów jest konieczne do dostosowania procesów </w:t>
            </w:r>
            <w:r w:rsidRPr="00F43B57">
              <w:lastRenderedPageBreak/>
              <w:t>i poziomów kontroli naukowej i cyfryzacji do obecnych norm i procesów Europejskiej Agencji Chemikaliów. Jest to również konieczne w celu zapewnienia spójnego standardu jakości naukowej, przejrzystości, możliwości wyszukiwania danych i interoperacyjności, zgodnie z ambicją „jedna substancja, jedna ocena”.</w:t>
            </w:r>
          </w:p>
        </w:tc>
        <w:tc>
          <w:tcPr>
            <w:tcW w:w="4876" w:type="dxa"/>
            <w:hideMark/>
          </w:tcPr>
          <w:p w:rsidR="009607E7" w:rsidRPr="00F43B57" w:rsidRDefault="009607E7" w:rsidP="00027336">
            <w:pPr>
              <w:pStyle w:val="Normal6"/>
              <w:rPr>
                <w:szCs w:val="24"/>
              </w:rPr>
            </w:pPr>
            <w:proofErr w:type="gramStart"/>
            <w:r w:rsidRPr="00F43B57">
              <w:lastRenderedPageBreak/>
              <w:t>(2)</w:t>
            </w:r>
            <w:r w:rsidRPr="00F43B57">
              <w:tab/>
              <w:t>Ponowne</w:t>
            </w:r>
            <w:proofErr w:type="gramEnd"/>
            <w:r w:rsidRPr="00F43B57">
              <w:t xml:space="preserve"> przydzielenie niektórych zadań naukowych i technicznych Europejskiej Agencji Chemikaliów jest konieczne do dostosowania procesów </w:t>
            </w:r>
            <w:r w:rsidRPr="00F43B57">
              <w:lastRenderedPageBreak/>
              <w:t xml:space="preserve">i poziomów kontroli naukowej i cyfryzacji do obecnych norm i procesów Europejskiej Agencji Chemikaliów. Jest to również konieczne w celu zapewnienia spójnego standardu jakości naukowej, przejrzystości, możliwości wyszukiwania danych i interoperacyjności, zgodnie z ambicją „jedna substancja, jedna ocena”. </w:t>
            </w:r>
            <w:r w:rsidRPr="00F43B57">
              <w:rPr>
                <w:b/>
                <w:i/>
              </w:rPr>
              <w:t>Ponadto cyfryzacja i usprawnione procedury ograniczą powielanie działań i opóźnienia administracyjne, dzięki czemu zarówno państwa członkowskie, jak i podmioty gospodarcze osiągną znaczne oszczędności kosztów i większą wydajność.</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3</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Motyw 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r w:rsidRPr="00F43B57">
              <w:rPr>
                <w:b/>
                <w:i/>
              </w:rPr>
              <w:t>(6a</w:t>
            </w:r>
            <w:proofErr w:type="gramStart"/>
            <w:r w:rsidRPr="00F43B57">
              <w:rPr>
                <w:b/>
                <w:i/>
              </w:rPr>
              <w:t>)</w:t>
            </w:r>
            <w:r w:rsidRPr="00F43B57">
              <w:rPr>
                <w:b/>
                <w:i/>
              </w:rPr>
              <w:tab/>
              <w:t>Wykaz</w:t>
            </w:r>
            <w:proofErr w:type="gramEnd"/>
            <w:r w:rsidRPr="00F43B57">
              <w:rPr>
                <w:b/>
                <w:i/>
              </w:rPr>
              <w:t xml:space="preserve"> substancji objętych ograniczeniami, o którym mowa w dyrektywie 2011/65/UE, należy poddawać okresowym przeglądom, aby zapewnić wysoki poziom ochrony zdrowia ludzkiego, środowiska i bezpieczeństwa konsumentów. Należy ustanowić okres przeglądu wynoszący co najmniej 36 miesięcy, z uwzględnieniem zmian na rynku oraz postępu naukowo-technicznego, a także biorąc pod uwagę, że państwa członkowskie mogą w dowolnym momencie złożyć dokumentację dotyczącą ograniczeń, a horyzontalne środki ograniczające można wprowadzić i przyjąć na mocy rozporządzenia (WE) nr 1907/2006, rozporządzenia (UE) 2019/1021 lub innych przepisów unijnych dotyczących kryteriów </w:t>
            </w:r>
            <w:proofErr w:type="spellStart"/>
            <w:r w:rsidRPr="00F43B57">
              <w:rPr>
                <w:b/>
                <w:i/>
              </w:rPr>
              <w:t>zrównoważoności</w:t>
            </w:r>
            <w:proofErr w:type="spellEnd"/>
            <w:r w:rsidRPr="00F43B57">
              <w:rPr>
                <w:b/>
                <w:i/>
              </w:rPr>
              <w:t xml:space="preserve"> w odniesieniu do substancji niebezpiecznych i chemikaliów.</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4</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hideMark/>
          </w:tcPr>
          <w:p w:rsidR="009607E7" w:rsidRPr="00F43B57" w:rsidRDefault="009607E7" w:rsidP="00027336">
            <w:pPr>
              <w:pStyle w:val="Normal6"/>
            </w:pPr>
            <w:proofErr w:type="gramStart"/>
            <w:r w:rsidRPr="00F43B57">
              <w:t>(8)</w:t>
            </w:r>
            <w:r w:rsidRPr="00F43B57">
              <w:tab/>
              <w:t>Do</w:t>
            </w:r>
            <w:proofErr w:type="gramEnd"/>
            <w:r w:rsidRPr="00F43B57">
              <w:t xml:space="preserve"> celów zmiany przepisów proceduralnych przewidzianych w dyrektywie 2011/65/UE konieczny jest okres przejściowy wynoszący </w:t>
            </w:r>
            <w:r w:rsidRPr="00F43B57">
              <w:rPr>
                <w:b/>
                <w:i/>
              </w:rPr>
              <w:t>12</w:t>
            </w:r>
            <w:r w:rsidRPr="00F43B57">
              <w:t xml:space="preserve"> miesięcy, aby umożliwić Europejskiej Agencji Chemikaliów odpowiednie przydzielenie zasobów i zadań. Okres ten uznaje się za wystarczający, aby umożliwić potencjalnym wnioskodawcom lub państwom członkowskim dostosowanie się do zmienionych etapów proceduralnych przewidzianych w tej dyrektywie.</w:t>
            </w:r>
          </w:p>
        </w:tc>
        <w:tc>
          <w:tcPr>
            <w:tcW w:w="4876" w:type="dxa"/>
            <w:hideMark/>
          </w:tcPr>
          <w:p w:rsidR="009607E7" w:rsidRPr="00F43B57" w:rsidRDefault="009607E7" w:rsidP="00027336">
            <w:pPr>
              <w:pStyle w:val="Normal6"/>
              <w:rPr>
                <w:szCs w:val="24"/>
              </w:rPr>
            </w:pPr>
            <w:proofErr w:type="gramStart"/>
            <w:r w:rsidRPr="00F43B57">
              <w:t>(8)</w:t>
            </w:r>
            <w:r w:rsidRPr="00F43B57">
              <w:tab/>
              <w:t>Do</w:t>
            </w:r>
            <w:proofErr w:type="gramEnd"/>
            <w:r w:rsidRPr="00F43B57">
              <w:t xml:space="preserve"> celów zmiany przepisów proceduralnych przewidzianych w dyrektywie 2011/65/UE konieczny jest okres przejściowy wynoszący </w:t>
            </w:r>
            <w:r w:rsidRPr="00F43B57">
              <w:rPr>
                <w:b/>
                <w:i/>
              </w:rPr>
              <w:t>18</w:t>
            </w:r>
            <w:r w:rsidRPr="00F43B57">
              <w:t xml:space="preserve"> miesięcy, aby umożliwić Europejskiej Agencji Chemikaliów odpowiednie przydzielenie zasobów i zadań. Okres ten uznaje się za wystarczający, aby umożliwić potencjalnym wnioskodawcom lub państwom członkowskim dostosowanie się do zmienionych etapów proceduralnych przewidzianych w tej dyrektywie.</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5</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1 – litera a</w:t>
      </w:r>
    </w:p>
    <w:p w:rsidR="009607E7" w:rsidRPr="00F43B57" w:rsidRDefault="009607E7" w:rsidP="009607E7">
      <w:pPr>
        <w:keepNext/>
      </w:pPr>
      <w:r w:rsidRPr="00F43B57">
        <w:t>Dyrektywa 2011/65/UE</w:t>
      </w:r>
    </w:p>
    <w:p w:rsidR="009607E7" w:rsidRPr="00F43B57" w:rsidRDefault="009607E7" w:rsidP="009607E7">
      <w:r w:rsidRPr="00F43B57">
        <w:t>Artykuł 5 – ustęp 4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hideMark/>
          </w:tcPr>
          <w:p w:rsidR="009607E7" w:rsidRPr="00F43B57" w:rsidRDefault="009607E7" w:rsidP="00027336">
            <w:pPr>
              <w:pStyle w:val="Normal6"/>
            </w:pPr>
            <w:r w:rsidRPr="00F43B57">
              <w:t xml:space="preserve">Jeżeli wnioskodawca nie uzupełni wniosku o brakujące elementy wskazane przez Agencję zgodnie z załącznikiem V w terminie przewidzianym zgodnie z akapitem pierwszym lit. c), Agencja </w:t>
            </w:r>
            <w:r w:rsidRPr="00F43B57">
              <w:rPr>
                <w:b/>
                <w:i/>
              </w:rPr>
              <w:t>może odrzucić</w:t>
            </w:r>
            <w:r w:rsidRPr="00F43B57">
              <w:t xml:space="preserve"> taki wniosek. Agencja bez zbędnej zwłoki ustala i przekazuje wnioskodawcy datę uznania wniosku za kompletny.</w:t>
            </w:r>
          </w:p>
        </w:tc>
        <w:tc>
          <w:tcPr>
            <w:tcW w:w="4876" w:type="dxa"/>
            <w:hideMark/>
          </w:tcPr>
          <w:p w:rsidR="009607E7" w:rsidRPr="00F43B57" w:rsidRDefault="009607E7" w:rsidP="00027336">
            <w:pPr>
              <w:pStyle w:val="Normal6"/>
              <w:rPr>
                <w:szCs w:val="24"/>
              </w:rPr>
            </w:pPr>
            <w:r w:rsidRPr="00F43B57">
              <w:t xml:space="preserve">Jeżeli wnioskodawca nie uzupełni wniosku o brakujące elementy wskazane przez Agencję zgodnie z załącznikiem V w terminie przewidzianym zgodnie z akapitem pierwszym lit. c), Agencja </w:t>
            </w:r>
            <w:r w:rsidRPr="00F43B57">
              <w:rPr>
                <w:b/>
                <w:i/>
              </w:rPr>
              <w:t>odrzuca</w:t>
            </w:r>
            <w:r w:rsidRPr="00F43B57">
              <w:t xml:space="preserve"> taki wniosek. Agencja bez zbędnej zwłoki ustala i przekazuje wnioskodawcy datę uznania wniosku za kompletny.</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6</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1 – litera b</w:t>
      </w:r>
    </w:p>
    <w:p w:rsidR="009607E7" w:rsidRPr="00F43B57" w:rsidRDefault="009607E7" w:rsidP="009607E7">
      <w:pPr>
        <w:keepNext/>
      </w:pPr>
      <w:r w:rsidRPr="00F43B57">
        <w:t>Dyrektywa 2011/65/UE</w:t>
      </w:r>
    </w:p>
    <w:p w:rsidR="009607E7" w:rsidRPr="00F43B57" w:rsidRDefault="009607E7" w:rsidP="009607E7">
      <w:r w:rsidRPr="00F43B57">
        <w:t>Artykuł 5 – ustęp 4 a – akapit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hideMark/>
          </w:tcPr>
          <w:p w:rsidR="009607E7" w:rsidRPr="00F43B57" w:rsidRDefault="009607E7" w:rsidP="00027336">
            <w:pPr>
              <w:pStyle w:val="Normal6"/>
            </w:pPr>
            <w:r w:rsidRPr="00F43B57">
              <w:t xml:space="preserve">Agencja określa części swoich opinii i wszelkich załączników do nich, które powinny być udostępnione publicznie na jej stronie internetowej, oraz podaje te </w:t>
            </w:r>
            <w:r w:rsidRPr="00F43B57">
              <w:lastRenderedPageBreak/>
              <w:t>części do wiadomości publicznej na swojej stronie internetowej.</w:t>
            </w:r>
          </w:p>
        </w:tc>
        <w:tc>
          <w:tcPr>
            <w:tcW w:w="4876" w:type="dxa"/>
            <w:hideMark/>
          </w:tcPr>
          <w:p w:rsidR="009607E7" w:rsidRPr="00F43B57" w:rsidRDefault="009607E7" w:rsidP="00027336">
            <w:pPr>
              <w:pStyle w:val="Normal6"/>
              <w:rPr>
                <w:szCs w:val="24"/>
              </w:rPr>
            </w:pPr>
            <w:r w:rsidRPr="00F43B57">
              <w:lastRenderedPageBreak/>
              <w:t xml:space="preserve">Agencja określa części swoich opinii i wszelkich załączników do nich, które powinny być udostępnione publicznie na jej stronie internetowej, oraz podaje te </w:t>
            </w:r>
            <w:r w:rsidRPr="00F43B57">
              <w:lastRenderedPageBreak/>
              <w:t>części do wiadomości publicznej na swojej stronie internetowej</w:t>
            </w:r>
            <w:r w:rsidRPr="00F43B57">
              <w:rPr>
                <w:b/>
                <w:i/>
              </w:rPr>
              <w:t>, w tym wnioski złożone zgodnie z akapitem drugim lit. c)</w:t>
            </w:r>
            <w:r w:rsidRPr="00F43B57">
              <w:t>.</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7</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1 – litera b a (nowa)</w:t>
      </w:r>
    </w:p>
    <w:p w:rsidR="009607E7" w:rsidRPr="00F43B57" w:rsidRDefault="009607E7" w:rsidP="009607E7">
      <w:pPr>
        <w:keepNext/>
      </w:pPr>
      <w:r w:rsidRPr="00F43B57">
        <w:t>Dyrektywa 2011/65/UE</w:t>
      </w:r>
    </w:p>
    <w:p w:rsidR="009607E7" w:rsidRPr="00F43B57" w:rsidRDefault="009607E7" w:rsidP="009607E7">
      <w:r w:rsidRPr="00F43B57">
        <w:t>Artykuł 5 – ustęp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obowiązujący</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r w:rsidRPr="00F43B57">
              <w:rPr>
                <w:b/>
                <w:i/>
              </w:rPr>
              <w:t>ba</w:t>
            </w:r>
            <w:proofErr w:type="gramStart"/>
            <w:r w:rsidRPr="00F43B57">
              <w:rPr>
                <w:b/>
                <w:i/>
              </w:rPr>
              <w:t>)</w:t>
            </w:r>
            <w:r w:rsidRPr="00F43B57">
              <w:rPr>
                <w:b/>
                <w:i/>
              </w:rPr>
              <w:tab/>
              <w:t>ust</w:t>
            </w:r>
            <w:proofErr w:type="gramEnd"/>
            <w:r w:rsidRPr="00F43B57">
              <w:rPr>
                <w:b/>
                <w:i/>
              </w:rPr>
              <w:t>. 5 otrzymuje brzmienie:</w:t>
            </w:r>
          </w:p>
        </w:tc>
      </w:tr>
      <w:tr w:rsidR="009607E7" w:rsidRPr="00F43B57" w:rsidTr="00027336">
        <w:trPr>
          <w:jc w:val="center"/>
        </w:trPr>
        <w:tc>
          <w:tcPr>
            <w:tcW w:w="4876" w:type="dxa"/>
            <w:hideMark/>
          </w:tcPr>
          <w:p w:rsidR="009607E7" w:rsidRPr="00F43B57" w:rsidRDefault="009607E7" w:rsidP="00027336">
            <w:pPr>
              <w:pStyle w:val="Normal6"/>
            </w:pPr>
            <w:r w:rsidRPr="00F43B57">
              <w:t>5. Wniosek o przedłużenie wyłączenia musi zostać złożony nie później niż 18 miesięcy przed datą wygaśnięcia wyłączenia. Dane wyłączenie pozostaje ważne do momentu podjęcia przez Komisję decyzji dotyczącej wniosku o przedłużenie.”;</w:t>
            </w:r>
          </w:p>
        </w:tc>
        <w:tc>
          <w:tcPr>
            <w:tcW w:w="4876" w:type="dxa"/>
            <w:hideMark/>
          </w:tcPr>
          <w:p w:rsidR="009607E7" w:rsidRPr="00F43B57" w:rsidRDefault="009607E7" w:rsidP="00027336">
            <w:pPr>
              <w:pStyle w:val="Normal6"/>
              <w:rPr>
                <w:szCs w:val="24"/>
              </w:rPr>
            </w:pPr>
            <w:r w:rsidRPr="00F43B57">
              <w:t xml:space="preserve">„5. Wniosek o przedłużenie wyłączenia musi zostać złożony nie później niż 18 miesięcy przed datą wygaśnięcia wyłączenia. </w:t>
            </w:r>
            <w:r w:rsidRPr="00F43B57">
              <w:rPr>
                <w:b/>
                <w:bCs/>
                <w:i/>
                <w:iCs/>
              </w:rPr>
              <w:t>Komisja przyjmuje decyzję dotyczącą wniosku w ciągu sześciu miesięcy od otrzymania opinii od Agencji</w:t>
            </w:r>
            <w:r w:rsidRPr="00F43B57">
              <w:t>.</w:t>
            </w:r>
            <w:r w:rsidRPr="00F43B57">
              <w:rPr>
                <w:b/>
                <w:i/>
              </w:rPr>
              <w:t xml:space="preserve"> </w:t>
            </w:r>
            <w:r w:rsidRPr="00F43B57">
              <w:t>Dane wyłączenie pozostaje ważne do momentu podjęcia przez Komisję decyzji dotyczącej wniosku o przedłużenie.”;</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8</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3 – litera a</w:t>
      </w:r>
    </w:p>
    <w:p w:rsidR="009607E7" w:rsidRPr="00F43B57" w:rsidRDefault="009607E7" w:rsidP="009607E7">
      <w:pPr>
        <w:keepNext/>
      </w:pPr>
      <w:r w:rsidRPr="00F43B57">
        <w:t>Dyrektywa 2011/65/UE</w:t>
      </w:r>
    </w:p>
    <w:p w:rsidR="009607E7" w:rsidRPr="00F43B57" w:rsidRDefault="009607E7" w:rsidP="009607E7">
      <w:r w:rsidRPr="00F43B57">
        <w:t>Artykuł 6 – ustęp 1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hideMark/>
          </w:tcPr>
          <w:p w:rsidR="009607E7" w:rsidRPr="00F43B57" w:rsidRDefault="009607E7" w:rsidP="00027336">
            <w:pPr>
              <w:pStyle w:val="Normal6"/>
            </w:pPr>
            <w:r w:rsidRPr="00F43B57">
              <w:t>„W celu osiągnięcia celów określonych w art. 1 i biorąc pod uwagę zasadę ostrożności, przegląd, oparty na dogłębnej analizie, i zmiana wykazu substancji objętych ograniczeniem w załączniku II są rozpatrywane przez Komisję okresowo z własnej inicjatywy lub po przekazaniu sporządzonej przez państwo członkowskie dokumentacji w sprawie ograniczeń zawierającej informacje, o których mowa w ust. 2.”;</w:t>
            </w:r>
          </w:p>
        </w:tc>
        <w:tc>
          <w:tcPr>
            <w:tcW w:w="4876" w:type="dxa"/>
            <w:hideMark/>
          </w:tcPr>
          <w:p w:rsidR="009607E7" w:rsidRPr="00F43B57" w:rsidRDefault="009607E7" w:rsidP="00027336">
            <w:pPr>
              <w:pStyle w:val="Normal6"/>
              <w:rPr>
                <w:szCs w:val="24"/>
              </w:rPr>
            </w:pPr>
            <w:r w:rsidRPr="00F43B57">
              <w:t xml:space="preserve">„W celu osiągnięcia celów określonych w art. 1 i biorąc pod uwagę zasadę ostrożności, przegląd, oparty na dogłębnej analizie, i zmiana wykazu substancji objętych ograniczeniem w załączniku II są rozpatrywane przez Komisję okresowo </w:t>
            </w:r>
            <w:r w:rsidRPr="00F43B57">
              <w:rPr>
                <w:b/>
                <w:i/>
              </w:rPr>
              <w:t xml:space="preserve">i przynajmniej co 36 miesięcy </w:t>
            </w:r>
            <w:r w:rsidRPr="00F43B57">
              <w:t>z własnej inicjatywy lub po przekazaniu sporządzonej przez państwo członkowskie dokumentacji w sprawie ograniczeń zawierającej informacje, o których mowa w ust. 2.”;</w:t>
            </w:r>
          </w:p>
        </w:tc>
      </w:tr>
    </w:tbl>
    <w:p w:rsidR="009607E7" w:rsidRPr="00F43B57" w:rsidRDefault="009607E7" w:rsidP="009607E7"/>
    <w:p w:rsidR="009607E7" w:rsidRPr="00F43B57" w:rsidRDefault="009607E7" w:rsidP="009607E7">
      <w:pPr>
        <w:pStyle w:val="AmNumberTabs"/>
      </w:pPr>
      <w:r w:rsidRPr="00F43B57">
        <w:lastRenderedPageBreak/>
        <w:t>Poprawka</w:t>
      </w:r>
      <w:r w:rsidRPr="00F43B57">
        <w:tab/>
      </w:r>
      <w:r w:rsidRPr="00F43B57">
        <w:tab/>
        <w:t>9</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3 – litera c</w:t>
      </w:r>
    </w:p>
    <w:p w:rsidR="009607E7" w:rsidRPr="00F43B57" w:rsidRDefault="009607E7" w:rsidP="009607E7">
      <w:pPr>
        <w:keepNext/>
      </w:pPr>
      <w:r w:rsidRPr="00F43B57">
        <w:t>Dyrektywa 2011/65/UE</w:t>
      </w:r>
    </w:p>
    <w:p w:rsidR="009607E7" w:rsidRPr="00F43B57" w:rsidRDefault="009607E7" w:rsidP="009607E7">
      <w:r w:rsidRPr="00F43B57">
        <w:t>Artykuł 6 – ustęp 2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hideMark/>
          </w:tcPr>
          <w:p w:rsidR="009607E7" w:rsidRPr="00F43B57" w:rsidRDefault="009607E7" w:rsidP="00027336">
            <w:pPr>
              <w:pStyle w:val="Normal6"/>
            </w:pPr>
            <w:r w:rsidRPr="00F43B57">
              <w:t>Przegląd i zmiana wykazu substancji objętych ograniczeniami w załączniku II opierają się na dokumentacji w sprawie ograniczeń sporządzonej przez Agencję na wniosek Komisji lub sporządzonej przez państwo członkowskie.</w:t>
            </w:r>
          </w:p>
        </w:tc>
        <w:tc>
          <w:tcPr>
            <w:tcW w:w="4876" w:type="dxa"/>
            <w:hideMark/>
          </w:tcPr>
          <w:p w:rsidR="009607E7" w:rsidRPr="00F43B57" w:rsidRDefault="009607E7" w:rsidP="00027336">
            <w:pPr>
              <w:pStyle w:val="Normal6"/>
              <w:rPr>
                <w:szCs w:val="24"/>
              </w:rPr>
            </w:pPr>
            <w:r w:rsidRPr="00F43B57">
              <w:t xml:space="preserve">Przegląd i zmiana wykazu substancji </w:t>
            </w:r>
            <w:r w:rsidRPr="00F43B57">
              <w:rPr>
                <w:b/>
                <w:i/>
              </w:rPr>
              <w:t xml:space="preserve">lub grupy substancji </w:t>
            </w:r>
            <w:r w:rsidRPr="00F43B57">
              <w:t>objętych ograniczeniami w załączniku II opierają się na dokumentacji w sprawie ograniczeń sporządzonej przez Agencję na wniosek Komisji lub sporządzonej przez państwo członkowskie.</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10</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3 – litera c</w:t>
      </w:r>
    </w:p>
    <w:p w:rsidR="009607E7" w:rsidRPr="00F43B57" w:rsidRDefault="009607E7" w:rsidP="009607E7">
      <w:pPr>
        <w:keepNext/>
      </w:pPr>
      <w:r w:rsidRPr="00F43B57">
        <w:t>Dyrektywa 2011/65/UE</w:t>
      </w:r>
    </w:p>
    <w:p w:rsidR="009607E7" w:rsidRPr="00F43B57" w:rsidRDefault="009607E7" w:rsidP="009607E7">
      <w:r w:rsidRPr="00F43B57">
        <w:t>Artykuł 6 – ustęp 2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hideMark/>
          </w:tcPr>
          <w:p w:rsidR="009607E7" w:rsidRPr="00F43B57" w:rsidRDefault="009607E7" w:rsidP="00027336">
            <w:pPr>
              <w:pStyle w:val="Normal6"/>
            </w:pPr>
            <w:r w:rsidRPr="00F43B57">
              <w:t xml:space="preserve">Agencja lub państwo członkowskie uwzględnia także wszelkie dostępne informacje i wszelkie istotne oceny </w:t>
            </w:r>
            <w:r w:rsidRPr="00F43B57">
              <w:rPr>
                <w:b/>
                <w:i/>
              </w:rPr>
              <w:t xml:space="preserve">ryzyka </w:t>
            </w:r>
            <w:r w:rsidRPr="00F43B57">
              <w:t>przedłożone Agencji do celów innych przepisów Unii dotyczących cyklu życia substancji stosowanej w EEE, w szczególności na etapie odpadu. W tym celu inne jednostki utworzone na mocy prawa Unii i wykonujące podobne zadania przekazują informacje Agencji lub odpowiedniemu państwu członkowskiemu na ich prośbę.</w:t>
            </w:r>
          </w:p>
        </w:tc>
        <w:tc>
          <w:tcPr>
            <w:tcW w:w="4876" w:type="dxa"/>
            <w:hideMark/>
          </w:tcPr>
          <w:p w:rsidR="009607E7" w:rsidRPr="00F43B57" w:rsidRDefault="009607E7" w:rsidP="00027336">
            <w:pPr>
              <w:pStyle w:val="Normal6"/>
              <w:rPr>
                <w:szCs w:val="24"/>
              </w:rPr>
            </w:pPr>
            <w:r w:rsidRPr="00F43B57">
              <w:t>Agencja lub państwo członkowskie uwzględnia także wszelkie dostępne informacje i wszelkie istotne oceny przedłożone Agencji do celów innych przepisów Unii dotyczących</w:t>
            </w:r>
            <w:r w:rsidRPr="00F43B57">
              <w:rPr>
                <w:b/>
                <w:i/>
              </w:rPr>
              <w:t xml:space="preserve"> wszelkich części</w:t>
            </w:r>
            <w:r w:rsidRPr="00F43B57">
              <w:t xml:space="preserve"> cyklu życia substancji stosowanej w EEE, w szczególności na etapie odpadu. W tym celu inne jednostki utworzone na mocy prawa Unii i wykonujące podobne zadania przekazują informacje Agencji lub odpowiedniemu państwu członkowskiemu na ich prośbę.</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11</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3 – litera c</w:t>
      </w:r>
    </w:p>
    <w:p w:rsidR="009607E7" w:rsidRPr="00F43B57" w:rsidRDefault="009607E7" w:rsidP="009607E7">
      <w:pPr>
        <w:keepNext/>
      </w:pPr>
      <w:r w:rsidRPr="00F43B57">
        <w:t>Dyrektywa 2011/65/UE</w:t>
      </w:r>
    </w:p>
    <w:p w:rsidR="009607E7" w:rsidRPr="00F43B57" w:rsidRDefault="009607E7" w:rsidP="009607E7">
      <w:r w:rsidRPr="00F43B57">
        <w:t>Artykuł 6 – ustęp 2 – akapit 3 – litera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r w:rsidRPr="00F43B57">
              <w:rPr>
                <w:b/>
                <w:i/>
              </w:rPr>
              <w:t>-a</w:t>
            </w:r>
            <w:proofErr w:type="gramStart"/>
            <w:r w:rsidRPr="00F43B57">
              <w:rPr>
                <w:b/>
                <w:i/>
              </w:rPr>
              <w:t>)</w:t>
            </w:r>
            <w:r w:rsidRPr="00F43B57">
              <w:rPr>
                <w:b/>
                <w:i/>
              </w:rPr>
              <w:tab/>
              <w:t>właściwości</w:t>
            </w:r>
            <w:proofErr w:type="gramEnd"/>
            <w:r w:rsidRPr="00F43B57">
              <w:rPr>
                <w:b/>
                <w:i/>
              </w:rPr>
              <w:t xml:space="preserve"> substancji;</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12</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3 – litera c</w:t>
      </w:r>
    </w:p>
    <w:p w:rsidR="009607E7" w:rsidRPr="00F43B57" w:rsidRDefault="009607E7" w:rsidP="009607E7">
      <w:pPr>
        <w:keepNext/>
      </w:pPr>
      <w:r w:rsidRPr="00F43B57">
        <w:t>Dyrektywa 2011/65/UE</w:t>
      </w:r>
    </w:p>
    <w:p w:rsidR="009607E7" w:rsidRPr="00F43B57" w:rsidRDefault="009607E7" w:rsidP="009607E7">
      <w:r w:rsidRPr="00F43B57">
        <w:t xml:space="preserve">Artykuł 6 – ustęp 2 – akapit 3 – litera -a </w:t>
      </w:r>
      <w:proofErr w:type="spellStart"/>
      <w:r w:rsidRPr="00F43B57">
        <w:t>a</w:t>
      </w:r>
      <w:proofErr w:type="spellEnd"/>
      <w:r w:rsidRPr="00F43B57">
        <w:t xml:space="preserv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r w:rsidRPr="00F43B57">
              <w:rPr>
                <w:b/>
                <w:i/>
              </w:rPr>
              <w:t>-aa</w:t>
            </w:r>
            <w:proofErr w:type="gramStart"/>
            <w:r w:rsidRPr="00F43B57">
              <w:rPr>
                <w:b/>
                <w:i/>
              </w:rPr>
              <w:t>)</w:t>
            </w:r>
            <w:r w:rsidRPr="00F43B57">
              <w:rPr>
                <w:b/>
                <w:i/>
              </w:rPr>
              <w:tab/>
              <w:t>precyzyjne</w:t>
            </w:r>
            <w:proofErr w:type="gramEnd"/>
            <w:r w:rsidRPr="00F43B57">
              <w:rPr>
                <w:b/>
                <w:i/>
              </w:rPr>
              <w:t xml:space="preserve"> i zrozumiałe sformułowanie zapisu proponowanego ograniczenia w załączniku II;</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13</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3 – litera c</w:t>
      </w:r>
    </w:p>
    <w:p w:rsidR="009607E7" w:rsidRPr="00F43B57" w:rsidRDefault="009607E7" w:rsidP="009607E7">
      <w:pPr>
        <w:keepNext/>
      </w:pPr>
      <w:r w:rsidRPr="00F43B57">
        <w:t>Dyrektywa 2011/65/UE</w:t>
      </w:r>
    </w:p>
    <w:p w:rsidR="009607E7" w:rsidRPr="00F43B57" w:rsidRDefault="009607E7" w:rsidP="009607E7">
      <w:r w:rsidRPr="00F43B57">
        <w:t>Artykuł 6 – ustęp 2 – akapit 3 – litera -a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r w:rsidRPr="00F43B57">
              <w:rPr>
                <w:b/>
                <w:i/>
              </w:rPr>
              <w:t>-ab</w:t>
            </w:r>
            <w:proofErr w:type="gramStart"/>
            <w:r w:rsidRPr="00F43B57">
              <w:rPr>
                <w:b/>
                <w:i/>
              </w:rPr>
              <w:t>)</w:t>
            </w:r>
            <w:r w:rsidRPr="00F43B57">
              <w:rPr>
                <w:b/>
                <w:i/>
              </w:rPr>
              <w:tab/>
              <w:t>odniesienia</w:t>
            </w:r>
            <w:proofErr w:type="gramEnd"/>
            <w:r w:rsidRPr="00F43B57">
              <w:rPr>
                <w:b/>
                <w:i/>
              </w:rPr>
              <w:t xml:space="preserve"> i dowody naukowe przemawiające za ograniczeniem;</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14</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3 – litera c</w:t>
      </w:r>
    </w:p>
    <w:p w:rsidR="009607E7" w:rsidRPr="00F43B57" w:rsidRDefault="009607E7" w:rsidP="009607E7">
      <w:pPr>
        <w:keepNext/>
      </w:pPr>
      <w:r w:rsidRPr="00F43B57">
        <w:t>Dyrektywa 2011/65/UE</w:t>
      </w:r>
    </w:p>
    <w:p w:rsidR="009607E7" w:rsidRPr="00F43B57" w:rsidRDefault="009607E7" w:rsidP="009607E7">
      <w:r w:rsidRPr="00F43B57">
        <w:t>Artykuł 6 – ustęp 2 – akapit 3 – litera b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r w:rsidRPr="00F43B57">
              <w:rPr>
                <w:b/>
                <w:i/>
              </w:rPr>
              <w:t>ba</w:t>
            </w:r>
            <w:proofErr w:type="gramStart"/>
            <w:r w:rsidRPr="00F43B57">
              <w:rPr>
                <w:b/>
                <w:i/>
              </w:rPr>
              <w:t>)</w:t>
            </w:r>
            <w:r w:rsidRPr="00F43B57">
              <w:rPr>
                <w:b/>
                <w:i/>
              </w:rPr>
              <w:tab/>
              <w:t>informacje</w:t>
            </w:r>
            <w:proofErr w:type="gramEnd"/>
            <w:r w:rsidRPr="00F43B57">
              <w:rPr>
                <w:b/>
                <w:i/>
              </w:rPr>
              <w:t xml:space="preserve"> na temat możliwych alternatyw, ich dostępności i przydatności;</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15</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3 – litera c</w:t>
      </w:r>
    </w:p>
    <w:p w:rsidR="009607E7" w:rsidRPr="00F43B57" w:rsidRDefault="009607E7" w:rsidP="009607E7">
      <w:pPr>
        <w:keepNext/>
      </w:pPr>
      <w:r w:rsidRPr="00F43B57">
        <w:lastRenderedPageBreak/>
        <w:t>Dyrektywa 2011/65/UE</w:t>
      </w:r>
    </w:p>
    <w:p w:rsidR="009607E7" w:rsidRPr="00F43B57" w:rsidRDefault="009607E7" w:rsidP="009607E7">
      <w:r w:rsidRPr="00F43B57">
        <w:t xml:space="preserve">Artykuł 6 – ustęp 2 – akapit 3 – litera b </w:t>
      </w:r>
      <w:proofErr w:type="spellStart"/>
      <w:r w:rsidRPr="00F43B57">
        <w:t>b</w:t>
      </w:r>
      <w:proofErr w:type="spellEnd"/>
      <w:r w:rsidRPr="00F43B57">
        <w:t xml:space="preserv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proofErr w:type="spellStart"/>
            <w:r w:rsidRPr="00F43B57">
              <w:rPr>
                <w:b/>
                <w:i/>
              </w:rPr>
              <w:t>bb</w:t>
            </w:r>
            <w:proofErr w:type="spellEnd"/>
            <w:proofErr w:type="gramStart"/>
            <w:r w:rsidRPr="00F43B57">
              <w:rPr>
                <w:b/>
                <w:i/>
              </w:rPr>
              <w:t>)</w:t>
            </w:r>
            <w:r w:rsidRPr="00F43B57">
              <w:rPr>
                <w:b/>
                <w:i/>
              </w:rPr>
              <w:tab/>
              <w:t>uzasadnienie</w:t>
            </w:r>
            <w:proofErr w:type="gramEnd"/>
            <w:r w:rsidRPr="00F43B57">
              <w:rPr>
                <w:b/>
                <w:i/>
              </w:rPr>
              <w:t xml:space="preserve"> wprowadzenia </w:t>
            </w:r>
            <w:proofErr w:type="spellStart"/>
            <w:r w:rsidRPr="00F43B57">
              <w:rPr>
                <w:b/>
                <w:i/>
              </w:rPr>
              <w:t>ogólnounijnego</w:t>
            </w:r>
            <w:proofErr w:type="spellEnd"/>
            <w:r w:rsidRPr="00F43B57">
              <w:rPr>
                <w:b/>
                <w:i/>
              </w:rPr>
              <w:t xml:space="preserve"> ograniczenia jako najbardziej odpowiedniego środka.</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16</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3 – litera c</w:t>
      </w:r>
    </w:p>
    <w:p w:rsidR="009607E7" w:rsidRPr="00F43B57" w:rsidRDefault="009607E7" w:rsidP="009607E7">
      <w:pPr>
        <w:keepNext/>
      </w:pPr>
      <w:r w:rsidRPr="00F43B57">
        <w:t>Dyrektywa 2011/65/UE</w:t>
      </w:r>
    </w:p>
    <w:p w:rsidR="009607E7" w:rsidRPr="00F43B57" w:rsidRDefault="009607E7" w:rsidP="009607E7">
      <w:r w:rsidRPr="00F43B57">
        <w:t>Artykuł 6 – ustęp 2 – akapit 3 – litera b c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proofErr w:type="spellStart"/>
            <w:r w:rsidRPr="00F43B57">
              <w:rPr>
                <w:b/>
                <w:i/>
              </w:rPr>
              <w:t>bc</w:t>
            </w:r>
            <w:proofErr w:type="spellEnd"/>
            <w:proofErr w:type="gramStart"/>
            <w:r w:rsidRPr="00F43B57">
              <w:rPr>
                <w:b/>
                <w:i/>
              </w:rPr>
              <w:t>)</w:t>
            </w:r>
            <w:r w:rsidRPr="00F43B57">
              <w:rPr>
                <w:b/>
                <w:i/>
              </w:rPr>
              <w:tab/>
              <w:t>analizę</w:t>
            </w:r>
            <w:proofErr w:type="gramEnd"/>
            <w:r w:rsidRPr="00F43B57">
              <w:rPr>
                <w:b/>
                <w:i/>
              </w:rPr>
              <w:t xml:space="preserve"> społeczno-ekonomiczną.</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17</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4 a (nowy)</w:t>
      </w:r>
    </w:p>
    <w:p w:rsidR="009607E7" w:rsidRPr="00F43B57" w:rsidRDefault="009607E7" w:rsidP="009607E7">
      <w:pPr>
        <w:keepNext/>
      </w:pPr>
      <w:r w:rsidRPr="00F43B57">
        <w:t>Dyrektywa 2011/65/UE</w:t>
      </w:r>
    </w:p>
    <w:p w:rsidR="009607E7" w:rsidRPr="00F43B57" w:rsidRDefault="009607E7" w:rsidP="009607E7">
      <w:r w:rsidRPr="00F43B57">
        <w:t>Artykuł 20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r w:rsidRPr="00F43B57">
              <w:rPr>
                <w:b/>
                <w:i/>
              </w:rPr>
              <w:t>4a</w:t>
            </w:r>
            <w:proofErr w:type="gramStart"/>
            <w:r w:rsidRPr="00F43B57">
              <w:rPr>
                <w:b/>
                <w:i/>
              </w:rPr>
              <w:t>)</w:t>
            </w:r>
            <w:r w:rsidRPr="00F43B57">
              <w:rPr>
                <w:b/>
                <w:i/>
              </w:rPr>
              <w:tab/>
              <w:t>w</w:t>
            </w:r>
            <w:proofErr w:type="gramEnd"/>
            <w:r w:rsidRPr="00F43B57">
              <w:rPr>
                <w:b/>
                <w:i/>
              </w:rPr>
              <w:t xml:space="preserve"> art. 20 dodaje się ustęp w brzmieniu:</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r w:rsidRPr="00F43B57">
              <w:rPr>
                <w:b/>
                <w:i/>
              </w:rPr>
              <w:t>„1a.</w:t>
            </w:r>
            <w:r w:rsidRPr="00F43B57">
              <w:rPr>
                <w:b/>
                <w:i/>
              </w:rPr>
              <w:tab/>
              <w:t>Przed przyjęciem aktu delegowanego Komisja konsultuje się z ekspertami wyznaczonymi przez każde państwo członkowskie zgodnie z zasadami określonymi w Porozumieniu międzyinstytucjonalnym z dnia 13 kwietnia 2016 r. w sprawie lepszego stanowienia prawa.”;</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18</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1 – akapit 1 – punkt 4 b (nowy)</w:t>
      </w:r>
    </w:p>
    <w:p w:rsidR="009607E7" w:rsidRPr="00F43B57" w:rsidRDefault="009607E7" w:rsidP="009607E7">
      <w:pPr>
        <w:keepNext/>
      </w:pPr>
      <w:r w:rsidRPr="00F43B57">
        <w:t>Dyrektywa 2011/65/UE</w:t>
      </w:r>
    </w:p>
    <w:p w:rsidR="009607E7" w:rsidRPr="00F43B57" w:rsidRDefault="009607E7" w:rsidP="009607E7">
      <w:r w:rsidRPr="00F43B57">
        <w:t>Artykuł 24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r w:rsidRPr="00F43B57">
              <w:rPr>
                <w:b/>
                <w:i/>
              </w:rPr>
              <w:t>4b</w:t>
            </w:r>
            <w:proofErr w:type="gramStart"/>
            <w:r w:rsidRPr="00F43B57">
              <w:rPr>
                <w:b/>
                <w:i/>
              </w:rPr>
              <w:t>)</w:t>
            </w:r>
            <w:r w:rsidRPr="00F43B57">
              <w:rPr>
                <w:b/>
                <w:i/>
              </w:rPr>
              <w:tab/>
              <w:t>w</w:t>
            </w:r>
            <w:proofErr w:type="gramEnd"/>
            <w:r w:rsidRPr="00F43B57">
              <w:rPr>
                <w:b/>
                <w:i/>
              </w:rPr>
              <w:t xml:space="preserve"> art. 24 dodaje się ustęp w brzmieniu:</w:t>
            </w:r>
          </w:p>
        </w:tc>
      </w:tr>
      <w:tr w:rsidR="009607E7" w:rsidRPr="00F43B57" w:rsidTr="00027336">
        <w:trPr>
          <w:jc w:val="center"/>
        </w:trPr>
        <w:tc>
          <w:tcPr>
            <w:tcW w:w="4876" w:type="dxa"/>
          </w:tcPr>
          <w:p w:rsidR="009607E7" w:rsidRPr="00F43B57" w:rsidRDefault="009607E7" w:rsidP="00027336">
            <w:pPr>
              <w:pStyle w:val="Normal6"/>
            </w:pPr>
          </w:p>
        </w:tc>
        <w:tc>
          <w:tcPr>
            <w:tcW w:w="4876" w:type="dxa"/>
            <w:hideMark/>
          </w:tcPr>
          <w:p w:rsidR="009607E7" w:rsidRPr="00F43B57" w:rsidRDefault="009607E7" w:rsidP="00027336">
            <w:pPr>
              <w:pStyle w:val="Normal6"/>
              <w:rPr>
                <w:szCs w:val="24"/>
              </w:rPr>
            </w:pPr>
            <w:r w:rsidRPr="00F43B57">
              <w:rPr>
                <w:b/>
                <w:i/>
              </w:rPr>
              <w:t>„2a.</w:t>
            </w:r>
            <w:r w:rsidRPr="00F43B57">
              <w:rPr>
                <w:b/>
                <w:i/>
              </w:rPr>
              <w:tab/>
              <w:t>Komisja monitoruje stan zasobów Europejskiej Agencji Chemikaliów oraz zadania, obciążenie pracą i kompetencje jej komitetów naukowych i w razie potrzeby przedstawia wniosek ustawodawczy, aby uwzględnić wszelkie potrzeby Europejskiej Agencji Chemikaliów wynikające z zadań wprowadzonych niniejszym rozporządzeniem oraz poprawić zarządzanie jej komitetami naukowymi.”;</w:t>
            </w:r>
          </w:p>
        </w:tc>
      </w:tr>
    </w:tbl>
    <w:p w:rsidR="009607E7" w:rsidRPr="00F43B57" w:rsidRDefault="009607E7" w:rsidP="009607E7"/>
    <w:p w:rsidR="009607E7" w:rsidRPr="00F43B57" w:rsidRDefault="009607E7" w:rsidP="009607E7">
      <w:pPr>
        <w:pStyle w:val="AmNumberTabs"/>
      </w:pPr>
      <w:r w:rsidRPr="00F43B57">
        <w:t>Poprawka</w:t>
      </w:r>
      <w:r w:rsidRPr="00F43B57">
        <w:tab/>
      </w:r>
      <w:r w:rsidRPr="00F43B57">
        <w:tab/>
        <w:t>19</w:t>
      </w:r>
    </w:p>
    <w:p w:rsidR="009607E7" w:rsidRPr="00F43B57" w:rsidRDefault="009607E7" w:rsidP="009607E7"/>
    <w:p w:rsidR="009607E7" w:rsidRPr="00F43B57" w:rsidRDefault="009607E7" w:rsidP="009607E7">
      <w:pPr>
        <w:pStyle w:val="NormalBold"/>
        <w:keepNext/>
      </w:pPr>
      <w:r w:rsidRPr="00F43B57">
        <w:t>Wniosek dotyczący dyrektywy</w:t>
      </w:r>
    </w:p>
    <w:p w:rsidR="009607E7" w:rsidRPr="00F43B57" w:rsidRDefault="009607E7" w:rsidP="009607E7">
      <w:pPr>
        <w:pStyle w:val="NormalBold"/>
      </w:pPr>
      <w:r w:rsidRPr="00F43B57">
        <w:t>Artykuł 2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7E7" w:rsidRPr="00F43B57" w:rsidTr="00027336">
        <w:trPr>
          <w:jc w:val="center"/>
        </w:trPr>
        <w:tc>
          <w:tcPr>
            <w:tcW w:w="9752" w:type="dxa"/>
            <w:gridSpan w:val="2"/>
          </w:tcPr>
          <w:p w:rsidR="009607E7" w:rsidRPr="00F43B57" w:rsidRDefault="009607E7" w:rsidP="00027336">
            <w:pPr>
              <w:keepNext/>
            </w:pPr>
          </w:p>
        </w:tc>
      </w:tr>
      <w:tr w:rsidR="009607E7" w:rsidRPr="00F43B57" w:rsidTr="00027336">
        <w:trPr>
          <w:jc w:val="center"/>
        </w:trPr>
        <w:tc>
          <w:tcPr>
            <w:tcW w:w="4876" w:type="dxa"/>
            <w:hideMark/>
          </w:tcPr>
          <w:p w:rsidR="009607E7" w:rsidRPr="00F43B57" w:rsidRDefault="009607E7" w:rsidP="00027336">
            <w:pPr>
              <w:pStyle w:val="ColumnHeading"/>
              <w:keepNext/>
            </w:pPr>
            <w:r w:rsidRPr="00F43B57">
              <w:t>Tekst proponowany przez Komisję</w:t>
            </w:r>
          </w:p>
        </w:tc>
        <w:tc>
          <w:tcPr>
            <w:tcW w:w="4876" w:type="dxa"/>
            <w:hideMark/>
          </w:tcPr>
          <w:p w:rsidR="009607E7" w:rsidRPr="00F43B57" w:rsidRDefault="009607E7" w:rsidP="00027336">
            <w:pPr>
              <w:pStyle w:val="ColumnHeading"/>
              <w:keepNext/>
            </w:pPr>
            <w:r w:rsidRPr="00F43B57">
              <w:t>Poprawka</w:t>
            </w:r>
          </w:p>
        </w:tc>
      </w:tr>
      <w:tr w:rsidR="009607E7" w:rsidRPr="00F43B57" w:rsidTr="00027336">
        <w:trPr>
          <w:jc w:val="center"/>
        </w:trPr>
        <w:tc>
          <w:tcPr>
            <w:tcW w:w="4876" w:type="dxa"/>
            <w:hideMark/>
          </w:tcPr>
          <w:p w:rsidR="009607E7" w:rsidRPr="00F43B57" w:rsidRDefault="009607E7" w:rsidP="00027336">
            <w:pPr>
              <w:pStyle w:val="Normal6"/>
            </w:pPr>
            <w:r w:rsidRPr="00F43B57">
              <w:t xml:space="preserve">Przepisy niniejszej dyrektywy stosuje się od dnia [OP: </w:t>
            </w:r>
            <w:r w:rsidRPr="00F43B57">
              <w:rPr>
                <w:b/>
                <w:bCs/>
                <w:i/>
                <w:iCs/>
              </w:rPr>
              <w:t>12</w:t>
            </w:r>
            <w:r w:rsidRPr="00F43B57">
              <w:t xml:space="preserve"> miesięcy po opublikowaniu niniejszej dyrektywy].</w:t>
            </w:r>
          </w:p>
        </w:tc>
        <w:tc>
          <w:tcPr>
            <w:tcW w:w="4876" w:type="dxa"/>
            <w:hideMark/>
          </w:tcPr>
          <w:p w:rsidR="009607E7" w:rsidRPr="00F43B57" w:rsidRDefault="009607E7" w:rsidP="00027336">
            <w:pPr>
              <w:pStyle w:val="Normal6"/>
              <w:rPr>
                <w:szCs w:val="24"/>
              </w:rPr>
            </w:pPr>
            <w:r w:rsidRPr="00F43B57">
              <w:t xml:space="preserve">Przepisy niniejszej dyrektywy stosuje się od dnia [OP: </w:t>
            </w:r>
            <w:r w:rsidRPr="00F43B57">
              <w:rPr>
                <w:b/>
                <w:bCs/>
                <w:i/>
                <w:iCs/>
              </w:rPr>
              <w:t>18</w:t>
            </w:r>
            <w:r w:rsidRPr="00F43B57">
              <w:t xml:space="preserve"> miesięcy po opublikowaniu niniejszej dyrektywy].</w:t>
            </w:r>
          </w:p>
        </w:tc>
      </w:tr>
    </w:tbl>
    <w:p w:rsidR="00E365E1" w:rsidRPr="00F43B57" w:rsidRDefault="00E365E1" w:rsidP="004B7DF2"/>
    <w:sectPr w:rsidR="00E365E1" w:rsidRPr="00F43B57" w:rsidSect="00F43B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DF2" w:rsidRPr="00F43B57" w:rsidRDefault="004B7DF2">
      <w:r w:rsidRPr="00F43B57">
        <w:separator/>
      </w:r>
    </w:p>
  </w:endnote>
  <w:endnote w:type="continuationSeparator" w:id="0">
    <w:p w:rsidR="004B7DF2" w:rsidRPr="00F43B57" w:rsidRDefault="004B7DF2">
      <w:r w:rsidRPr="00F43B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DF2" w:rsidRPr="00F43B57" w:rsidRDefault="004B7DF2">
      <w:r w:rsidRPr="00F43B57">
        <w:separator/>
      </w:r>
    </w:p>
  </w:footnote>
  <w:footnote w:type="continuationSeparator" w:id="0">
    <w:p w:rsidR="004B7DF2" w:rsidRPr="00F43B57" w:rsidRDefault="004B7DF2">
      <w:r w:rsidRPr="00F43B57">
        <w:continuationSeparator/>
      </w:r>
    </w:p>
  </w:footnote>
  <w:footnote w:id="1">
    <w:p w:rsidR="00270EFA" w:rsidRPr="006F4AF1" w:rsidRDefault="00270EFA" w:rsidP="00270EFA">
      <w:pPr>
        <w:pStyle w:val="FootnoteText"/>
        <w:ind w:left="357" w:hanging="357"/>
        <w:rPr>
          <w:lang w:val="pl-PL"/>
        </w:rPr>
      </w:pPr>
      <w:r>
        <w:rPr>
          <w:rStyle w:val="FootnoteReference"/>
        </w:rPr>
        <w:footnoteRef/>
      </w:r>
      <w:r w:rsidRPr="004011EA">
        <w:rPr>
          <w:lang w:val="pl-PL"/>
        </w:rPr>
        <w:t xml:space="preserve"> </w:t>
      </w:r>
      <w:r w:rsidRPr="004011EA">
        <w:rPr>
          <w:lang w:val="pl-PL"/>
        </w:rPr>
        <w:tab/>
      </w:r>
      <w:r>
        <w:rPr>
          <w:lang w:val="pl-PL"/>
        </w:rPr>
        <w:t>Sprawa została odesłana do komisji właściwej w celu przeprowadzenia negocjacji międzyinstytucjonalnych na podstawie art. 60 ust. 4 aka</w:t>
      </w:r>
      <w:r>
        <w:rPr>
          <w:lang w:val="pl-PL"/>
        </w:rPr>
        <w:t>pit czwarty Regulaminu (A10-0019</w:t>
      </w:r>
      <w:r>
        <w:rPr>
          <w:lang w:val="pl-P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PL"/>
    <w:docVar w:name="dvnumam" w:val="19"/>
    <w:docVar w:name="dvpe" w:val="763.254"/>
    <w:docVar w:name="dvrapporteur" w:val="Sprawozdawca: "/>
    <w:docVar w:name="dvstar" w:val="***I"/>
    <w:docVar w:name="dvtitre" w:val="Rezolucja ustawodawcza Parlamentu Europejskiego z dnia  2025 r. w sprawie wniosku dotyczącego dyrektywy Parlamentu Europejskiego i Rady zmieniającej dyrektywę Parlamentu Europejskiego i Rady 2011/65/UE w odniesieniu do ponownego przydzielenia Europejskiej Agencji Chemikaliów zadań naukowych i technicznych(COM(2023)0781 – C9-0448/2023 – 2023/0454(COD))"/>
  </w:docVars>
  <w:rsids>
    <w:rsidRoot w:val="004B7DF2"/>
    <w:rsid w:val="00002272"/>
    <w:rsid w:val="00064002"/>
    <w:rsid w:val="000677B9"/>
    <w:rsid w:val="000831BA"/>
    <w:rsid w:val="000A42CC"/>
    <w:rsid w:val="000E7DD9"/>
    <w:rsid w:val="0010095E"/>
    <w:rsid w:val="00125B37"/>
    <w:rsid w:val="00187494"/>
    <w:rsid w:val="001F32AE"/>
    <w:rsid w:val="00236493"/>
    <w:rsid w:val="00257EAF"/>
    <w:rsid w:val="00270EFA"/>
    <w:rsid w:val="002767FF"/>
    <w:rsid w:val="002B18FE"/>
    <w:rsid w:val="002B5493"/>
    <w:rsid w:val="00343214"/>
    <w:rsid w:val="00361C00"/>
    <w:rsid w:val="00395FA1"/>
    <w:rsid w:val="003E15D4"/>
    <w:rsid w:val="00411CCE"/>
    <w:rsid w:val="0041666E"/>
    <w:rsid w:val="00421060"/>
    <w:rsid w:val="00471C19"/>
    <w:rsid w:val="004867E3"/>
    <w:rsid w:val="00494A28"/>
    <w:rsid w:val="004B7DF2"/>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7E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87D"/>
    <w:rsid w:val="00E820A4"/>
    <w:rsid w:val="00EB006A"/>
    <w:rsid w:val="00EB4772"/>
    <w:rsid w:val="00ED169E"/>
    <w:rsid w:val="00ED4235"/>
    <w:rsid w:val="00F04346"/>
    <w:rsid w:val="00F075DC"/>
    <w:rsid w:val="00F149E9"/>
    <w:rsid w:val="00F43B57"/>
    <w:rsid w:val="00F5134D"/>
    <w:rsid w:val="00F74202"/>
    <w:rsid w:val="00F87713"/>
    <w:rsid w:val="00FB4360"/>
    <w:rsid w:val="00FD0C70"/>
    <w:rsid w:val="00FE67C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DA60E"/>
  <w15:chartTrackingRefBased/>
  <w15:docId w15:val="{F571ABC6-FBD0-4D73-B52F-2B5EB0801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607E7"/>
    <w:rPr>
      <w:b/>
    </w:rPr>
  </w:style>
  <w:style w:type="paragraph" w:customStyle="1" w:styleId="NormalHanging12a">
    <w:name w:val="NormalHanging12a"/>
    <w:basedOn w:val="Normal"/>
    <w:rsid w:val="009607E7"/>
    <w:pPr>
      <w:spacing w:after="240"/>
      <w:ind w:left="567" w:hanging="567"/>
    </w:pPr>
  </w:style>
  <w:style w:type="paragraph" w:customStyle="1" w:styleId="AmNumberTabs">
    <w:name w:val="AmNumberTabs"/>
    <w:basedOn w:val="Normal"/>
    <w:rsid w:val="009607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9607E7"/>
    <w:pPr>
      <w:spacing w:before="480" w:after="240"/>
    </w:pPr>
  </w:style>
  <w:style w:type="character" w:customStyle="1" w:styleId="Normal6Char">
    <w:name w:val="Normal6 Char"/>
    <w:basedOn w:val="DefaultParagraphFont"/>
    <w:link w:val="Normal6"/>
    <w:locked/>
    <w:rsid w:val="009607E7"/>
    <w:rPr>
      <w:sz w:val="24"/>
      <w:lang w:val="pl-PL"/>
    </w:rPr>
  </w:style>
  <w:style w:type="paragraph" w:customStyle="1" w:styleId="Normal6">
    <w:name w:val="Normal6"/>
    <w:basedOn w:val="Normal"/>
    <w:link w:val="Normal6Char"/>
    <w:rsid w:val="009607E7"/>
    <w:pPr>
      <w:spacing w:after="120"/>
    </w:pPr>
  </w:style>
  <w:style w:type="character" w:customStyle="1" w:styleId="NormalBoldChar">
    <w:name w:val="NormalBold Char"/>
    <w:basedOn w:val="DefaultParagraphFont"/>
    <w:link w:val="NormalBold"/>
    <w:locked/>
    <w:rsid w:val="009607E7"/>
    <w:rPr>
      <w:b/>
      <w:sz w:val="24"/>
      <w:lang w:val="pl-PL"/>
    </w:rPr>
  </w:style>
  <w:style w:type="paragraph" w:customStyle="1" w:styleId="ColumnHeading">
    <w:name w:val="ColumnHeading"/>
    <w:basedOn w:val="Normal"/>
    <w:rsid w:val="009607E7"/>
    <w:pPr>
      <w:spacing w:after="240"/>
      <w:jc w:val="center"/>
    </w:pPr>
    <w:rPr>
      <w:i/>
    </w:rPr>
  </w:style>
  <w:style w:type="paragraph" w:customStyle="1" w:styleId="CrossRef">
    <w:name w:val="CrossRef"/>
    <w:basedOn w:val="Normal"/>
    <w:rsid w:val="009607E7"/>
    <w:pPr>
      <w:spacing w:before="240"/>
      <w:jc w:val="center"/>
    </w:pPr>
    <w:rPr>
      <w:i/>
    </w:rPr>
  </w:style>
  <w:style w:type="character" w:styleId="Hyperlink">
    <w:name w:val="Hyperlink"/>
    <w:basedOn w:val="DefaultParagraphFont"/>
    <w:rsid w:val="00FE67CA"/>
    <w:rPr>
      <w:color w:val="0563C1" w:themeColor="hyperlink"/>
      <w:u w:val="single"/>
    </w:rPr>
  </w:style>
  <w:style w:type="paragraph" w:styleId="BalloonText">
    <w:name w:val="Balloon Text"/>
    <w:basedOn w:val="Normal"/>
    <w:link w:val="BalloonTextChar"/>
    <w:rsid w:val="00E7587D"/>
    <w:rPr>
      <w:rFonts w:ascii="Segoe UI" w:hAnsi="Segoe UI" w:cs="Segoe UI"/>
      <w:sz w:val="18"/>
      <w:szCs w:val="18"/>
    </w:rPr>
  </w:style>
  <w:style w:type="character" w:customStyle="1" w:styleId="BalloonTextChar">
    <w:name w:val="Balloon Text Char"/>
    <w:basedOn w:val="DefaultParagraphFont"/>
    <w:link w:val="BalloonText"/>
    <w:rsid w:val="00E7587D"/>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C95D6-821D-4C6B-92C4-A221E88F0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1922</Words>
  <Characters>13119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BOZYK-MAZURENKO Agnieszka</cp:lastModifiedBy>
  <cp:revision>2</cp:revision>
  <cp:lastPrinted>2004-11-19T15:42:00Z</cp:lastPrinted>
  <dcterms:created xsi:type="dcterms:W3CDTF">2025-04-01T12:13:00Z</dcterms:created>
  <dcterms:modified xsi:type="dcterms:W3CDTF">2025-04-01T12:13:00Z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A10-0019/2025</vt:lpwstr>
  </property>
  <property fmtid="{D5CDD505-2E9C-101B-9397-08002B2CF9AE}" pid="4" name="&lt;Type&gt;">
    <vt:lpwstr>RR</vt:lpwstr>
  </property>
</Properties>
</file>