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F3CDD" w14:paraId="0300F4E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D06C11" w14:textId="77777777" w:rsidR="00751A4A" w:rsidRPr="00BF3CDD" w:rsidRDefault="008551AD" w:rsidP="0010095E">
            <w:pPr>
              <w:pStyle w:val="EPName"/>
            </w:pPr>
            <w:r w:rsidRPr="00BF3CDD">
              <w:t>Parlamento Europeu</w:t>
            </w:r>
          </w:p>
          <w:p w14:paraId="00CE8F96" w14:textId="77777777" w:rsidR="00751A4A" w:rsidRPr="00BF3C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F3CDD">
              <w:t>2024</w:t>
            </w:r>
            <w:r w:rsidR="00817416" w:rsidRPr="00BF3CDD">
              <w:t>-202</w:t>
            </w:r>
            <w:r w:rsidRPr="00BF3CDD">
              <w:t>9</w:t>
            </w:r>
          </w:p>
        </w:tc>
        <w:tc>
          <w:tcPr>
            <w:tcW w:w="2268" w:type="dxa"/>
            <w:shd w:val="clear" w:color="auto" w:fill="auto"/>
          </w:tcPr>
          <w:p w14:paraId="0F6724F1" w14:textId="77777777" w:rsidR="00751A4A" w:rsidRPr="00BF3CDD" w:rsidRDefault="00187494" w:rsidP="0010095E">
            <w:pPr>
              <w:pStyle w:val="EPLogo"/>
            </w:pPr>
            <w:r w:rsidRPr="00BF3CDD">
              <w:rPr>
                <w:noProof/>
                <w:lang w:val="en-GB"/>
              </w:rPr>
              <w:drawing>
                <wp:inline distT="0" distB="0" distL="0" distR="0" wp14:anchorId="23B67DD1" wp14:editId="2B057D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C07F4C" w14:textId="77777777" w:rsidR="00D058B8" w:rsidRPr="00BF3CDD" w:rsidRDefault="00D058B8" w:rsidP="004C5D52">
      <w:pPr>
        <w:pStyle w:val="LineTop"/>
      </w:pPr>
    </w:p>
    <w:p w14:paraId="31E07758" w14:textId="77777777" w:rsidR="00680577" w:rsidRPr="00BF3CDD" w:rsidRDefault="008551AD" w:rsidP="00680577">
      <w:pPr>
        <w:pStyle w:val="EPBodyTA1"/>
      </w:pPr>
      <w:r w:rsidRPr="00BF3CDD">
        <w:t>TEXTOS APROVADOS</w:t>
      </w:r>
    </w:p>
    <w:p w14:paraId="0B4F2CE9" w14:textId="77777777" w:rsidR="00D058B8" w:rsidRPr="00BF3CDD" w:rsidRDefault="00D058B8" w:rsidP="00D058B8">
      <w:pPr>
        <w:pStyle w:val="LineBottom"/>
      </w:pPr>
    </w:p>
    <w:p w14:paraId="777A941F" w14:textId="4555DC2E" w:rsidR="008551AD" w:rsidRPr="00BF3CDD" w:rsidRDefault="008551AD" w:rsidP="008551AD">
      <w:pPr>
        <w:pStyle w:val="ATHeading1"/>
      </w:pPr>
      <w:bookmarkStart w:id="0" w:name="TANumber"/>
      <w:r w:rsidRPr="00BF3CDD">
        <w:t>P10_</w:t>
      </w:r>
      <w:proofErr w:type="gramStart"/>
      <w:r w:rsidRPr="00BF3CDD">
        <w:t>TA(</w:t>
      </w:r>
      <w:proofErr w:type="gramEnd"/>
      <w:r w:rsidRPr="00BF3CDD">
        <w:t>2025)</w:t>
      </w:r>
      <w:bookmarkEnd w:id="0"/>
      <w:r w:rsidR="00252F73" w:rsidRPr="00BF3CDD">
        <w:t>0046</w:t>
      </w:r>
    </w:p>
    <w:p w14:paraId="34917348" w14:textId="77777777" w:rsidR="008551AD" w:rsidRPr="00BF3CDD" w:rsidRDefault="008551AD" w:rsidP="008551AD">
      <w:pPr>
        <w:pStyle w:val="ATHeading2"/>
      </w:pPr>
      <w:bookmarkStart w:id="1" w:name="title"/>
      <w:r w:rsidRPr="00BF3CDD">
        <w:t>Reatribuição de tarefas científicas e técnicas à Agência Europeia dos Produtos Químicos</w:t>
      </w:r>
      <w:bookmarkEnd w:id="1"/>
    </w:p>
    <w:p w14:paraId="4B005B1C" w14:textId="77777777" w:rsidR="008551AD" w:rsidRPr="00BF3CDD" w:rsidRDefault="008551AD" w:rsidP="008551AD">
      <w:pPr>
        <w:rPr>
          <w:i/>
          <w:vanish/>
        </w:rPr>
      </w:pPr>
      <w:r w:rsidRPr="00BF3CDD">
        <w:rPr>
          <w:i/>
        </w:rPr>
        <w:fldChar w:fldCharType="begin"/>
      </w:r>
      <w:r w:rsidRPr="00BF3CDD">
        <w:rPr>
          <w:i/>
        </w:rPr>
        <w:instrText xml:space="preserve"> TC"(</w:instrText>
      </w:r>
      <w:bookmarkStart w:id="2" w:name="DocNumber"/>
      <w:r w:rsidRPr="00BF3CDD">
        <w:rPr>
          <w:i/>
        </w:rPr>
        <w:instrText>A10-0019/2025</w:instrText>
      </w:r>
      <w:bookmarkEnd w:id="2"/>
      <w:r w:rsidRPr="00BF3CDD">
        <w:rPr>
          <w:i/>
        </w:rPr>
        <w:instrText xml:space="preserve"> - Relator: Dimitris Tsiodras)"\l3 \n&gt; \* MERGEFORMAT </w:instrText>
      </w:r>
      <w:r w:rsidRPr="00BF3CDD">
        <w:rPr>
          <w:i/>
        </w:rPr>
        <w:fldChar w:fldCharType="end"/>
      </w:r>
    </w:p>
    <w:p w14:paraId="67B425B9" w14:textId="1933B176" w:rsidR="008551AD" w:rsidRPr="00BF3CDD" w:rsidRDefault="008551AD" w:rsidP="008551AD">
      <w:pPr>
        <w:rPr>
          <w:vanish/>
        </w:rPr>
      </w:pPr>
      <w:bookmarkStart w:id="3" w:name="Commission"/>
      <w:r w:rsidRPr="00BF3CDD">
        <w:rPr>
          <w:vanish/>
        </w:rPr>
        <w:t xml:space="preserve">Comissão do Ambiente, </w:t>
      </w:r>
      <w:r w:rsidR="00D913AD" w:rsidRPr="00BF3CDD">
        <w:rPr>
          <w:vanish/>
        </w:rPr>
        <w:t>do Clima</w:t>
      </w:r>
      <w:r w:rsidRPr="00BF3CDD">
        <w:rPr>
          <w:vanish/>
        </w:rPr>
        <w:t xml:space="preserve"> e da Segurança Alimentar</w:t>
      </w:r>
      <w:bookmarkEnd w:id="3"/>
    </w:p>
    <w:p w14:paraId="05182146" w14:textId="77777777" w:rsidR="008551AD" w:rsidRPr="00BF3CDD" w:rsidRDefault="008551AD" w:rsidP="008551AD">
      <w:pPr>
        <w:rPr>
          <w:vanish/>
        </w:rPr>
      </w:pPr>
      <w:bookmarkStart w:id="4" w:name="PE"/>
      <w:r w:rsidRPr="00BF3CDD">
        <w:rPr>
          <w:vanish/>
        </w:rPr>
        <w:t>PE763.254</w:t>
      </w:r>
      <w:bookmarkEnd w:id="4"/>
    </w:p>
    <w:p w14:paraId="09C11F99" w14:textId="0F653EF7" w:rsidR="008551AD" w:rsidRPr="00BF3CDD" w:rsidRDefault="00252F73" w:rsidP="008551AD">
      <w:pPr>
        <w:pStyle w:val="ATHeading3"/>
      </w:pPr>
      <w:bookmarkStart w:id="5" w:name="Sujet"/>
      <w:r w:rsidRPr="00BF3CDD">
        <w:t>Alterações aprovadas pelo</w:t>
      </w:r>
      <w:r w:rsidR="008551AD" w:rsidRPr="00BF3CDD">
        <w:t xml:space="preserve"> Parlamento Europeu, </w:t>
      </w:r>
      <w:r w:rsidRPr="00BF3CDD">
        <w:t xml:space="preserve">em </w:t>
      </w:r>
      <w:r w:rsidR="00F863A4" w:rsidRPr="00BF3CDD">
        <w:t xml:space="preserve">1 </w:t>
      </w:r>
      <w:r w:rsidR="008551AD" w:rsidRPr="00BF3CDD">
        <w:t xml:space="preserve">de </w:t>
      </w:r>
      <w:r w:rsidR="00F863A4" w:rsidRPr="00BF3CDD">
        <w:t xml:space="preserve">abril </w:t>
      </w:r>
      <w:r w:rsidR="008551AD" w:rsidRPr="00BF3CDD">
        <w:t>de 2025, sobre a proposta de diretiva do Parlamento Europeu e do Conselho que altera a Diretiva 2011/65/UE do Parlamento Europeu e do Conselho no respeitante à reatribuição de tarefas científicas e técnicas à Agência Europeia dos Produtos Químicos</w:t>
      </w:r>
      <w:bookmarkEnd w:id="5"/>
      <w:r w:rsidR="008551AD" w:rsidRPr="00BF3CDD">
        <w:t xml:space="preserve"> </w:t>
      </w:r>
      <w:bookmarkStart w:id="6" w:name="References"/>
      <w:r w:rsidR="008551AD" w:rsidRPr="00BF3CDD">
        <w:t>(COM(2023)0781 – C9-0448/2023 – 2023/0454(COD))</w:t>
      </w:r>
      <w:bookmarkEnd w:id="6"/>
      <w:r w:rsidRPr="00BF3CDD">
        <w:rPr>
          <w:rStyle w:val="FootnoteReference"/>
        </w:rPr>
        <w:footnoteReference w:id="1"/>
      </w:r>
    </w:p>
    <w:p w14:paraId="50E5E7A7" w14:textId="77777777" w:rsidR="00F13AAF" w:rsidRPr="00BF3CDD" w:rsidRDefault="00F13AAF" w:rsidP="00F13AAF">
      <w:pPr>
        <w:pStyle w:val="NormalBold"/>
      </w:pPr>
      <w:r w:rsidRPr="00BF3CDD">
        <w:t>(Processo legislativo ordinário: primeira leitura)</w:t>
      </w:r>
    </w:p>
    <w:p w14:paraId="7AA7D74B" w14:textId="77777777" w:rsidR="00C2061B" w:rsidRPr="00BF3CDD" w:rsidRDefault="00C2061B">
      <w:pPr>
        <w:widowControl/>
        <w:rPr>
          <w:b/>
        </w:rPr>
      </w:pPr>
      <w:r w:rsidRPr="00BF3CDD">
        <w:br w:type="page"/>
      </w:r>
    </w:p>
    <w:p w14:paraId="248E8CCA" w14:textId="2E83357D" w:rsidR="00F13AAF" w:rsidRPr="00BF3CDD" w:rsidRDefault="00F13AAF" w:rsidP="00F13AAF">
      <w:pPr>
        <w:pStyle w:val="AmNumberTabs"/>
      </w:pPr>
      <w:r w:rsidRPr="00BF3CDD">
        <w:lastRenderedPageBreak/>
        <w:t>Alteração</w:t>
      </w:r>
      <w:r w:rsidRPr="00BF3CDD">
        <w:tab/>
      </w:r>
      <w:r w:rsidRPr="00BF3CDD">
        <w:tab/>
        <w:t>1</w:t>
      </w:r>
    </w:p>
    <w:p w14:paraId="0BBBDE27" w14:textId="77777777" w:rsidR="00F13AAF" w:rsidRPr="00BF3CDD" w:rsidRDefault="00F13AAF" w:rsidP="00F13AAF"/>
    <w:p w14:paraId="41463D8F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3EB4640D" w14:textId="77777777" w:rsidR="00F13AAF" w:rsidRPr="00BF3CDD" w:rsidRDefault="00F13AAF" w:rsidP="00F13AAF">
      <w:pPr>
        <w:pStyle w:val="NormalBold"/>
      </w:pPr>
      <w:r w:rsidRPr="00BF3CDD">
        <w:t>Considerando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26B9EC11" w14:textId="77777777" w:rsidTr="00E54085">
        <w:trPr>
          <w:jc w:val="center"/>
        </w:trPr>
        <w:tc>
          <w:tcPr>
            <w:tcW w:w="9752" w:type="dxa"/>
            <w:gridSpan w:val="2"/>
          </w:tcPr>
          <w:p w14:paraId="296F1D0B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4CA049EB" w14:textId="77777777" w:rsidTr="00E54085">
        <w:trPr>
          <w:jc w:val="center"/>
        </w:trPr>
        <w:tc>
          <w:tcPr>
            <w:tcW w:w="4876" w:type="dxa"/>
            <w:hideMark/>
          </w:tcPr>
          <w:p w14:paraId="45A1FD13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7276A4E1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1B3989D6" w14:textId="77777777" w:rsidTr="00E54085">
        <w:trPr>
          <w:jc w:val="center"/>
        </w:trPr>
        <w:tc>
          <w:tcPr>
            <w:tcW w:w="4876" w:type="dxa"/>
            <w:hideMark/>
          </w:tcPr>
          <w:p w14:paraId="3C4091B7" w14:textId="77777777" w:rsidR="00F13AAF" w:rsidRPr="00BF3CDD" w:rsidRDefault="00F13AAF" w:rsidP="00E54085">
            <w:pPr>
              <w:pStyle w:val="Normal6"/>
            </w:pPr>
            <w:r w:rsidRPr="00BF3CDD">
              <w:t>(1)</w:t>
            </w:r>
            <w:r w:rsidRPr="00BF3CDD">
              <w:tab/>
              <w:t>Na sua Comunicação intitulada «Pacto Ecológico Europeu»</w:t>
            </w:r>
            <w:r w:rsidRPr="00BF3CDD">
              <w:rPr>
                <w:vertAlign w:val="superscript"/>
              </w:rPr>
              <w:t>2</w:t>
            </w:r>
            <w:r w:rsidRPr="00BF3CDD">
              <w:t>, a Comissão estabeleceu o objetivo de fazer avançar as avaliações da segurança química no sentido de um processo assente no princípio de «uma avaliação por substância», apelando a processos de avaliação dos riscos mais transparentes e mais simples, a fim de reduzir os encargos para todas as partes interessadas, acelerar a tomada de decisões e aumentar a coerência e a previsibilidade das decisões e pareceres científicos. Na sua Comunicação intitulada «Estratégia para a sustentabilidade dos produtos químicos»</w:t>
            </w:r>
            <w:r w:rsidRPr="00BF3CDD">
              <w:rPr>
                <w:vertAlign w:val="superscript"/>
              </w:rPr>
              <w:t>3</w:t>
            </w:r>
            <w:r w:rsidRPr="00BF3CDD">
              <w:t>, a Comissão conclui que, para alcançar esse objetivo, é necessário reatribuir às agências da União mais adequadas uma parte dos trabalhos científicos e técnicos relativos a produtos químicos realizados a nível da União em apoio da legislação da União. Tal simplificaria a atual estrutura, melhoraria a qualidade e a coerência das avaliações da segurança em toda a legislação da União e asseguraria uma utilização mais eficiente dos recursos existentes.</w:t>
            </w:r>
          </w:p>
        </w:tc>
        <w:tc>
          <w:tcPr>
            <w:tcW w:w="4876" w:type="dxa"/>
            <w:hideMark/>
          </w:tcPr>
          <w:p w14:paraId="1422EF0D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>(1)</w:t>
            </w:r>
            <w:r w:rsidRPr="00BF3CDD">
              <w:tab/>
              <w:t>Na sua Comunicação intitulada «Pacto Ecológico Europeu»</w:t>
            </w:r>
            <w:r w:rsidRPr="00BF3CDD">
              <w:rPr>
                <w:vertAlign w:val="superscript"/>
              </w:rPr>
              <w:t>2</w:t>
            </w:r>
            <w:r w:rsidRPr="00BF3CDD">
              <w:t>, a Comissão estabeleceu o objetivo de fazer avançar as avaliações da segurança química no sentido de um processo assente no princípio de «uma avaliação por substância», apelando a processos de avaliação dos riscos mais transparentes e mais simples, a fim de reduzir os encargos para todas as partes interessadas, acelerar a tomada de decisões e aumentar a coerência e a previsibilidade das decisões e pareceres científicos. Na sua Comunicação intitulada «Estratégia para a sustentabilidade dos produtos químicos»</w:t>
            </w:r>
            <w:r w:rsidRPr="00BF3CDD">
              <w:rPr>
                <w:vertAlign w:val="superscript"/>
              </w:rPr>
              <w:t>3</w:t>
            </w:r>
            <w:r w:rsidRPr="00BF3CDD">
              <w:t xml:space="preserve">, a Comissão conclui que, para alcançar esse objetivo, é necessário reatribuir às agências da União mais adequadas uma parte dos trabalhos científicos e técnicos relativos a produtos químicos realizados a nível da União em apoio da legislação da União. Tal simplificaria a atual estrutura, melhoraria a qualidade e a coerência das avaliações da segurança em toda a legislação da União e asseguraria uma utilização mais eficiente dos recursos existentes. </w:t>
            </w:r>
            <w:r w:rsidRPr="00BF3CDD">
              <w:rPr>
                <w:b/>
                <w:i/>
              </w:rPr>
              <w:t>Espera</w:t>
            </w:r>
            <w:r w:rsidRPr="00BF3CDD">
              <w:rPr>
                <w:b/>
                <w:i/>
              </w:rPr>
              <w:noBreakHyphen/>
              <w:t>se igualmente que esta abordagem promova a relação custo</w:t>
            </w:r>
            <w:r w:rsidRPr="00BF3CDD">
              <w:rPr>
                <w:b/>
                <w:i/>
              </w:rPr>
              <w:noBreakHyphen/>
              <w:t>eficácia e a competitividade através da simplificação dos procedimentos regulamentares e da redução dos encargos administrativos, para que as empresas possam adaptar</w:t>
            </w:r>
            <w:r w:rsidRPr="00BF3CDD">
              <w:rPr>
                <w:b/>
                <w:i/>
              </w:rPr>
              <w:noBreakHyphen/>
              <w:t>se eficazmente à evolução dos quadros regulamentares.</w:t>
            </w:r>
          </w:p>
        </w:tc>
      </w:tr>
      <w:tr w:rsidR="00F13AAF" w:rsidRPr="00BF3CDD" w14:paraId="6A32FE9C" w14:textId="77777777" w:rsidTr="00E54085">
        <w:trPr>
          <w:jc w:val="center"/>
        </w:trPr>
        <w:tc>
          <w:tcPr>
            <w:tcW w:w="4876" w:type="dxa"/>
            <w:hideMark/>
          </w:tcPr>
          <w:p w14:paraId="09698E7E" w14:textId="77777777" w:rsidR="00F13AAF" w:rsidRPr="00BF3CDD" w:rsidRDefault="00F13AAF" w:rsidP="00E54085">
            <w:pPr>
              <w:pStyle w:val="Normal6"/>
            </w:pPr>
            <w:r w:rsidRPr="00BF3CDD">
              <w:t>__________________</w:t>
            </w:r>
          </w:p>
        </w:tc>
        <w:tc>
          <w:tcPr>
            <w:tcW w:w="4876" w:type="dxa"/>
            <w:hideMark/>
          </w:tcPr>
          <w:p w14:paraId="318C30A5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>__________________</w:t>
            </w:r>
          </w:p>
        </w:tc>
      </w:tr>
      <w:tr w:rsidR="00F13AAF" w:rsidRPr="00BF3CDD" w14:paraId="5E66F084" w14:textId="77777777" w:rsidTr="00E54085">
        <w:trPr>
          <w:jc w:val="center"/>
        </w:trPr>
        <w:tc>
          <w:tcPr>
            <w:tcW w:w="4876" w:type="dxa"/>
            <w:hideMark/>
          </w:tcPr>
          <w:p w14:paraId="415E8A40" w14:textId="77777777" w:rsidR="00F13AAF" w:rsidRPr="00BF3CDD" w:rsidRDefault="00F13AAF" w:rsidP="00E54085">
            <w:pPr>
              <w:pStyle w:val="Normal6"/>
            </w:pPr>
            <w:r w:rsidRPr="00BF3CDD">
              <w:rPr>
                <w:vertAlign w:val="superscript"/>
              </w:rPr>
              <w:t>2</w:t>
            </w:r>
            <w:r w:rsidRPr="00BF3CDD">
              <w:t xml:space="preserve"> Comunicação da Comissão ao Parlamento Europeu, ao Conselho Europeu, ao Conselho, ao Comité Económico e Social Europeu e ao Comité das Regiões </w:t>
            </w:r>
            <w:r w:rsidRPr="00BF3CDD">
              <w:noBreakHyphen/>
              <w:t xml:space="preserve"> Pacto Ecológico Europeu [COM(2019) 640 final, de 11 de dezembro de 2019].</w:t>
            </w:r>
          </w:p>
        </w:tc>
        <w:tc>
          <w:tcPr>
            <w:tcW w:w="4876" w:type="dxa"/>
            <w:hideMark/>
          </w:tcPr>
          <w:p w14:paraId="62EAA273" w14:textId="53BE9B37" w:rsidR="00F13AAF" w:rsidRPr="00BF3CDD" w:rsidRDefault="00F13AAF" w:rsidP="00F75F30">
            <w:pPr>
              <w:pStyle w:val="Normal6"/>
              <w:rPr>
                <w:szCs w:val="24"/>
              </w:rPr>
            </w:pPr>
            <w:r w:rsidRPr="00BF3CDD">
              <w:rPr>
                <w:vertAlign w:val="superscript"/>
              </w:rPr>
              <w:t>2</w:t>
            </w:r>
            <w:r w:rsidRPr="00BF3CDD">
              <w:t xml:space="preserve"> Comunicação da Comissão ao Parlamento Europeu, ao Conselho Europeu, ao Conselho, ao Comité Económico e Social Europeu e ao Comité das Regiões </w:t>
            </w:r>
            <w:r w:rsidRPr="00BF3CDD">
              <w:noBreakHyphen/>
              <w:t xml:space="preserve"> Pacto Ecológico Europeu [COM(2019</w:t>
            </w:r>
            <w:r w:rsidR="00F75F30" w:rsidRPr="00BF3CDD">
              <w:t>)0</w:t>
            </w:r>
            <w:r w:rsidRPr="00BF3CDD">
              <w:t>640, de 11 de dezembro de 2019].</w:t>
            </w:r>
          </w:p>
        </w:tc>
      </w:tr>
      <w:tr w:rsidR="00F13AAF" w:rsidRPr="00BF3CDD" w14:paraId="28311C1F" w14:textId="77777777" w:rsidTr="00E54085">
        <w:trPr>
          <w:jc w:val="center"/>
        </w:trPr>
        <w:tc>
          <w:tcPr>
            <w:tcW w:w="4876" w:type="dxa"/>
            <w:hideMark/>
          </w:tcPr>
          <w:p w14:paraId="2E25D085" w14:textId="77777777" w:rsidR="00F13AAF" w:rsidRPr="00BF3CDD" w:rsidRDefault="00F13AAF" w:rsidP="00E54085">
            <w:pPr>
              <w:pStyle w:val="Normal6"/>
            </w:pPr>
            <w:r w:rsidRPr="00BF3CDD">
              <w:rPr>
                <w:vertAlign w:val="superscript"/>
              </w:rPr>
              <w:t>3</w:t>
            </w:r>
            <w:r w:rsidRPr="00BF3CDD">
              <w:t xml:space="preserve"> Comunicação da Comissão ao Parlamento Europeu, ao Conselho, ao Comité </w:t>
            </w:r>
            <w:r w:rsidRPr="00BF3CDD">
              <w:lastRenderedPageBreak/>
              <w:t xml:space="preserve">Económico e Social Europeu e ao Comité das Regiões </w:t>
            </w:r>
            <w:r w:rsidRPr="00BF3CDD">
              <w:noBreakHyphen/>
              <w:t xml:space="preserve"> Estratégia para a sustentabilidade dos produtos químicos rumo a um ambiente sem substâncias tóxicas [COM(2020) 667 final, de 14 de outubro de 2020].</w:t>
            </w:r>
          </w:p>
        </w:tc>
        <w:tc>
          <w:tcPr>
            <w:tcW w:w="4876" w:type="dxa"/>
            <w:hideMark/>
          </w:tcPr>
          <w:p w14:paraId="7BBD4C9D" w14:textId="324D8CD7" w:rsidR="00F13AAF" w:rsidRPr="00BF3CDD" w:rsidRDefault="00F13AAF" w:rsidP="00F75F30">
            <w:pPr>
              <w:pStyle w:val="Normal6"/>
              <w:rPr>
                <w:szCs w:val="24"/>
              </w:rPr>
            </w:pPr>
            <w:r w:rsidRPr="00BF3CDD">
              <w:rPr>
                <w:vertAlign w:val="superscript"/>
              </w:rPr>
              <w:lastRenderedPageBreak/>
              <w:t>3</w:t>
            </w:r>
            <w:r w:rsidRPr="00BF3CDD">
              <w:t xml:space="preserve"> Comunicação da Comissão ao Parlamento Europeu, ao Conselho, ao Comité </w:t>
            </w:r>
            <w:r w:rsidRPr="00BF3CDD">
              <w:lastRenderedPageBreak/>
              <w:t xml:space="preserve">Económico e Social Europeu e ao Comité das Regiões </w:t>
            </w:r>
            <w:r w:rsidRPr="00BF3CDD">
              <w:noBreakHyphen/>
              <w:t xml:space="preserve"> Estratégia para a sustentabilidade dos produtos químicos rumo a um ambiente sem substâncias tóxicas [COM(2020</w:t>
            </w:r>
            <w:r w:rsidR="00F75F30" w:rsidRPr="00BF3CDD">
              <w:t>)0</w:t>
            </w:r>
            <w:r w:rsidRPr="00BF3CDD">
              <w:t>667, de 14 de outubro de 2020].</w:t>
            </w:r>
          </w:p>
        </w:tc>
      </w:tr>
    </w:tbl>
    <w:p w14:paraId="7F10991D" w14:textId="77777777" w:rsidR="00F13AAF" w:rsidRPr="00BF3CDD" w:rsidRDefault="00F13AAF" w:rsidP="00F13AAF"/>
    <w:p w14:paraId="3ACEF528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2</w:t>
      </w:r>
    </w:p>
    <w:p w14:paraId="309FD0AE" w14:textId="77777777" w:rsidR="00F13AAF" w:rsidRPr="00BF3CDD" w:rsidRDefault="00F13AAF" w:rsidP="00F13AAF"/>
    <w:p w14:paraId="7E15722F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17CA6026" w14:textId="77777777" w:rsidR="00F13AAF" w:rsidRPr="00BF3CDD" w:rsidRDefault="00F13AAF" w:rsidP="00F13AAF">
      <w:pPr>
        <w:pStyle w:val="NormalBold"/>
      </w:pPr>
      <w:r w:rsidRPr="00BF3CDD">
        <w:t>Considerando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65CB4752" w14:textId="77777777" w:rsidTr="00E54085">
        <w:trPr>
          <w:jc w:val="center"/>
        </w:trPr>
        <w:tc>
          <w:tcPr>
            <w:tcW w:w="9752" w:type="dxa"/>
            <w:gridSpan w:val="2"/>
          </w:tcPr>
          <w:p w14:paraId="49D75B02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1527CF7E" w14:textId="77777777" w:rsidTr="00E54085">
        <w:trPr>
          <w:jc w:val="center"/>
        </w:trPr>
        <w:tc>
          <w:tcPr>
            <w:tcW w:w="4876" w:type="dxa"/>
            <w:hideMark/>
          </w:tcPr>
          <w:p w14:paraId="427C0EB3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2C4CB0CF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0ABBF804" w14:textId="77777777" w:rsidTr="00E54085">
        <w:trPr>
          <w:jc w:val="center"/>
        </w:trPr>
        <w:tc>
          <w:tcPr>
            <w:tcW w:w="4876" w:type="dxa"/>
            <w:hideMark/>
          </w:tcPr>
          <w:p w14:paraId="334FC388" w14:textId="77777777" w:rsidR="00F13AAF" w:rsidRPr="00BF3CDD" w:rsidRDefault="00F13AAF" w:rsidP="00E54085">
            <w:pPr>
              <w:pStyle w:val="Normal6"/>
            </w:pPr>
            <w:r w:rsidRPr="00BF3CDD">
              <w:t>(2)</w:t>
            </w:r>
            <w:r w:rsidRPr="00BF3CDD">
              <w:tab/>
              <w:t>A reatribuição de determinadas tarefas científicas e técnicas à Agência Europeia dos Produtos Químicos é necessária para alinhar os processos e os níveis de escrutínio científico e de digitalização com as atuais normas e processos da Agência. Tal é também necessário para assegurar um padrão uniforme de qualidade científica, transparência, capacidade de pesquisa de dados e interoperabilidade, em consonância com a ambição de «uma avaliação por substância».</w:t>
            </w:r>
          </w:p>
        </w:tc>
        <w:tc>
          <w:tcPr>
            <w:tcW w:w="4876" w:type="dxa"/>
            <w:hideMark/>
          </w:tcPr>
          <w:p w14:paraId="160CF912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>(2)</w:t>
            </w:r>
            <w:r w:rsidRPr="00BF3CDD">
              <w:tab/>
              <w:t xml:space="preserve">A reatribuição de determinadas tarefas científicas e técnicas à Agência Europeia dos Produtos Químicos é necessária para alinhar os processos e os níveis de escrutínio científico e de digitalização com as atuais normas e processos da Agência. Tal é também necessário para assegurar um padrão uniforme de qualidade científica, transparência, capacidade de pesquisa de dados e interoperabilidade, em consonância com a ambição de «uma avaliação por substância». </w:t>
            </w:r>
            <w:r w:rsidRPr="00BF3CDD">
              <w:rPr>
                <w:b/>
                <w:i/>
              </w:rPr>
              <w:t>Além disso, a digitalização e a simplificação dos procedimentos reduzirão as duplicação de esforços e os atrasos administrativos, permitindo aos Estados</w:t>
            </w:r>
            <w:r w:rsidRPr="00BF3CDD">
              <w:rPr>
                <w:b/>
                <w:i/>
              </w:rPr>
              <w:noBreakHyphen/>
              <w:t>Membros e aos operadores económicos poupanças de custos e ganhos de eficiência significativos.</w:t>
            </w:r>
          </w:p>
        </w:tc>
      </w:tr>
    </w:tbl>
    <w:p w14:paraId="68266813" w14:textId="77777777" w:rsidR="00F13AAF" w:rsidRPr="00BF3CDD" w:rsidRDefault="00F13AAF" w:rsidP="00F13AAF"/>
    <w:p w14:paraId="24738AB4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3</w:t>
      </w:r>
    </w:p>
    <w:p w14:paraId="7F9CE125" w14:textId="77777777" w:rsidR="00F13AAF" w:rsidRPr="00BF3CDD" w:rsidRDefault="00F13AAF" w:rsidP="00F13AAF"/>
    <w:p w14:paraId="40764CC4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156BCCA7" w14:textId="77777777" w:rsidR="00F13AAF" w:rsidRPr="00BF3CDD" w:rsidRDefault="00F13AAF" w:rsidP="00F13AAF">
      <w:pPr>
        <w:pStyle w:val="NormalBold"/>
      </w:pPr>
      <w:r w:rsidRPr="00BF3CDD">
        <w:t>Considerando 6</w:t>
      </w:r>
      <w:r w:rsidRPr="00BF3CDD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2F2E9DC2" w14:textId="77777777" w:rsidTr="00E54085">
        <w:trPr>
          <w:jc w:val="center"/>
        </w:trPr>
        <w:tc>
          <w:tcPr>
            <w:tcW w:w="9752" w:type="dxa"/>
            <w:gridSpan w:val="2"/>
          </w:tcPr>
          <w:p w14:paraId="6396E727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4E60FEAB" w14:textId="77777777" w:rsidTr="00E54085">
        <w:trPr>
          <w:jc w:val="center"/>
        </w:trPr>
        <w:tc>
          <w:tcPr>
            <w:tcW w:w="4876" w:type="dxa"/>
            <w:hideMark/>
          </w:tcPr>
          <w:p w14:paraId="2A66E61B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4896705A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1FCB7EFD" w14:textId="77777777" w:rsidTr="00E54085">
        <w:trPr>
          <w:jc w:val="center"/>
        </w:trPr>
        <w:tc>
          <w:tcPr>
            <w:tcW w:w="4876" w:type="dxa"/>
          </w:tcPr>
          <w:p w14:paraId="7A16B504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542B64EB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(6</w:t>
            </w:r>
            <w:r w:rsidRPr="00BF3CDD">
              <w:rPr>
                <w:b/>
                <w:i/>
              </w:rPr>
              <w:noBreakHyphen/>
              <w:t>A)</w:t>
            </w:r>
            <w:r w:rsidRPr="00BF3CDD">
              <w:rPr>
                <w:b/>
                <w:i/>
              </w:rPr>
              <w:tab/>
              <w:t>A lista de substâncias sujeitas a restrições a que se refere a Diretiva 2011/65/UE deve ser revista periodicamente para garantir um nível elevado de proteção da saúde humana, do ambiente e da segurança dos consumidores. Afigura</w:t>
            </w:r>
            <w:r w:rsidRPr="00BF3CDD">
              <w:rPr>
                <w:b/>
                <w:i/>
              </w:rPr>
              <w:noBreakHyphen/>
              <w:t xml:space="preserve">se adequado fixar </w:t>
            </w:r>
            <w:r w:rsidRPr="00BF3CDD">
              <w:rPr>
                <w:b/>
                <w:i/>
              </w:rPr>
              <w:lastRenderedPageBreak/>
              <w:t>um período de revisão de pelo menos 36 meses, tendo em conta a evolução do mercado e os progressos técnicos e científicos, assim como o facto de os Estados</w:t>
            </w:r>
            <w:r w:rsidRPr="00BF3CDD">
              <w:rPr>
                <w:b/>
                <w:i/>
              </w:rPr>
              <w:noBreakHyphen/>
              <w:t>Membros poderem, em qualquer altura, apresentar dossiês relativos às restrições e de poderem ser iniciadas e adotadas medidas de restrição horizontais ao abrigo do Regulamento (CE) n.º 1907/2006, do Regulamento (UE) 2019/1021 ou de outra legislação da União relativa a critérios de sustentabilidade para substâncias e produtos químicos perigosos.</w:t>
            </w:r>
          </w:p>
        </w:tc>
      </w:tr>
    </w:tbl>
    <w:p w14:paraId="5CD36DCD" w14:textId="77777777" w:rsidR="00F13AAF" w:rsidRPr="00BF3CDD" w:rsidRDefault="00F13AAF" w:rsidP="00F13AAF"/>
    <w:p w14:paraId="36282CA9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4</w:t>
      </w:r>
    </w:p>
    <w:p w14:paraId="3E462B68" w14:textId="77777777" w:rsidR="00F13AAF" w:rsidRPr="00BF3CDD" w:rsidRDefault="00F13AAF" w:rsidP="00F13AAF"/>
    <w:p w14:paraId="24FC10B8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751A37CF" w14:textId="77777777" w:rsidR="00F13AAF" w:rsidRPr="00BF3CDD" w:rsidRDefault="00F13AAF" w:rsidP="00F13AAF">
      <w:pPr>
        <w:pStyle w:val="NormalBold"/>
      </w:pPr>
      <w:r w:rsidRPr="00BF3CDD">
        <w:t>Considerando 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57EB8275" w14:textId="77777777" w:rsidTr="00E54085">
        <w:trPr>
          <w:jc w:val="center"/>
        </w:trPr>
        <w:tc>
          <w:tcPr>
            <w:tcW w:w="9752" w:type="dxa"/>
            <w:gridSpan w:val="2"/>
          </w:tcPr>
          <w:p w14:paraId="09DBFFA8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5A7DFA4D" w14:textId="77777777" w:rsidTr="00E54085">
        <w:trPr>
          <w:jc w:val="center"/>
        </w:trPr>
        <w:tc>
          <w:tcPr>
            <w:tcW w:w="4876" w:type="dxa"/>
            <w:hideMark/>
          </w:tcPr>
          <w:p w14:paraId="00F8A5B7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5DF9FD79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3429470D" w14:textId="77777777" w:rsidTr="00E54085">
        <w:trPr>
          <w:jc w:val="center"/>
        </w:trPr>
        <w:tc>
          <w:tcPr>
            <w:tcW w:w="4876" w:type="dxa"/>
            <w:hideMark/>
          </w:tcPr>
          <w:p w14:paraId="2DF83E21" w14:textId="77777777" w:rsidR="00F13AAF" w:rsidRPr="00BF3CDD" w:rsidRDefault="00F13AAF" w:rsidP="00E54085">
            <w:pPr>
              <w:pStyle w:val="Normal6"/>
            </w:pPr>
            <w:proofErr w:type="gramStart"/>
            <w:r w:rsidRPr="00BF3CDD">
              <w:t>(8)</w:t>
            </w:r>
            <w:r w:rsidRPr="00BF3CDD">
              <w:tab/>
              <w:t>É</w:t>
            </w:r>
            <w:proofErr w:type="gramEnd"/>
            <w:r w:rsidRPr="00BF3CDD">
              <w:t xml:space="preserve"> necessário um período transitório de </w:t>
            </w:r>
            <w:r w:rsidRPr="00BF3CDD">
              <w:rPr>
                <w:b/>
                <w:i/>
              </w:rPr>
              <w:t>12</w:t>
            </w:r>
            <w:r w:rsidRPr="00BF3CDD">
              <w:t> meses para alterar disposições processuais da Diretiva 2011/65/UE, de modo a permitir a adequada afetação de recursos e tarefas à Agência Europeia dos Produtos Químicos. Considera</w:t>
            </w:r>
            <w:r w:rsidRPr="00BF3CDD">
              <w:noBreakHyphen/>
              <w:t>se que esse prazo é suficiente para permitir que potenciais requerentes ou os Estados</w:t>
            </w:r>
            <w:r w:rsidRPr="00BF3CDD">
              <w:noBreakHyphen/>
              <w:t>Membros se ajustem às etapas processuais alteradas da referida diretiva.</w:t>
            </w:r>
          </w:p>
        </w:tc>
        <w:tc>
          <w:tcPr>
            <w:tcW w:w="4876" w:type="dxa"/>
            <w:hideMark/>
          </w:tcPr>
          <w:p w14:paraId="27744FE2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proofErr w:type="gramStart"/>
            <w:r w:rsidRPr="00BF3CDD">
              <w:t>(8)</w:t>
            </w:r>
            <w:r w:rsidRPr="00BF3CDD">
              <w:tab/>
              <w:t>É</w:t>
            </w:r>
            <w:proofErr w:type="gramEnd"/>
            <w:r w:rsidRPr="00BF3CDD">
              <w:t xml:space="preserve"> necessário um período transitório de </w:t>
            </w:r>
            <w:r w:rsidRPr="00BF3CDD">
              <w:rPr>
                <w:b/>
                <w:i/>
              </w:rPr>
              <w:t>18</w:t>
            </w:r>
            <w:r w:rsidRPr="00BF3CDD">
              <w:t> meses para alterar disposições processuais da Diretiva 2011/65/UE, de modo a permitir a adequada afetação de recursos e tarefas à Agência Europeia dos Produtos Químicos. Considera</w:t>
            </w:r>
            <w:r w:rsidRPr="00BF3CDD">
              <w:noBreakHyphen/>
              <w:t>se que esse prazo é suficiente para permitir que potenciais requerentes ou os Estados</w:t>
            </w:r>
            <w:r w:rsidRPr="00BF3CDD">
              <w:noBreakHyphen/>
              <w:t>Membros se ajustem às etapas processuais alteradas da referida diretiva.</w:t>
            </w:r>
          </w:p>
        </w:tc>
      </w:tr>
    </w:tbl>
    <w:p w14:paraId="2E978F2C" w14:textId="77777777" w:rsidR="00F13AAF" w:rsidRPr="00BF3CDD" w:rsidRDefault="00F13AAF" w:rsidP="00F13AAF"/>
    <w:p w14:paraId="075C4F79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5</w:t>
      </w:r>
    </w:p>
    <w:p w14:paraId="7B61892E" w14:textId="77777777" w:rsidR="00F13AAF" w:rsidRPr="00BF3CDD" w:rsidRDefault="00F13AAF" w:rsidP="00F13AAF"/>
    <w:p w14:paraId="67D89AB3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7BB3C1EE" w14:textId="77777777" w:rsidR="00F13AAF" w:rsidRPr="00BF3CDD" w:rsidRDefault="00F13AAF" w:rsidP="00F13AAF">
      <w:pPr>
        <w:pStyle w:val="NormalBold"/>
      </w:pPr>
      <w:r w:rsidRPr="00BF3CDD">
        <w:t>Artigo 1 – parágrafo 1 – ponto 1 – alínea a)</w:t>
      </w:r>
    </w:p>
    <w:p w14:paraId="3A23BFCC" w14:textId="77777777" w:rsidR="00F13AAF" w:rsidRPr="00BF3CDD" w:rsidRDefault="00F13AAF" w:rsidP="00F13AAF">
      <w:pPr>
        <w:keepNext/>
      </w:pPr>
      <w:r w:rsidRPr="00BF3CDD">
        <w:t>Diretiva 2011/65/UE</w:t>
      </w:r>
    </w:p>
    <w:p w14:paraId="0881C42A" w14:textId="77777777" w:rsidR="00F13AAF" w:rsidRPr="00BF3CDD" w:rsidRDefault="00F13AAF" w:rsidP="00F13AAF">
      <w:r w:rsidRPr="00BF3CDD">
        <w:t>Artigo 5.º – n.º 4 – parágrafo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783AE069" w14:textId="77777777" w:rsidTr="00E54085">
        <w:trPr>
          <w:jc w:val="center"/>
        </w:trPr>
        <w:tc>
          <w:tcPr>
            <w:tcW w:w="9752" w:type="dxa"/>
            <w:gridSpan w:val="2"/>
          </w:tcPr>
          <w:p w14:paraId="754F2492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2270A735" w14:textId="77777777" w:rsidTr="00E54085">
        <w:trPr>
          <w:jc w:val="center"/>
        </w:trPr>
        <w:tc>
          <w:tcPr>
            <w:tcW w:w="4876" w:type="dxa"/>
            <w:hideMark/>
          </w:tcPr>
          <w:p w14:paraId="05C0013A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31FBC2E5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488BCAA3" w14:textId="77777777" w:rsidTr="00E54085">
        <w:trPr>
          <w:jc w:val="center"/>
        </w:trPr>
        <w:tc>
          <w:tcPr>
            <w:tcW w:w="4876" w:type="dxa"/>
            <w:hideMark/>
          </w:tcPr>
          <w:p w14:paraId="56CB51D4" w14:textId="77777777" w:rsidR="00F13AAF" w:rsidRPr="00BF3CDD" w:rsidRDefault="00F13AAF" w:rsidP="00E54085">
            <w:pPr>
              <w:pStyle w:val="Normal6"/>
            </w:pPr>
            <w:r w:rsidRPr="00BF3CDD">
              <w:t xml:space="preserve">Se o requerente não completar o pedido com os elementos em falta identificados pela Agência em conformidade com o anexo V dentro do prazo previsto nos termos do primeiro parágrafo, alínea c), a Agência </w:t>
            </w:r>
            <w:r w:rsidRPr="00BF3CDD">
              <w:rPr>
                <w:b/>
                <w:i/>
              </w:rPr>
              <w:t>pode indeferir</w:t>
            </w:r>
            <w:r w:rsidRPr="00BF3CDD">
              <w:t xml:space="preserve"> esse pedido. A </w:t>
            </w:r>
            <w:r w:rsidRPr="00BF3CDD">
              <w:lastRenderedPageBreak/>
              <w:t>Agência deve determinar e comunicar ao requerente, sem demora injustificada, a data em que se considera que o pedido está completo.</w:t>
            </w:r>
          </w:p>
        </w:tc>
        <w:tc>
          <w:tcPr>
            <w:tcW w:w="4876" w:type="dxa"/>
            <w:hideMark/>
          </w:tcPr>
          <w:p w14:paraId="510F06FC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lastRenderedPageBreak/>
              <w:t xml:space="preserve">Se o requerente não completar o pedido com os elementos em falta identificados pela Agência em conformidade com o anexo V dentro do prazo previsto nos termos do primeiro parágrafo, alínea c), a Agência </w:t>
            </w:r>
            <w:r w:rsidRPr="00BF3CDD">
              <w:rPr>
                <w:b/>
                <w:i/>
              </w:rPr>
              <w:t>indefere</w:t>
            </w:r>
            <w:r w:rsidRPr="00BF3CDD">
              <w:t xml:space="preserve"> esse pedido. A Agência </w:t>
            </w:r>
            <w:r w:rsidRPr="00BF3CDD">
              <w:lastRenderedPageBreak/>
              <w:t>deve determinar e comunicar ao requerente, sem demora injustificada, a data em que se considera que o pedido está completo.</w:t>
            </w:r>
          </w:p>
        </w:tc>
      </w:tr>
    </w:tbl>
    <w:p w14:paraId="35E9A7EE" w14:textId="77777777" w:rsidR="00F13AAF" w:rsidRPr="00BF3CDD" w:rsidRDefault="00F13AAF" w:rsidP="00F13AAF"/>
    <w:p w14:paraId="5FDC31B2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6</w:t>
      </w:r>
    </w:p>
    <w:p w14:paraId="1D6B6A82" w14:textId="77777777" w:rsidR="00F13AAF" w:rsidRPr="00BF3CDD" w:rsidRDefault="00F13AAF" w:rsidP="00F13AAF"/>
    <w:p w14:paraId="3CE1C5D5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3C6F5698" w14:textId="77777777" w:rsidR="00F13AAF" w:rsidRPr="00BF3CDD" w:rsidRDefault="00F13AAF" w:rsidP="00F13AAF">
      <w:pPr>
        <w:pStyle w:val="NormalBold"/>
      </w:pPr>
      <w:r w:rsidRPr="00BF3CDD">
        <w:t>Artigo 1 – parágrafo 1 – ponto 1 – alínea b)</w:t>
      </w:r>
    </w:p>
    <w:p w14:paraId="1659D35F" w14:textId="77777777" w:rsidR="00F13AAF" w:rsidRPr="00BF3CDD" w:rsidRDefault="00F13AAF" w:rsidP="00F13AAF">
      <w:pPr>
        <w:keepNext/>
      </w:pPr>
      <w:r w:rsidRPr="00BF3CDD">
        <w:t>Diretiva 2011/65/UE</w:t>
      </w:r>
    </w:p>
    <w:p w14:paraId="0F0EA84D" w14:textId="77777777" w:rsidR="00F13AAF" w:rsidRPr="00BF3CDD" w:rsidRDefault="00F13AAF" w:rsidP="00F13AAF">
      <w:r w:rsidRPr="00BF3CDD">
        <w:t>Artigo 5 – n.º 4</w:t>
      </w:r>
      <w:r w:rsidRPr="00BF3CDD">
        <w:noBreakHyphen/>
        <w:t>A – parágrafo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070E6F44" w14:textId="77777777" w:rsidTr="00E54085">
        <w:trPr>
          <w:jc w:val="center"/>
        </w:trPr>
        <w:tc>
          <w:tcPr>
            <w:tcW w:w="9752" w:type="dxa"/>
            <w:gridSpan w:val="2"/>
          </w:tcPr>
          <w:p w14:paraId="405B3BB5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35FBE89E" w14:textId="77777777" w:rsidTr="00E54085">
        <w:trPr>
          <w:jc w:val="center"/>
        </w:trPr>
        <w:tc>
          <w:tcPr>
            <w:tcW w:w="4876" w:type="dxa"/>
            <w:hideMark/>
          </w:tcPr>
          <w:p w14:paraId="4FCF3561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5B3FB47C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52658CD6" w14:textId="77777777" w:rsidTr="00E54085">
        <w:trPr>
          <w:jc w:val="center"/>
        </w:trPr>
        <w:tc>
          <w:tcPr>
            <w:tcW w:w="4876" w:type="dxa"/>
            <w:hideMark/>
          </w:tcPr>
          <w:p w14:paraId="1C17BAA2" w14:textId="77777777" w:rsidR="00F13AAF" w:rsidRPr="00BF3CDD" w:rsidRDefault="00F13AAF" w:rsidP="00E54085">
            <w:pPr>
              <w:pStyle w:val="Normal6"/>
            </w:pPr>
            <w:r w:rsidRPr="00BF3CDD">
              <w:t>Cabe à Agência identificar as partes dos seus pareceres e eventuais anexos que deverão ser disponibilizadas ao público no seu sítio Web e disponibilizá</w:t>
            </w:r>
            <w:r w:rsidRPr="00BF3CDD">
              <w:noBreakHyphen/>
              <w:t>las ao público no referido sítio Web.</w:t>
            </w:r>
          </w:p>
        </w:tc>
        <w:tc>
          <w:tcPr>
            <w:tcW w:w="4876" w:type="dxa"/>
            <w:hideMark/>
          </w:tcPr>
          <w:p w14:paraId="555FAC65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>Cabe à Agência identificar as partes dos seus pareceres e eventuais anexos que deverão ser disponibilizadas ao público no seu sítio Web e disponibilizá</w:t>
            </w:r>
            <w:r w:rsidRPr="00BF3CDD">
              <w:noBreakHyphen/>
              <w:t>las ao público no referido sítio Web</w:t>
            </w:r>
            <w:r w:rsidRPr="00BF3CDD">
              <w:rPr>
                <w:b/>
                <w:i/>
              </w:rPr>
              <w:t>, incluindo quaisquer pedidos apresentados em conformidade com o segundo parágrafo, alínea c)</w:t>
            </w:r>
            <w:r w:rsidRPr="00BF3CDD">
              <w:t>.</w:t>
            </w:r>
          </w:p>
        </w:tc>
      </w:tr>
    </w:tbl>
    <w:p w14:paraId="1CD8C809" w14:textId="77777777" w:rsidR="00F13AAF" w:rsidRPr="00BF3CDD" w:rsidRDefault="00F13AAF" w:rsidP="00F13AAF"/>
    <w:p w14:paraId="437EB006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7</w:t>
      </w:r>
    </w:p>
    <w:p w14:paraId="6E33BD34" w14:textId="77777777" w:rsidR="00F13AAF" w:rsidRPr="00BF3CDD" w:rsidRDefault="00F13AAF" w:rsidP="00F13AAF"/>
    <w:p w14:paraId="51EE6ABA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42813EB5" w14:textId="77777777" w:rsidR="00F13AAF" w:rsidRPr="00BF3CDD" w:rsidRDefault="00F13AAF" w:rsidP="00F13AAF">
      <w:pPr>
        <w:pStyle w:val="NormalBold"/>
      </w:pPr>
      <w:r w:rsidRPr="00BF3CDD">
        <w:t xml:space="preserve">Artigo 1 – parágrafo 1 – ponto 1 – alínea </w:t>
      </w:r>
      <w:proofErr w:type="spellStart"/>
      <w:r w:rsidRPr="00BF3CDD">
        <w:t>b</w:t>
      </w:r>
      <w:r w:rsidRPr="00BF3CDD">
        <w:noBreakHyphen/>
        <w:t>A</w:t>
      </w:r>
      <w:proofErr w:type="spellEnd"/>
      <w:r w:rsidRPr="00BF3CDD">
        <w:t>) (nova)</w:t>
      </w:r>
    </w:p>
    <w:p w14:paraId="734F7720" w14:textId="77777777" w:rsidR="00F13AAF" w:rsidRPr="00BF3CDD" w:rsidRDefault="00F13AAF" w:rsidP="00F13AAF">
      <w:pPr>
        <w:keepNext/>
      </w:pPr>
      <w:r w:rsidRPr="00BF3CDD">
        <w:t>Diretiva 2011/65/UE</w:t>
      </w:r>
    </w:p>
    <w:p w14:paraId="4A99EA81" w14:textId="77777777" w:rsidR="00F13AAF" w:rsidRPr="00BF3CDD" w:rsidRDefault="00F13AAF" w:rsidP="00F13AAF">
      <w:r w:rsidRPr="00BF3CDD">
        <w:t>Artigo 5 – n.º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0804F288" w14:textId="77777777" w:rsidTr="00E54085">
        <w:trPr>
          <w:jc w:val="center"/>
        </w:trPr>
        <w:tc>
          <w:tcPr>
            <w:tcW w:w="9752" w:type="dxa"/>
            <w:gridSpan w:val="2"/>
          </w:tcPr>
          <w:p w14:paraId="0DC635A7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22B20402" w14:textId="77777777" w:rsidTr="00E54085">
        <w:trPr>
          <w:jc w:val="center"/>
        </w:trPr>
        <w:tc>
          <w:tcPr>
            <w:tcW w:w="4876" w:type="dxa"/>
            <w:hideMark/>
          </w:tcPr>
          <w:p w14:paraId="40D8FAFC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em vigor</w:t>
            </w:r>
          </w:p>
        </w:tc>
        <w:tc>
          <w:tcPr>
            <w:tcW w:w="4876" w:type="dxa"/>
            <w:hideMark/>
          </w:tcPr>
          <w:p w14:paraId="5F217C7F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2C444D19" w14:textId="77777777" w:rsidTr="00E54085">
        <w:trPr>
          <w:jc w:val="center"/>
        </w:trPr>
        <w:tc>
          <w:tcPr>
            <w:tcW w:w="4876" w:type="dxa"/>
          </w:tcPr>
          <w:p w14:paraId="22507B79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049D9406" w14:textId="6420E45A" w:rsidR="00F13AAF" w:rsidRPr="00BF3CDD" w:rsidRDefault="00F13AAF" w:rsidP="00E54085">
            <w:pPr>
              <w:pStyle w:val="Normal6"/>
              <w:rPr>
                <w:szCs w:val="24"/>
              </w:rPr>
            </w:pPr>
            <w:proofErr w:type="spellStart"/>
            <w:r w:rsidRPr="00BF3CDD">
              <w:rPr>
                <w:b/>
                <w:i/>
              </w:rPr>
              <w:t>b</w:t>
            </w:r>
            <w:r w:rsidRPr="00BF3CDD">
              <w:rPr>
                <w:b/>
                <w:i/>
              </w:rPr>
              <w:noBreakHyphen/>
              <w:t>A</w:t>
            </w:r>
            <w:proofErr w:type="spellEnd"/>
            <w:r w:rsidRPr="00BF3CDD">
              <w:rPr>
                <w:b/>
                <w:i/>
              </w:rPr>
              <w:t>)</w:t>
            </w:r>
            <w:r w:rsidRPr="00BF3CDD">
              <w:rPr>
                <w:b/>
                <w:i/>
              </w:rPr>
              <w:tab/>
              <w:t>O n.º 5 passa a ter a seguinte redação:</w:t>
            </w:r>
          </w:p>
        </w:tc>
      </w:tr>
      <w:tr w:rsidR="00F13AAF" w:rsidRPr="00BF3CDD" w14:paraId="55451312" w14:textId="77777777" w:rsidTr="00E54085">
        <w:trPr>
          <w:jc w:val="center"/>
        </w:trPr>
        <w:tc>
          <w:tcPr>
            <w:tcW w:w="4876" w:type="dxa"/>
            <w:hideMark/>
          </w:tcPr>
          <w:p w14:paraId="534E8449" w14:textId="77777777" w:rsidR="00F13AAF" w:rsidRPr="00BF3CDD" w:rsidRDefault="00F13AAF" w:rsidP="00E54085">
            <w:pPr>
              <w:pStyle w:val="Normal6"/>
            </w:pPr>
            <w:r w:rsidRPr="00BF3CDD">
              <w:t>5. Um pedido de renovação de uma isenção deve ser apresentado até 18 meses antes da data de caducidade da isenção. A isenção existente permanece válida até a Comissão ter tomado uma decisão sobre a renovação do pedido.</w:t>
            </w:r>
          </w:p>
        </w:tc>
        <w:tc>
          <w:tcPr>
            <w:tcW w:w="4876" w:type="dxa"/>
            <w:hideMark/>
          </w:tcPr>
          <w:p w14:paraId="0635B3F3" w14:textId="1693075D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 xml:space="preserve">«5. Um pedido de renovação de uma isenção deve ser apresentado até 18 meses antes da data de caducidade da isenção. </w:t>
            </w:r>
            <w:r w:rsidRPr="00BF3CDD">
              <w:rPr>
                <w:b/>
                <w:i/>
              </w:rPr>
              <w:t xml:space="preserve">A Comissão adota uma decisão sobre o pedido no prazo de seis meses a contar da data de receção dos pareceres da Agência. </w:t>
            </w:r>
            <w:r w:rsidRPr="00BF3CDD">
              <w:t>A isenção existente permanece válida até a Comissão ter tomado uma decisão sobre a renovação do pedido.»</w:t>
            </w:r>
          </w:p>
        </w:tc>
      </w:tr>
    </w:tbl>
    <w:p w14:paraId="5D564736" w14:textId="77777777" w:rsidR="00F13AAF" w:rsidRPr="00BF3CDD" w:rsidRDefault="00F13AAF" w:rsidP="00F13AAF"/>
    <w:p w14:paraId="51F6CB84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8</w:t>
      </w:r>
    </w:p>
    <w:p w14:paraId="03EA6C2F" w14:textId="77777777" w:rsidR="00F13AAF" w:rsidRPr="00BF3CDD" w:rsidRDefault="00F13AAF" w:rsidP="00F13AAF"/>
    <w:p w14:paraId="534509C2" w14:textId="77777777" w:rsidR="00F13AAF" w:rsidRPr="00BF3CDD" w:rsidRDefault="00F13AAF" w:rsidP="00F13AAF">
      <w:pPr>
        <w:pStyle w:val="NormalBold"/>
        <w:keepNext/>
      </w:pPr>
      <w:r w:rsidRPr="00BF3CDD">
        <w:lastRenderedPageBreak/>
        <w:t>Proposta de diretiva</w:t>
      </w:r>
    </w:p>
    <w:p w14:paraId="1A944AA5" w14:textId="77777777" w:rsidR="00F13AAF" w:rsidRPr="00BF3CDD" w:rsidRDefault="00F13AAF" w:rsidP="00F13AAF">
      <w:pPr>
        <w:pStyle w:val="NormalBold"/>
      </w:pPr>
      <w:r w:rsidRPr="00BF3CDD">
        <w:t>Artigo 1 – parágrafo 1 – ponto 3 – alínea a)</w:t>
      </w:r>
    </w:p>
    <w:p w14:paraId="46005663" w14:textId="77777777" w:rsidR="00F13AAF" w:rsidRPr="00BF3CDD" w:rsidRDefault="00F13AAF" w:rsidP="00F13AAF">
      <w:pPr>
        <w:keepNext/>
      </w:pPr>
      <w:r w:rsidRPr="00BF3CDD">
        <w:t>Diretiva 2011/65/UE</w:t>
      </w:r>
    </w:p>
    <w:p w14:paraId="15FEE185" w14:textId="77777777" w:rsidR="00F13AAF" w:rsidRPr="00BF3CDD" w:rsidRDefault="00F13AAF" w:rsidP="00F13AAF">
      <w:r w:rsidRPr="00BF3CDD">
        <w:t>Artigo 6 – n.º 1 – parágrafo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1E24838D" w14:textId="77777777" w:rsidTr="00E54085">
        <w:trPr>
          <w:jc w:val="center"/>
        </w:trPr>
        <w:tc>
          <w:tcPr>
            <w:tcW w:w="9752" w:type="dxa"/>
            <w:gridSpan w:val="2"/>
          </w:tcPr>
          <w:p w14:paraId="6E1E5EB7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6DC8F1F3" w14:textId="77777777" w:rsidTr="00E54085">
        <w:trPr>
          <w:jc w:val="center"/>
        </w:trPr>
        <w:tc>
          <w:tcPr>
            <w:tcW w:w="4876" w:type="dxa"/>
            <w:hideMark/>
          </w:tcPr>
          <w:p w14:paraId="79D76F71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58DB3D3B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278AEEC9" w14:textId="77777777" w:rsidTr="00E54085">
        <w:trPr>
          <w:jc w:val="center"/>
        </w:trPr>
        <w:tc>
          <w:tcPr>
            <w:tcW w:w="4876" w:type="dxa"/>
            <w:hideMark/>
          </w:tcPr>
          <w:p w14:paraId="50F6D83C" w14:textId="77777777" w:rsidR="00F13AAF" w:rsidRPr="00BF3CDD" w:rsidRDefault="00F13AAF" w:rsidP="00E54085">
            <w:pPr>
              <w:pStyle w:val="Normal6"/>
            </w:pPr>
            <w:r w:rsidRPr="00BF3CDD">
              <w:t>«Com vista a alcançar os objetivos enunciados no artigo 1.º e tendo em conta o princípio da precaução, a Comissão deve ponderar uma revisão, com base numa avaliação exaustiva, e a alteração da lista de substâncias sujeitas a restrição nos termos do anexo II de forma periódica por sua iniciativa ou na sequência da apresentação de um dossiê relativo às restrições elaborado por um Estado</w:t>
            </w:r>
            <w:r w:rsidRPr="00BF3CDD">
              <w:noBreakHyphen/>
              <w:t>Membro que contenha a informação referida no n.º 2.»;</w:t>
            </w:r>
          </w:p>
        </w:tc>
        <w:tc>
          <w:tcPr>
            <w:tcW w:w="4876" w:type="dxa"/>
            <w:hideMark/>
          </w:tcPr>
          <w:p w14:paraId="28D25170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 xml:space="preserve">«Com vista a alcançar os objetivos enunciados no artigo 1.º e tendo em conta o princípio da precaução, a Comissão deve ponderar uma revisão, com base numa avaliação exaustiva, e a alteração da lista de substâncias sujeitas a restrição nos termos do anexo II de forma periódica </w:t>
            </w:r>
            <w:r w:rsidRPr="00BF3CDD">
              <w:rPr>
                <w:b/>
                <w:i/>
              </w:rPr>
              <w:t>e pelo menos a cada 36 meses</w:t>
            </w:r>
            <w:r w:rsidRPr="00BF3CDD">
              <w:t xml:space="preserve"> por sua iniciativa ou na sequência da apresentação de um dossiê relativo às restrições elaborado por um Estado</w:t>
            </w:r>
            <w:r w:rsidRPr="00BF3CDD">
              <w:noBreakHyphen/>
              <w:t>Membro que contenha a informação referida no n.º 2.»;</w:t>
            </w:r>
          </w:p>
        </w:tc>
      </w:tr>
    </w:tbl>
    <w:p w14:paraId="17F7583C" w14:textId="77777777" w:rsidR="00F13AAF" w:rsidRPr="00BF3CDD" w:rsidRDefault="00F13AAF" w:rsidP="00F13AAF"/>
    <w:p w14:paraId="0700A6A7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9</w:t>
      </w:r>
    </w:p>
    <w:p w14:paraId="3F0618A1" w14:textId="77777777" w:rsidR="00F13AAF" w:rsidRPr="00BF3CDD" w:rsidRDefault="00F13AAF" w:rsidP="00F13AAF"/>
    <w:p w14:paraId="67EBA8A9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56B242DF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0FBC38EF" w14:textId="77777777" w:rsidR="00F13AAF" w:rsidRPr="00BF3CDD" w:rsidRDefault="00F13AAF" w:rsidP="00F13AAF">
      <w:pPr>
        <w:keepNext/>
      </w:pPr>
      <w:r w:rsidRPr="00BF3CDD">
        <w:t>Diretiva 2011/65/UE</w:t>
      </w:r>
    </w:p>
    <w:p w14:paraId="42E0ED16" w14:textId="77777777" w:rsidR="00F13AAF" w:rsidRPr="00BF3CDD" w:rsidRDefault="00F13AAF" w:rsidP="00F13AAF">
      <w:r w:rsidRPr="00BF3CDD">
        <w:t>Artigo 6 – n.º 2 – parágrafo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371605D7" w14:textId="77777777" w:rsidTr="00E54085">
        <w:trPr>
          <w:jc w:val="center"/>
        </w:trPr>
        <w:tc>
          <w:tcPr>
            <w:tcW w:w="9752" w:type="dxa"/>
            <w:gridSpan w:val="2"/>
          </w:tcPr>
          <w:p w14:paraId="49F42AAD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0C20FF56" w14:textId="77777777" w:rsidTr="00E54085">
        <w:trPr>
          <w:jc w:val="center"/>
        </w:trPr>
        <w:tc>
          <w:tcPr>
            <w:tcW w:w="4876" w:type="dxa"/>
            <w:hideMark/>
          </w:tcPr>
          <w:p w14:paraId="62EADE86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67679737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72645B90" w14:textId="77777777" w:rsidTr="00E54085">
        <w:trPr>
          <w:jc w:val="center"/>
        </w:trPr>
        <w:tc>
          <w:tcPr>
            <w:tcW w:w="4876" w:type="dxa"/>
            <w:hideMark/>
          </w:tcPr>
          <w:p w14:paraId="68F03E5C" w14:textId="77777777" w:rsidR="00F13AAF" w:rsidRPr="00BF3CDD" w:rsidRDefault="00F13AAF" w:rsidP="00E54085">
            <w:pPr>
              <w:pStyle w:val="Normal6"/>
            </w:pPr>
            <w:r w:rsidRPr="00BF3CDD">
              <w:t>A revisão e a alteração da lista de substâncias sujeitas a restrição constante do anexo II baseiam</w:t>
            </w:r>
            <w:r w:rsidRPr="00BF3CDD">
              <w:noBreakHyphen/>
              <w:t>se em dossiês relativos às restrições elaborados pela Agência a pedido da Comissão ou elaborados por um Estado</w:t>
            </w:r>
            <w:r w:rsidRPr="00BF3CDD">
              <w:noBreakHyphen/>
              <w:t>Membro.</w:t>
            </w:r>
          </w:p>
        </w:tc>
        <w:tc>
          <w:tcPr>
            <w:tcW w:w="4876" w:type="dxa"/>
            <w:hideMark/>
          </w:tcPr>
          <w:p w14:paraId="6395517F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>A revisão e a alteração da lista de substâncias sujeitas a restrição</w:t>
            </w:r>
            <w:r w:rsidRPr="00BF3CDD">
              <w:rPr>
                <w:b/>
                <w:i/>
              </w:rPr>
              <w:t>, ou grupo de substâncias,</w:t>
            </w:r>
            <w:r w:rsidRPr="00BF3CDD">
              <w:t xml:space="preserve"> constante do anexo II baseiam</w:t>
            </w:r>
            <w:r w:rsidRPr="00BF3CDD">
              <w:noBreakHyphen/>
              <w:t>se em dossiês relativos às restrições elaborados pela Agência a pedido da Comissão ou elaborados por um Estado</w:t>
            </w:r>
            <w:r w:rsidRPr="00BF3CDD">
              <w:noBreakHyphen/>
              <w:t>Membro.</w:t>
            </w:r>
          </w:p>
        </w:tc>
      </w:tr>
    </w:tbl>
    <w:p w14:paraId="0F1988C5" w14:textId="77777777" w:rsidR="00F13AAF" w:rsidRPr="00BF3CDD" w:rsidRDefault="00F13AAF" w:rsidP="00F13AAF"/>
    <w:p w14:paraId="61A09EF1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10</w:t>
      </w:r>
    </w:p>
    <w:p w14:paraId="69FE7849" w14:textId="77777777" w:rsidR="00F13AAF" w:rsidRPr="00BF3CDD" w:rsidRDefault="00F13AAF" w:rsidP="00F13AAF"/>
    <w:p w14:paraId="62598892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1FD93324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6A8BA758" w14:textId="77777777" w:rsidR="00F13AAF" w:rsidRPr="00BF3CDD" w:rsidRDefault="00F13AAF" w:rsidP="00F13AAF">
      <w:pPr>
        <w:keepNext/>
      </w:pPr>
      <w:r w:rsidRPr="00BF3CDD">
        <w:t>Diretiva 2011/65/UE</w:t>
      </w:r>
    </w:p>
    <w:p w14:paraId="0A9FCED0" w14:textId="77777777" w:rsidR="00F13AAF" w:rsidRPr="00BF3CDD" w:rsidRDefault="00F13AAF" w:rsidP="00F13AAF">
      <w:r w:rsidRPr="00BF3CDD">
        <w:t>Artigo 6 – n.º 2 – parágrafo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0098DE77" w14:textId="77777777" w:rsidTr="00E54085">
        <w:trPr>
          <w:jc w:val="center"/>
        </w:trPr>
        <w:tc>
          <w:tcPr>
            <w:tcW w:w="9752" w:type="dxa"/>
            <w:gridSpan w:val="2"/>
          </w:tcPr>
          <w:p w14:paraId="2FCDADFF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124D18AD" w14:textId="77777777" w:rsidTr="00E54085">
        <w:trPr>
          <w:jc w:val="center"/>
        </w:trPr>
        <w:tc>
          <w:tcPr>
            <w:tcW w:w="4876" w:type="dxa"/>
            <w:hideMark/>
          </w:tcPr>
          <w:p w14:paraId="039B3202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73DA21BC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32B65B8D" w14:textId="77777777" w:rsidTr="00E54085">
        <w:trPr>
          <w:jc w:val="center"/>
        </w:trPr>
        <w:tc>
          <w:tcPr>
            <w:tcW w:w="4876" w:type="dxa"/>
            <w:hideMark/>
          </w:tcPr>
          <w:p w14:paraId="32B86450" w14:textId="77777777" w:rsidR="00F13AAF" w:rsidRPr="00BF3CDD" w:rsidRDefault="00F13AAF" w:rsidP="00E54085">
            <w:pPr>
              <w:pStyle w:val="Normal6"/>
            </w:pPr>
            <w:r w:rsidRPr="00BF3CDD">
              <w:t>A Agência ou o Estado</w:t>
            </w:r>
            <w:r w:rsidRPr="00BF3CDD">
              <w:noBreakHyphen/>
              <w:t xml:space="preserve">Membro devem ter em conta todas as informações disponíveis </w:t>
            </w:r>
            <w:r w:rsidRPr="00BF3CDD">
              <w:lastRenderedPageBreak/>
              <w:t xml:space="preserve">e qualquer avaliação </w:t>
            </w:r>
            <w:r w:rsidRPr="00BF3CDD">
              <w:rPr>
                <w:b/>
                <w:i/>
              </w:rPr>
              <w:t>dos riscos</w:t>
            </w:r>
            <w:r w:rsidRPr="00BF3CDD">
              <w:t xml:space="preserve"> pertinente apresentada para efeitos de outras disposições da legislação da União que abranjam </w:t>
            </w:r>
            <w:r w:rsidRPr="00BF3CDD">
              <w:rPr>
                <w:b/>
                <w:bCs/>
                <w:i/>
                <w:iCs/>
              </w:rPr>
              <w:t>o</w:t>
            </w:r>
            <w:r w:rsidRPr="00BF3CDD">
              <w:t xml:space="preserve"> ciclo de vida da substância utilizada nos EEE, incluindo a fase de resíduos. Nesse sentido, os outros organismos estabelecidos ao abrigo do direito da União e que desempenhem funções semelhantes devem prestar, a pedido, informações à Agência ou ao Estado</w:t>
            </w:r>
            <w:r w:rsidRPr="00BF3CDD">
              <w:noBreakHyphen/>
              <w:t>Membro em questão.</w:t>
            </w:r>
          </w:p>
        </w:tc>
        <w:tc>
          <w:tcPr>
            <w:tcW w:w="4876" w:type="dxa"/>
            <w:hideMark/>
          </w:tcPr>
          <w:p w14:paraId="66ED2521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lastRenderedPageBreak/>
              <w:t>A Agência ou o Estado</w:t>
            </w:r>
            <w:r w:rsidRPr="00BF3CDD">
              <w:noBreakHyphen/>
              <w:t xml:space="preserve">Membro devem ter em conta todas as informações disponíveis </w:t>
            </w:r>
            <w:r w:rsidRPr="00BF3CDD">
              <w:lastRenderedPageBreak/>
              <w:t xml:space="preserve">e qualquer avaliação pertinente apresentada para efeitos de outras disposições da legislação da União que abranjam </w:t>
            </w:r>
            <w:r w:rsidRPr="00BF3CDD">
              <w:rPr>
                <w:b/>
                <w:i/>
              </w:rPr>
              <w:t>qualquer parte do</w:t>
            </w:r>
            <w:r w:rsidRPr="00BF3CDD">
              <w:t xml:space="preserve"> ciclo de vida da substância utilizada nos EEE, incluindo a fase de resíduos. Nesse sentido, os outros organismos estabelecidos ao abrigo do direito da União e que desempenhem funções semelhantes devem prestar, a pedido, informações à Agência ou ao Estado</w:t>
            </w:r>
            <w:r w:rsidRPr="00BF3CDD">
              <w:noBreakHyphen/>
              <w:t>Membro em questão.</w:t>
            </w:r>
          </w:p>
        </w:tc>
      </w:tr>
    </w:tbl>
    <w:p w14:paraId="18E2EDAB" w14:textId="77777777" w:rsidR="00F13AAF" w:rsidRPr="00BF3CDD" w:rsidRDefault="00F13AAF" w:rsidP="00F13AAF"/>
    <w:p w14:paraId="54C46A7F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11</w:t>
      </w:r>
    </w:p>
    <w:p w14:paraId="0E367EE1" w14:textId="77777777" w:rsidR="00F13AAF" w:rsidRPr="00BF3CDD" w:rsidRDefault="00F13AAF" w:rsidP="00F13AAF"/>
    <w:p w14:paraId="5BAE3110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449D1CE9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5A6AF846" w14:textId="77777777" w:rsidR="00F13AAF" w:rsidRPr="00BF3CDD" w:rsidRDefault="00F13AAF" w:rsidP="00F13AAF">
      <w:pPr>
        <w:keepNext/>
      </w:pPr>
      <w:r w:rsidRPr="00BF3CDD">
        <w:t>Diretiva 2011/65/UE</w:t>
      </w:r>
    </w:p>
    <w:p w14:paraId="54C38945" w14:textId="77777777" w:rsidR="00F13AAF" w:rsidRPr="00BF3CDD" w:rsidRDefault="00F13AAF" w:rsidP="00F13AAF">
      <w:r w:rsidRPr="00BF3CDD">
        <w:t xml:space="preserve">Artigo 6 – n.º 2 – parágrafo 3 – alínea </w:t>
      </w:r>
      <w:r w:rsidRPr="00BF3CDD">
        <w:noBreakHyphen/>
        <w:t>a)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0359631D" w14:textId="77777777" w:rsidTr="00E54085">
        <w:trPr>
          <w:jc w:val="center"/>
        </w:trPr>
        <w:tc>
          <w:tcPr>
            <w:tcW w:w="9752" w:type="dxa"/>
            <w:gridSpan w:val="2"/>
          </w:tcPr>
          <w:p w14:paraId="6C75EEDC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2483546C" w14:textId="77777777" w:rsidTr="00E54085">
        <w:trPr>
          <w:jc w:val="center"/>
        </w:trPr>
        <w:tc>
          <w:tcPr>
            <w:tcW w:w="4876" w:type="dxa"/>
            <w:hideMark/>
          </w:tcPr>
          <w:p w14:paraId="173C0650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74CAD612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2104DC8F" w14:textId="77777777" w:rsidTr="00E54085">
        <w:trPr>
          <w:jc w:val="center"/>
        </w:trPr>
        <w:tc>
          <w:tcPr>
            <w:tcW w:w="4876" w:type="dxa"/>
          </w:tcPr>
          <w:p w14:paraId="5D4A6BA7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0B10DD42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noBreakHyphen/>
              <w:t>a)</w:t>
            </w:r>
            <w:r w:rsidRPr="00BF3CDD">
              <w:rPr>
                <w:b/>
                <w:i/>
              </w:rPr>
              <w:tab/>
              <w:t>Identidade da substância;</w:t>
            </w:r>
          </w:p>
        </w:tc>
      </w:tr>
    </w:tbl>
    <w:p w14:paraId="528E1A89" w14:textId="77777777" w:rsidR="00F13AAF" w:rsidRPr="00BF3CDD" w:rsidRDefault="00F13AAF" w:rsidP="00F13AAF"/>
    <w:p w14:paraId="309CE9A4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12</w:t>
      </w:r>
    </w:p>
    <w:p w14:paraId="0EBBF353" w14:textId="77777777" w:rsidR="00F13AAF" w:rsidRPr="00BF3CDD" w:rsidRDefault="00F13AAF" w:rsidP="00F13AAF"/>
    <w:p w14:paraId="5B727A36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51C75942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67B82B8A" w14:textId="77777777" w:rsidR="00F13AAF" w:rsidRPr="00BF3CDD" w:rsidRDefault="00F13AAF" w:rsidP="00F13AAF">
      <w:pPr>
        <w:keepNext/>
      </w:pPr>
      <w:r w:rsidRPr="00BF3CDD">
        <w:t>Diretiva 2011/65/UE</w:t>
      </w:r>
    </w:p>
    <w:p w14:paraId="1F6B42EC" w14:textId="77777777" w:rsidR="00F13AAF" w:rsidRPr="00BF3CDD" w:rsidRDefault="00F13AAF" w:rsidP="00F13AAF">
      <w:r w:rsidRPr="00BF3CDD">
        <w:t xml:space="preserve">Artigo 6 – n.º 2 – parágrafo 3 – alínea </w:t>
      </w:r>
      <w:r w:rsidRPr="00BF3CDD">
        <w:noBreakHyphen/>
      </w:r>
      <w:proofErr w:type="spellStart"/>
      <w:r w:rsidRPr="00BF3CDD">
        <w:t>a</w:t>
      </w:r>
      <w:r w:rsidRPr="00BF3CDD">
        <w:noBreakHyphen/>
        <w:t>A</w:t>
      </w:r>
      <w:proofErr w:type="spellEnd"/>
      <w:r w:rsidRPr="00BF3CDD">
        <w:t>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3A1B4499" w14:textId="77777777" w:rsidTr="00E54085">
        <w:trPr>
          <w:jc w:val="center"/>
        </w:trPr>
        <w:tc>
          <w:tcPr>
            <w:tcW w:w="9752" w:type="dxa"/>
            <w:gridSpan w:val="2"/>
          </w:tcPr>
          <w:p w14:paraId="70F31FE3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33F83569" w14:textId="77777777" w:rsidTr="00E54085">
        <w:trPr>
          <w:jc w:val="center"/>
        </w:trPr>
        <w:tc>
          <w:tcPr>
            <w:tcW w:w="4876" w:type="dxa"/>
            <w:hideMark/>
          </w:tcPr>
          <w:p w14:paraId="4323623F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3F7CDB5C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5D08B76C" w14:textId="77777777" w:rsidTr="00E54085">
        <w:trPr>
          <w:jc w:val="center"/>
        </w:trPr>
        <w:tc>
          <w:tcPr>
            <w:tcW w:w="4876" w:type="dxa"/>
          </w:tcPr>
          <w:p w14:paraId="5425C094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4759D9E3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noBreakHyphen/>
            </w:r>
            <w:proofErr w:type="spellStart"/>
            <w:r w:rsidRPr="00BF3CDD">
              <w:rPr>
                <w:b/>
                <w:i/>
              </w:rPr>
              <w:t>a</w:t>
            </w:r>
            <w:r w:rsidRPr="00BF3CDD">
              <w:rPr>
                <w:b/>
                <w:i/>
              </w:rPr>
              <w:noBreakHyphen/>
              <w:t>A</w:t>
            </w:r>
            <w:proofErr w:type="spellEnd"/>
            <w:r w:rsidRPr="00BF3CDD">
              <w:rPr>
                <w:b/>
                <w:i/>
              </w:rPr>
              <w:t>)</w:t>
            </w:r>
            <w:r w:rsidRPr="00BF3CDD">
              <w:rPr>
                <w:b/>
                <w:i/>
              </w:rPr>
              <w:tab/>
              <w:t>Redação precisa e clara da restrição proposta no anexo II;</w:t>
            </w:r>
          </w:p>
        </w:tc>
      </w:tr>
    </w:tbl>
    <w:p w14:paraId="3271A1E5" w14:textId="77777777" w:rsidR="00F13AAF" w:rsidRPr="00BF3CDD" w:rsidRDefault="00F13AAF" w:rsidP="00F13AAF"/>
    <w:p w14:paraId="4C5CAB1A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13</w:t>
      </w:r>
    </w:p>
    <w:p w14:paraId="1A1CE747" w14:textId="77777777" w:rsidR="00F13AAF" w:rsidRPr="00BF3CDD" w:rsidRDefault="00F13AAF" w:rsidP="00F13AAF"/>
    <w:p w14:paraId="61E158AC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1D139C13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1457335C" w14:textId="77777777" w:rsidR="00F13AAF" w:rsidRPr="00BF3CDD" w:rsidRDefault="00F13AAF" w:rsidP="00F13AAF">
      <w:pPr>
        <w:keepNext/>
      </w:pPr>
      <w:r w:rsidRPr="00BF3CDD">
        <w:t>Diretiva 2011/65/UE</w:t>
      </w:r>
    </w:p>
    <w:p w14:paraId="705A1B93" w14:textId="77777777" w:rsidR="00F13AAF" w:rsidRPr="00BF3CDD" w:rsidRDefault="00F13AAF" w:rsidP="00F13AAF">
      <w:r w:rsidRPr="00BF3CDD">
        <w:t xml:space="preserve">Artigo 6 – n.º 2 – parágrafo 3 – alínea </w:t>
      </w:r>
      <w:r w:rsidRPr="00BF3CDD">
        <w:noBreakHyphen/>
        <w:t>a</w:t>
      </w:r>
      <w:r w:rsidRPr="00BF3CDD">
        <w:noBreakHyphen/>
        <w:t>B)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06E72010" w14:textId="77777777" w:rsidTr="00E54085">
        <w:trPr>
          <w:jc w:val="center"/>
        </w:trPr>
        <w:tc>
          <w:tcPr>
            <w:tcW w:w="9752" w:type="dxa"/>
            <w:gridSpan w:val="2"/>
          </w:tcPr>
          <w:p w14:paraId="4BE0B75C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6CB5AFD9" w14:textId="77777777" w:rsidTr="00E54085">
        <w:trPr>
          <w:jc w:val="center"/>
        </w:trPr>
        <w:tc>
          <w:tcPr>
            <w:tcW w:w="4876" w:type="dxa"/>
            <w:hideMark/>
          </w:tcPr>
          <w:p w14:paraId="6BC5BEE8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1C39B3DC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4B08C0B3" w14:textId="77777777" w:rsidTr="00E54085">
        <w:trPr>
          <w:jc w:val="center"/>
        </w:trPr>
        <w:tc>
          <w:tcPr>
            <w:tcW w:w="4876" w:type="dxa"/>
          </w:tcPr>
          <w:p w14:paraId="11280920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47F2DCAD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noBreakHyphen/>
              <w:t>a</w:t>
            </w:r>
            <w:r w:rsidRPr="00BF3CDD">
              <w:rPr>
                <w:b/>
                <w:i/>
              </w:rPr>
              <w:noBreakHyphen/>
              <w:t>B)</w:t>
            </w:r>
            <w:r w:rsidRPr="00BF3CDD">
              <w:rPr>
                <w:b/>
                <w:i/>
              </w:rPr>
              <w:tab/>
              <w:t>Referências e provas científicas aplicáveis à restrição;</w:t>
            </w:r>
          </w:p>
        </w:tc>
      </w:tr>
    </w:tbl>
    <w:p w14:paraId="29D5636D" w14:textId="77777777" w:rsidR="00F13AAF" w:rsidRPr="00BF3CDD" w:rsidRDefault="00F13AAF" w:rsidP="00F13AAF"/>
    <w:p w14:paraId="7A54229D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14</w:t>
      </w:r>
    </w:p>
    <w:p w14:paraId="08C0CEF5" w14:textId="77777777" w:rsidR="00F13AAF" w:rsidRPr="00BF3CDD" w:rsidRDefault="00F13AAF" w:rsidP="00F13AAF"/>
    <w:p w14:paraId="67D05276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3DF86151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7CBA4234" w14:textId="77777777" w:rsidR="00F13AAF" w:rsidRPr="00BF3CDD" w:rsidRDefault="00F13AAF" w:rsidP="00F13AAF">
      <w:pPr>
        <w:keepNext/>
      </w:pPr>
      <w:r w:rsidRPr="00BF3CDD">
        <w:t>Diretiva 2011/65/UE</w:t>
      </w:r>
    </w:p>
    <w:p w14:paraId="108AC6AB" w14:textId="77777777" w:rsidR="00F13AAF" w:rsidRPr="00BF3CDD" w:rsidRDefault="00F13AAF" w:rsidP="00F13AAF">
      <w:r w:rsidRPr="00BF3CDD">
        <w:t xml:space="preserve">Artigo 6 – n.º 2 – parágrafo 3 – alínea </w:t>
      </w:r>
      <w:proofErr w:type="spellStart"/>
      <w:r w:rsidRPr="00BF3CDD">
        <w:t>b</w:t>
      </w:r>
      <w:r w:rsidRPr="00BF3CDD">
        <w:noBreakHyphen/>
        <w:t>A</w:t>
      </w:r>
      <w:proofErr w:type="spellEnd"/>
      <w:r w:rsidRPr="00BF3CDD">
        <w:t>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56FAB46C" w14:textId="77777777" w:rsidTr="00E54085">
        <w:trPr>
          <w:jc w:val="center"/>
        </w:trPr>
        <w:tc>
          <w:tcPr>
            <w:tcW w:w="9752" w:type="dxa"/>
            <w:gridSpan w:val="2"/>
          </w:tcPr>
          <w:p w14:paraId="36F458AD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15458943" w14:textId="77777777" w:rsidTr="00E54085">
        <w:trPr>
          <w:jc w:val="center"/>
        </w:trPr>
        <w:tc>
          <w:tcPr>
            <w:tcW w:w="4876" w:type="dxa"/>
            <w:hideMark/>
          </w:tcPr>
          <w:p w14:paraId="6AE86953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711D8A0A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46DA3C2A" w14:textId="77777777" w:rsidTr="00E54085">
        <w:trPr>
          <w:jc w:val="center"/>
        </w:trPr>
        <w:tc>
          <w:tcPr>
            <w:tcW w:w="4876" w:type="dxa"/>
          </w:tcPr>
          <w:p w14:paraId="27AF8AE9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1470CFA2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proofErr w:type="spellStart"/>
            <w:r w:rsidRPr="00BF3CDD">
              <w:rPr>
                <w:b/>
                <w:i/>
              </w:rPr>
              <w:t>b</w:t>
            </w:r>
            <w:r w:rsidRPr="00BF3CDD">
              <w:rPr>
                <w:b/>
                <w:i/>
              </w:rPr>
              <w:noBreakHyphen/>
              <w:t>A</w:t>
            </w:r>
            <w:proofErr w:type="spellEnd"/>
            <w:r w:rsidRPr="00BF3CDD">
              <w:rPr>
                <w:b/>
                <w:i/>
              </w:rPr>
              <w:t>)</w:t>
            </w:r>
            <w:r w:rsidRPr="00BF3CDD">
              <w:rPr>
                <w:b/>
                <w:i/>
              </w:rPr>
              <w:tab/>
              <w:t>Informações sobre possíveis alternativas, a sua disponibilidade e adequação;</w:t>
            </w:r>
          </w:p>
        </w:tc>
      </w:tr>
    </w:tbl>
    <w:p w14:paraId="3D42E795" w14:textId="77777777" w:rsidR="00F13AAF" w:rsidRPr="00BF3CDD" w:rsidRDefault="00F13AAF" w:rsidP="00F13AAF"/>
    <w:p w14:paraId="4ABB0E2E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15</w:t>
      </w:r>
    </w:p>
    <w:p w14:paraId="051BC664" w14:textId="77777777" w:rsidR="00F13AAF" w:rsidRPr="00BF3CDD" w:rsidRDefault="00F13AAF" w:rsidP="00F13AAF"/>
    <w:p w14:paraId="1596AF57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50D15B3F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0AA65409" w14:textId="77777777" w:rsidR="00F13AAF" w:rsidRPr="00BF3CDD" w:rsidRDefault="00F13AAF" w:rsidP="00F13AAF">
      <w:pPr>
        <w:keepNext/>
      </w:pPr>
      <w:r w:rsidRPr="00BF3CDD">
        <w:t>Diretiva 2011/65/UE</w:t>
      </w:r>
    </w:p>
    <w:p w14:paraId="29F29013" w14:textId="77777777" w:rsidR="00F13AAF" w:rsidRPr="00BF3CDD" w:rsidRDefault="00F13AAF" w:rsidP="00F13AAF">
      <w:r w:rsidRPr="00BF3CDD">
        <w:t>Artigo 6 – n.º 2 – parágrafo 3 – alínea b</w:t>
      </w:r>
      <w:r w:rsidRPr="00BF3CDD">
        <w:noBreakHyphen/>
        <w:t>B)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332C7CD3" w14:textId="77777777" w:rsidTr="00E54085">
        <w:trPr>
          <w:jc w:val="center"/>
        </w:trPr>
        <w:tc>
          <w:tcPr>
            <w:tcW w:w="9752" w:type="dxa"/>
            <w:gridSpan w:val="2"/>
          </w:tcPr>
          <w:p w14:paraId="598DE239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2A71DFAC" w14:textId="77777777" w:rsidTr="00E54085">
        <w:trPr>
          <w:jc w:val="center"/>
        </w:trPr>
        <w:tc>
          <w:tcPr>
            <w:tcW w:w="4876" w:type="dxa"/>
            <w:hideMark/>
          </w:tcPr>
          <w:p w14:paraId="4CBD7581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1B51C150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11DBE071" w14:textId="77777777" w:rsidTr="00E54085">
        <w:trPr>
          <w:jc w:val="center"/>
        </w:trPr>
        <w:tc>
          <w:tcPr>
            <w:tcW w:w="4876" w:type="dxa"/>
          </w:tcPr>
          <w:p w14:paraId="6D9E9981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7873E9C3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b</w:t>
            </w:r>
            <w:r w:rsidRPr="00BF3CDD">
              <w:rPr>
                <w:b/>
                <w:i/>
              </w:rPr>
              <w:noBreakHyphen/>
              <w:t>B)</w:t>
            </w:r>
            <w:r w:rsidRPr="00BF3CDD">
              <w:rPr>
                <w:b/>
                <w:i/>
              </w:rPr>
              <w:tab/>
              <w:t>Motivo pelo qual se considera que uma restrição a nível da União é a medida mais apropriada.</w:t>
            </w:r>
          </w:p>
        </w:tc>
      </w:tr>
    </w:tbl>
    <w:p w14:paraId="3B3E199B" w14:textId="77777777" w:rsidR="00F13AAF" w:rsidRPr="00BF3CDD" w:rsidRDefault="00F13AAF" w:rsidP="00F13AAF"/>
    <w:p w14:paraId="58691EE2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16</w:t>
      </w:r>
    </w:p>
    <w:p w14:paraId="53D29A31" w14:textId="77777777" w:rsidR="00F13AAF" w:rsidRPr="00BF3CDD" w:rsidRDefault="00F13AAF" w:rsidP="00F13AAF"/>
    <w:p w14:paraId="51723EB0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26DBCD91" w14:textId="77777777" w:rsidR="00F13AAF" w:rsidRPr="00BF3CDD" w:rsidRDefault="00F13AAF" w:rsidP="00F13AAF">
      <w:pPr>
        <w:pStyle w:val="NormalBold"/>
      </w:pPr>
      <w:r w:rsidRPr="00BF3CDD">
        <w:t>Artigo 1 – parágrafo 1 – ponto 3 – alínea c)</w:t>
      </w:r>
    </w:p>
    <w:p w14:paraId="5969EF2B" w14:textId="77777777" w:rsidR="00F13AAF" w:rsidRPr="00BF3CDD" w:rsidRDefault="00F13AAF" w:rsidP="00F13AAF">
      <w:pPr>
        <w:keepNext/>
      </w:pPr>
      <w:r w:rsidRPr="00BF3CDD">
        <w:t>Diretiva 2011/65/UE</w:t>
      </w:r>
    </w:p>
    <w:p w14:paraId="50092700" w14:textId="77777777" w:rsidR="00F13AAF" w:rsidRPr="00BF3CDD" w:rsidRDefault="00F13AAF" w:rsidP="00F13AAF">
      <w:r w:rsidRPr="00BF3CDD">
        <w:t>Artigo 6 – n.º 2 – parágrafo 3 – alínea b</w:t>
      </w:r>
      <w:r w:rsidRPr="00BF3CDD">
        <w:noBreakHyphen/>
        <w:t>C) (nova)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0BDFBD10" w14:textId="77777777" w:rsidTr="00E54085">
        <w:trPr>
          <w:jc w:val="center"/>
        </w:trPr>
        <w:tc>
          <w:tcPr>
            <w:tcW w:w="9752" w:type="dxa"/>
            <w:gridSpan w:val="2"/>
          </w:tcPr>
          <w:p w14:paraId="0A2A17CD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0FE99B96" w14:textId="77777777" w:rsidTr="00E54085">
        <w:trPr>
          <w:jc w:val="center"/>
        </w:trPr>
        <w:tc>
          <w:tcPr>
            <w:tcW w:w="4876" w:type="dxa"/>
            <w:hideMark/>
          </w:tcPr>
          <w:p w14:paraId="2164BB06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30678F1A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2FDED197" w14:textId="77777777" w:rsidTr="00E54085">
        <w:trPr>
          <w:jc w:val="center"/>
        </w:trPr>
        <w:tc>
          <w:tcPr>
            <w:tcW w:w="4876" w:type="dxa"/>
          </w:tcPr>
          <w:p w14:paraId="10027361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49111852" w14:textId="77777777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b</w:t>
            </w:r>
            <w:r w:rsidRPr="00BF3CDD">
              <w:rPr>
                <w:b/>
                <w:i/>
              </w:rPr>
              <w:noBreakHyphen/>
              <w:t>C)</w:t>
            </w:r>
            <w:r w:rsidRPr="00BF3CDD">
              <w:rPr>
                <w:b/>
                <w:i/>
              </w:rPr>
              <w:tab/>
              <w:t>Avaliação socioeconómica.</w:t>
            </w:r>
          </w:p>
        </w:tc>
      </w:tr>
    </w:tbl>
    <w:p w14:paraId="121B527E" w14:textId="77777777" w:rsidR="00F13AAF" w:rsidRPr="00BF3CDD" w:rsidRDefault="00F13AAF" w:rsidP="00F13AAF"/>
    <w:p w14:paraId="3D386DF0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17</w:t>
      </w:r>
    </w:p>
    <w:p w14:paraId="38DE5293" w14:textId="77777777" w:rsidR="00F13AAF" w:rsidRPr="00BF3CDD" w:rsidRDefault="00F13AAF" w:rsidP="00F13AAF"/>
    <w:p w14:paraId="4412A8B2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1ADE7F98" w14:textId="77777777" w:rsidR="00F13AAF" w:rsidRPr="00BF3CDD" w:rsidRDefault="00F13AAF" w:rsidP="00F13AAF">
      <w:pPr>
        <w:pStyle w:val="NormalBold"/>
      </w:pPr>
      <w:r w:rsidRPr="00BF3CDD">
        <w:t>Artigo 1 – parágrafo 1 – ponto 4</w:t>
      </w:r>
      <w:r w:rsidRPr="00BF3CDD">
        <w:noBreakHyphen/>
        <w:t>A (novo)</w:t>
      </w:r>
    </w:p>
    <w:p w14:paraId="64D1B645" w14:textId="77777777" w:rsidR="00F13AAF" w:rsidRPr="00BF3CDD" w:rsidRDefault="00F13AAF" w:rsidP="00F13AAF">
      <w:pPr>
        <w:keepNext/>
      </w:pPr>
      <w:r w:rsidRPr="00BF3CDD">
        <w:t>Diretiva 2011/65/UE</w:t>
      </w:r>
    </w:p>
    <w:p w14:paraId="5C4A5CEA" w14:textId="77777777" w:rsidR="00F13AAF" w:rsidRPr="00BF3CDD" w:rsidRDefault="00F13AAF" w:rsidP="00F13AAF">
      <w:r w:rsidRPr="00BF3CDD">
        <w:t>Artigo 20 – n.º 1</w:t>
      </w:r>
      <w:r w:rsidRPr="00BF3CDD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1CF52296" w14:textId="77777777" w:rsidTr="00E54085">
        <w:trPr>
          <w:jc w:val="center"/>
        </w:trPr>
        <w:tc>
          <w:tcPr>
            <w:tcW w:w="9752" w:type="dxa"/>
            <w:gridSpan w:val="2"/>
          </w:tcPr>
          <w:p w14:paraId="2BDB73C5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4C7C414B" w14:textId="77777777" w:rsidTr="00E54085">
        <w:trPr>
          <w:jc w:val="center"/>
        </w:trPr>
        <w:tc>
          <w:tcPr>
            <w:tcW w:w="4876" w:type="dxa"/>
            <w:hideMark/>
          </w:tcPr>
          <w:p w14:paraId="033C9C0E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473B641B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3C4EFCF5" w14:textId="77777777" w:rsidTr="00E54085">
        <w:trPr>
          <w:jc w:val="center"/>
        </w:trPr>
        <w:tc>
          <w:tcPr>
            <w:tcW w:w="4876" w:type="dxa"/>
          </w:tcPr>
          <w:p w14:paraId="55E1B0CA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4E48075B" w14:textId="5CE53F23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4</w:t>
            </w:r>
            <w:r w:rsidRPr="00BF3CDD">
              <w:rPr>
                <w:b/>
                <w:i/>
              </w:rPr>
              <w:noBreakHyphen/>
              <w:t>A)</w:t>
            </w:r>
            <w:r w:rsidRPr="00BF3CDD">
              <w:rPr>
                <w:b/>
                <w:i/>
              </w:rPr>
              <w:tab/>
              <w:t>No artigo 20.°, é inserido o seguinte número:</w:t>
            </w:r>
          </w:p>
        </w:tc>
      </w:tr>
      <w:tr w:rsidR="00F13AAF" w:rsidRPr="00BF3CDD" w14:paraId="2AF0557D" w14:textId="77777777" w:rsidTr="00E54085">
        <w:trPr>
          <w:jc w:val="center"/>
        </w:trPr>
        <w:tc>
          <w:tcPr>
            <w:tcW w:w="4876" w:type="dxa"/>
          </w:tcPr>
          <w:p w14:paraId="3D4B271C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07282A6D" w14:textId="6912952B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«1</w:t>
            </w:r>
            <w:r w:rsidRPr="00BF3CDD">
              <w:rPr>
                <w:b/>
                <w:i/>
              </w:rPr>
              <w:noBreakHyphen/>
              <w:t>A.</w:t>
            </w:r>
            <w:r w:rsidRPr="00BF3CDD">
              <w:rPr>
                <w:b/>
                <w:i/>
              </w:rPr>
              <w:tab/>
              <w:t>Antes de adotar um ato delegado, a Comissão consulta os peritos designados por cada Estado</w:t>
            </w:r>
            <w:r w:rsidRPr="00BF3CDD">
              <w:rPr>
                <w:b/>
                <w:i/>
              </w:rPr>
              <w:noBreakHyphen/>
              <w:t>Membro de acordo com os princípios estabelecidos no Acordo Interinstitucional, de 13 de abril de 2016, sobre legislar melhor.»</w:t>
            </w:r>
          </w:p>
        </w:tc>
      </w:tr>
    </w:tbl>
    <w:p w14:paraId="610C7799" w14:textId="77777777" w:rsidR="00F13AAF" w:rsidRPr="00BF3CDD" w:rsidRDefault="00F13AAF" w:rsidP="00F13AAF"/>
    <w:p w14:paraId="36550498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18</w:t>
      </w:r>
    </w:p>
    <w:p w14:paraId="769E1727" w14:textId="77777777" w:rsidR="00F13AAF" w:rsidRPr="00BF3CDD" w:rsidRDefault="00F13AAF" w:rsidP="00F13AAF"/>
    <w:p w14:paraId="29EB2E80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3E63BDBD" w14:textId="77777777" w:rsidR="00F13AAF" w:rsidRPr="00BF3CDD" w:rsidRDefault="00F13AAF" w:rsidP="00F13AAF">
      <w:pPr>
        <w:pStyle w:val="NormalBold"/>
      </w:pPr>
      <w:r w:rsidRPr="00BF3CDD">
        <w:t>Artigo 1 – parágrafo 1 – ponto 4</w:t>
      </w:r>
      <w:r w:rsidRPr="00BF3CDD">
        <w:noBreakHyphen/>
        <w:t>B (novo)</w:t>
      </w:r>
    </w:p>
    <w:p w14:paraId="1372E251" w14:textId="77777777" w:rsidR="00F13AAF" w:rsidRPr="00BF3CDD" w:rsidRDefault="00F13AAF" w:rsidP="00F13AAF">
      <w:pPr>
        <w:keepNext/>
      </w:pPr>
      <w:r w:rsidRPr="00BF3CDD">
        <w:t>Diretiva 2011/65/UE</w:t>
      </w:r>
    </w:p>
    <w:p w14:paraId="3960EB0F" w14:textId="77777777" w:rsidR="00F13AAF" w:rsidRPr="00BF3CDD" w:rsidRDefault="00F13AAF" w:rsidP="00F13AAF">
      <w:r w:rsidRPr="00BF3CDD">
        <w:t>Artigo 24 – n.º 2</w:t>
      </w:r>
      <w:r w:rsidRPr="00BF3CDD">
        <w:noBreakHyphen/>
        <w:t>A (novo)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1AB0F9C7" w14:textId="77777777" w:rsidTr="00E54085">
        <w:trPr>
          <w:jc w:val="center"/>
        </w:trPr>
        <w:tc>
          <w:tcPr>
            <w:tcW w:w="9752" w:type="dxa"/>
            <w:gridSpan w:val="2"/>
          </w:tcPr>
          <w:p w14:paraId="562669AD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01DE3C29" w14:textId="77777777" w:rsidTr="00E54085">
        <w:trPr>
          <w:jc w:val="center"/>
        </w:trPr>
        <w:tc>
          <w:tcPr>
            <w:tcW w:w="4876" w:type="dxa"/>
            <w:hideMark/>
          </w:tcPr>
          <w:p w14:paraId="126AF84D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2CC44D82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1C46407A" w14:textId="77777777" w:rsidTr="00E54085">
        <w:trPr>
          <w:jc w:val="center"/>
        </w:trPr>
        <w:tc>
          <w:tcPr>
            <w:tcW w:w="4876" w:type="dxa"/>
          </w:tcPr>
          <w:p w14:paraId="45B6B2C2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0CF4895C" w14:textId="61B417E0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4</w:t>
            </w:r>
            <w:r w:rsidRPr="00BF3CDD">
              <w:rPr>
                <w:b/>
                <w:i/>
              </w:rPr>
              <w:noBreakHyphen/>
              <w:t>B)</w:t>
            </w:r>
            <w:r w:rsidRPr="00BF3CDD">
              <w:rPr>
                <w:b/>
                <w:i/>
              </w:rPr>
              <w:tab/>
              <w:t>Ao artigo 24.º é aditado o seguinte número:</w:t>
            </w:r>
          </w:p>
        </w:tc>
      </w:tr>
      <w:tr w:rsidR="00F13AAF" w:rsidRPr="00BF3CDD" w14:paraId="20F0413E" w14:textId="77777777" w:rsidTr="00E54085">
        <w:trPr>
          <w:jc w:val="center"/>
        </w:trPr>
        <w:tc>
          <w:tcPr>
            <w:tcW w:w="4876" w:type="dxa"/>
          </w:tcPr>
          <w:p w14:paraId="4E2448AF" w14:textId="77777777" w:rsidR="00F13AAF" w:rsidRPr="00BF3CDD" w:rsidRDefault="00F13AAF" w:rsidP="00E54085">
            <w:pPr>
              <w:pStyle w:val="Normal6"/>
            </w:pPr>
          </w:p>
        </w:tc>
        <w:tc>
          <w:tcPr>
            <w:tcW w:w="4876" w:type="dxa"/>
            <w:hideMark/>
          </w:tcPr>
          <w:p w14:paraId="61053C89" w14:textId="36CB5820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rPr>
                <w:b/>
                <w:i/>
              </w:rPr>
              <w:t>«2</w:t>
            </w:r>
            <w:r w:rsidRPr="00BF3CDD">
              <w:rPr>
                <w:b/>
                <w:i/>
              </w:rPr>
              <w:noBreakHyphen/>
              <w:t>A.</w:t>
            </w:r>
            <w:r w:rsidRPr="00BF3CDD">
              <w:rPr>
                <w:b/>
                <w:i/>
              </w:rPr>
              <w:tab/>
              <w:t>A Comissão acompanha a situação no que diz respeito aos recursos da Agência Europeia dos Produtos Químicos e às tarefas, ao volume de trabalho e ao âmbito de competências dos comités científicos da Agência Europeia dos Produtos Químicos e apresenta, se necessário, uma proposta legislativa que reflita quaisquer necessidades da Agência decorrentes das atribuições introduzidas pelo presente regulamento e melhore a governação dos seus comités científicos.»</w:t>
            </w:r>
          </w:p>
        </w:tc>
      </w:tr>
    </w:tbl>
    <w:p w14:paraId="3C03A976" w14:textId="77777777" w:rsidR="00F13AAF" w:rsidRPr="00BF3CDD" w:rsidRDefault="00F13AAF" w:rsidP="00F13AAF"/>
    <w:p w14:paraId="7388E7B6" w14:textId="77777777" w:rsidR="00F13AAF" w:rsidRPr="00BF3CDD" w:rsidRDefault="00F13AAF" w:rsidP="00F13AAF">
      <w:pPr>
        <w:pStyle w:val="AmNumberTabs"/>
      </w:pPr>
      <w:r w:rsidRPr="00BF3CDD">
        <w:t>Alteração</w:t>
      </w:r>
      <w:r w:rsidRPr="00BF3CDD">
        <w:tab/>
      </w:r>
      <w:r w:rsidRPr="00BF3CDD">
        <w:tab/>
        <w:t>19</w:t>
      </w:r>
    </w:p>
    <w:p w14:paraId="662E14C5" w14:textId="77777777" w:rsidR="00F13AAF" w:rsidRPr="00BF3CDD" w:rsidRDefault="00F13AAF" w:rsidP="00F13AAF"/>
    <w:p w14:paraId="10DFB9E3" w14:textId="77777777" w:rsidR="00F13AAF" w:rsidRPr="00BF3CDD" w:rsidRDefault="00F13AAF" w:rsidP="00F13AAF">
      <w:pPr>
        <w:pStyle w:val="NormalBold"/>
        <w:keepNext/>
      </w:pPr>
      <w:r w:rsidRPr="00BF3CDD">
        <w:t>Proposta de diretiva</w:t>
      </w:r>
    </w:p>
    <w:p w14:paraId="71EAF7A7" w14:textId="77777777" w:rsidR="00F13AAF" w:rsidRPr="00BF3CDD" w:rsidRDefault="00F13AAF" w:rsidP="00F13AAF">
      <w:pPr>
        <w:pStyle w:val="NormalBold"/>
      </w:pPr>
      <w:r w:rsidRPr="00BF3CDD">
        <w:t>Artigo 2 – parágrafo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13AAF" w:rsidRPr="00BF3CDD" w14:paraId="4E5AA989" w14:textId="77777777" w:rsidTr="00E54085">
        <w:trPr>
          <w:jc w:val="center"/>
        </w:trPr>
        <w:tc>
          <w:tcPr>
            <w:tcW w:w="9752" w:type="dxa"/>
            <w:gridSpan w:val="2"/>
          </w:tcPr>
          <w:p w14:paraId="5E2BB8BA" w14:textId="77777777" w:rsidR="00F13AAF" w:rsidRPr="00BF3CDD" w:rsidRDefault="00F13AAF" w:rsidP="00E54085">
            <w:pPr>
              <w:keepNext/>
            </w:pPr>
          </w:p>
        </w:tc>
      </w:tr>
      <w:tr w:rsidR="00F13AAF" w:rsidRPr="00BF3CDD" w14:paraId="0B13FBF2" w14:textId="77777777" w:rsidTr="00E54085">
        <w:trPr>
          <w:jc w:val="center"/>
        </w:trPr>
        <w:tc>
          <w:tcPr>
            <w:tcW w:w="4876" w:type="dxa"/>
            <w:hideMark/>
          </w:tcPr>
          <w:p w14:paraId="0726D12D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Texto da Comissão</w:t>
            </w:r>
          </w:p>
        </w:tc>
        <w:tc>
          <w:tcPr>
            <w:tcW w:w="4876" w:type="dxa"/>
            <w:hideMark/>
          </w:tcPr>
          <w:p w14:paraId="77336E1B" w14:textId="77777777" w:rsidR="00F13AAF" w:rsidRPr="00BF3CDD" w:rsidRDefault="00F13AAF" w:rsidP="00E54085">
            <w:pPr>
              <w:pStyle w:val="ColumnHeading"/>
              <w:keepNext/>
            </w:pPr>
            <w:r w:rsidRPr="00BF3CDD">
              <w:t>Alteração</w:t>
            </w:r>
          </w:p>
        </w:tc>
      </w:tr>
      <w:tr w:rsidR="00F13AAF" w:rsidRPr="00BF3CDD" w14:paraId="4D041104" w14:textId="77777777" w:rsidTr="00E54085">
        <w:trPr>
          <w:jc w:val="center"/>
        </w:trPr>
        <w:tc>
          <w:tcPr>
            <w:tcW w:w="4876" w:type="dxa"/>
            <w:hideMark/>
          </w:tcPr>
          <w:p w14:paraId="18B52964" w14:textId="77777777" w:rsidR="00F13AAF" w:rsidRPr="00BF3CDD" w:rsidRDefault="00F13AAF" w:rsidP="00E54085">
            <w:pPr>
              <w:pStyle w:val="Normal6"/>
            </w:pPr>
            <w:r w:rsidRPr="00BF3CDD">
              <w:t xml:space="preserve">As disposições da presente diretiva são aplicáveis a partir de [JO: </w:t>
            </w:r>
            <w:r w:rsidRPr="00BF3CDD">
              <w:rPr>
                <w:b/>
                <w:i/>
              </w:rPr>
              <w:t>12</w:t>
            </w:r>
            <w:r w:rsidRPr="00BF3CDD">
              <w:t> meses após a data de publicação da presente diretiva].</w:t>
            </w:r>
          </w:p>
        </w:tc>
        <w:tc>
          <w:tcPr>
            <w:tcW w:w="4876" w:type="dxa"/>
            <w:hideMark/>
          </w:tcPr>
          <w:p w14:paraId="790196D3" w14:textId="23157DD5" w:rsidR="00F13AAF" w:rsidRPr="00BF3CDD" w:rsidRDefault="00F13AAF" w:rsidP="00E54085">
            <w:pPr>
              <w:pStyle w:val="Normal6"/>
              <w:rPr>
                <w:szCs w:val="24"/>
              </w:rPr>
            </w:pPr>
            <w:r w:rsidRPr="00BF3CDD">
              <w:t xml:space="preserve">As disposições da presente diretiva são aplicáveis a partir de </w:t>
            </w:r>
            <w:r w:rsidR="00B578FA" w:rsidRPr="00BF3CDD">
              <w:rPr>
                <w:b/>
                <w:i/>
              </w:rPr>
              <w:t>...</w:t>
            </w:r>
            <w:r w:rsidR="00B578FA" w:rsidRPr="00BF3CDD">
              <w:t xml:space="preserve"> </w:t>
            </w:r>
            <w:r w:rsidRPr="00BF3CDD">
              <w:t xml:space="preserve">[JO: </w:t>
            </w:r>
            <w:r w:rsidRPr="00BF3CDD">
              <w:rPr>
                <w:b/>
                <w:i/>
              </w:rPr>
              <w:t>18</w:t>
            </w:r>
            <w:r w:rsidRPr="00BF3CDD">
              <w:t> meses após a data de publicação da presente diretiva].</w:t>
            </w:r>
          </w:p>
        </w:tc>
      </w:tr>
    </w:tbl>
    <w:p w14:paraId="300DA3BD" w14:textId="77777777" w:rsidR="00E365E1" w:rsidRPr="00BF3CDD" w:rsidRDefault="00E365E1" w:rsidP="008551AD"/>
    <w:sectPr w:rsidR="00E365E1" w:rsidRPr="00BF3CDD" w:rsidSect="006048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BCCA0A" w14:textId="77777777" w:rsidR="008551AD" w:rsidRPr="0060487A" w:rsidRDefault="008551AD">
      <w:r w:rsidRPr="0060487A">
        <w:separator/>
      </w:r>
    </w:p>
  </w:endnote>
  <w:endnote w:type="continuationSeparator" w:id="0">
    <w:p w14:paraId="33088644" w14:textId="77777777" w:rsidR="008551AD" w:rsidRPr="0060487A" w:rsidRDefault="008551AD">
      <w:r w:rsidRPr="006048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E9E8C" w14:textId="77777777" w:rsidR="00064002" w:rsidRPr="006048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DA11" w14:textId="77777777" w:rsidR="00064002" w:rsidRPr="006048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3ED84" w14:textId="77777777" w:rsidR="00064002" w:rsidRPr="006048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71D12C" w14:textId="77777777" w:rsidR="008551AD" w:rsidRPr="0060487A" w:rsidRDefault="008551AD">
      <w:r w:rsidRPr="0060487A">
        <w:separator/>
      </w:r>
    </w:p>
  </w:footnote>
  <w:footnote w:type="continuationSeparator" w:id="0">
    <w:p w14:paraId="772655F3" w14:textId="77777777" w:rsidR="008551AD" w:rsidRPr="0060487A" w:rsidRDefault="008551AD">
      <w:r w:rsidRPr="0060487A">
        <w:continuationSeparator/>
      </w:r>
    </w:p>
  </w:footnote>
  <w:footnote w:id="1">
    <w:p w14:paraId="19C01E53" w14:textId="54CD84AA" w:rsidR="00252F73" w:rsidRPr="00A97682" w:rsidRDefault="00252F73" w:rsidP="00A97682">
      <w:pPr>
        <w:pStyle w:val="FootnoteText"/>
        <w:ind w:left="567" w:hanging="567"/>
        <w:rPr>
          <w:sz w:val="24"/>
          <w:szCs w:val="24"/>
          <w:lang w:val="pt-PT"/>
        </w:rPr>
      </w:pPr>
      <w:r w:rsidRPr="00A97682">
        <w:rPr>
          <w:rStyle w:val="FootnoteReference"/>
          <w:sz w:val="24"/>
          <w:szCs w:val="24"/>
        </w:rPr>
        <w:footnoteRef/>
      </w:r>
      <w:r w:rsidRPr="00A97682">
        <w:rPr>
          <w:sz w:val="24"/>
          <w:szCs w:val="24"/>
          <w:lang w:val="pt-PT"/>
        </w:rPr>
        <w:t xml:space="preserve"> </w:t>
      </w:r>
      <w:r w:rsidRPr="00A97682">
        <w:rPr>
          <w:sz w:val="24"/>
          <w:szCs w:val="24"/>
          <w:lang w:val="pt-PT"/>
        </w:rPr>
        <w:tab/>
        <w:t>O assunto foi devolvido à comiss</w:t>
      </w:r>
      <w:r w:rsidRPr="00252F73">
        <w:rPr>
          <w:sz w:val="24"/>
          <w:szCs w:val="24"/>
          <w:lang w:val="pt-PT"/>
        </w:rPr>
        <w:t xml:space="preserve">ão competente para </w:t>
      </w:r>
      <w:r w:rsidRPr="00A97682">
        <w:rPr>
          <w:sz w:val="24"/>
          <w:szCs w:val="24"/>
          <w:lang w:val="pt-PT"/>
        </w:rPr>
        <w:t>negociações interinstitu</w:t>
      </w:r>
      <w:r w:rsidRPr="00252F73">
        <w:rPr>
          <w:sz w:val="24"/>
          <w:szCs w:val="24"/>
          <w:lang w:val="pt-PT"/>
        </w:rPr>
        <w:t>cionais, nos termos do artigo 60</w:t>
      </w:r>
      <w:r w:rsidRPr="00A97682">
        <w:rPr>
          <w:sz w:val="24"/>
          <w:szCs w:val="24"/>
          <w:lang w:val="pt-PT"/>
        </w:rPr>
        <w:t>.º, n.º 4, qua</w:t>
      </w:r>
      <w:r w:rsidRPr="00252F73">
        <w:rPr>
          <w:sz w:val="24"/>
          <w:szCs w:val="24"/>
          <w:lang w:val="pt-PT"/>
        </w:rPr>
        <w:t>rto parágrafo, do Regimento (A</w:t>
      </w:r>
      <w:r>
        <w:rPr>
          <w:sz w:val="24"/>
          <w:szCs w:val="24"/>
          <w:lang w:val="pt-PT"/>
        </w:rPr>
        <w:t>10</w:t>
      </w:r>
      <w:r>
        <w:rPr>
          <w:sz w:val="24"/>
          <w:szCs w:val="24"/>
          <w:lang w:val="pt-PT"/>
        </w:rPr>
        <w:noBreakHyphen/>
      </w:r>
      <w:r w:rsidR="00ED3357">
        <w:rPr>
          <w:sz w:val="24"/>
          <w:szCs w:val="24"/>
          <w:lang w:val="pt-PT"/>
        </w:rPr>
        <w:t>0019</w:t>
      </w:r>
      <w:bookmarkStart w:id="7" w:name="_GoBack"/>
      <w:bookmarkEnd w:id="7"/>
      <w:r w:rsidRPr="00252F73">
        <w:rPr>
          <w:sz w:val="24"/>
          <w:szCs w:val="24"/>
          <w:lang w:val="pt-PT"/>
        </w:rPr>
        <w:t>/2025</w:t>
      </w:r>
      <w:r w:rsidRPr="00A97682">
        <w:rPr>
          <w:sz w:val="24"/>
          <w:szCs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9592EB" w14:textId="77777777" w:rsidR="00064002" w:rsidRPr="006048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CAFF6" w14:textId="77777777" w:rsidR="00064002" w:rsidRPr="006048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30FE0" w14:textId="77777777" w:rsidR="00064002" w:rsidRPr="006048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5"/>
    <w:docVar w:name="dvlangue" w:val="PT"/>
    <w:docVar w:name="dvnumam" w:val="19"/>
    <w:docVar w:name="dvpe" w:val="763.254"/>
    <w:docVar w:name="dvrapporteur" w:val="Relator: "/>
    <w:docVar w:name="dvstar" w:val="***I"/>
    <w:docVar w:name="dvtitre" w:val="Resolução legislativa do Parlamento Europeu, de ... de ... de 2025,_x000d__x000a_ sobre a proposta de diretiva do Parlamento Europeu e do Conselho que altera a Diretiva 2011/65/UE do Parlamento Europeu e do Conselho no respeitante à reatribuição de tarefas científicas e técnicas à Agência Europeia dos Produtos Químicos(COM(2023)0781 – C9-0448/2023 – 2023/0454(COD))"/>
  </w:docVars>
  <w:rsids>
    <w:rsidRoot w:val="008551AD"/>
    <w:rsid w:val="00002272"/>
    <w:rsid w:val="000071C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F73"/>
    <w:rsid w:val="002767FF"/>
    <w:rsid w:val="002B18FE"/>
    <w:rsid w:val="002B5493"/>
    <w:rsid w:val="002E3A07"/>
    <w:rsid w:val="00300F8C"/>
    <w:rsid w:val="0034083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87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2244"/>
    <w:rsid w:val="007E22AD"/>
    <w:rsid w:val="00817416"/>
    <w:rsid w:val="00842779"/>
    <w:rsid w:val="008551AD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6B16"/>
    <w:rsid w:val="00A43E52"/>
    <w:rsid w:val="00A4678D"/>
    <w:rsid w:val="00A778C7"/>
    <w:rsid w:val="00A97682"/>
    <w:rsid w:val="00AB441E"/>
    <w:rsid w:val="00AB6293"/>
    <w:rsid w:val="00AE0928"/>
    <w:rsid w:val="00AF3B82"/>
    <w:rsid w:val="00B12E95"/>
    <w:rsid w:val="00B22876"/>
    <w:rsid w:val="00B558F0"/>
    <w:rsid w:val="00B578FA"/>
    <w:rsid w:val="00B776D6"/>
    <w:rsid w:val="00BD48FE"/>
    <w:rsid w:val="00BD7BD8"/>
    <w:rsid w:val="00BE6ADC"/>
    <w:rsid w:val="00BF3CDD"/>
    <w:rsid w:val="00C05BFE"/>
    <w:rsid w:val="00C2061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3AD"/>
    <w:rsid w:val="00D91E21"/>
    <w:rsid w:val="00DA7FCD"/>
    <w:rsid w:val="00E12787"/>
    <w:rsid w:val="00E365E1"/>
    <w:rsid w:val="00E72833"/>
    <w:rsid w:val="00E820A4"/>
    <w:rsid w:val="00EB006A"/>
    <w:rsid w:val="00EB4772"/>
    <w:rsid w:val="00ED169E"/>
    <w:rsid w:val="00ED3357"/>
    <w:rsid w:val="00ED4235"/>
    <w:rsid w:val="00F04346"/>
    <w:rsid w:val="00F0704D"/>
    <w:rsid w:val="00F075DC"/>
    <w:rsid w:val="00F13AAF"/>
    <w:rsid w:val="00F149E9"/>
    <w:rsid w:val="00F5134D"/>
    <w:rsid w:val="00F74202"/>
    <w:rsid w:val="00F75F30"/>
    <w:rsid w:val="00F863A4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B31D7"/>
  <w15:chartTrackingRefBased/>
  <w15:docId w15:val="{379313A5-C282-4E0C-8850-6A5699AE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F13AAF"/>
    <w:rPr>
      <w:b/>
    </w:rPr>
  </w:style>
  <w:style w:type="paragraph" w:customStyle="1" w:styleId="NormalHanging12a">
    <w:name w:val="NormalHanging12a"/>
    <w:basedOn w:val="Normal"/>
    <w:rsid w:val="00F13AA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F13AA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F13AA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F13AAF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F13AA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13AAF"/>
    <w:rPr>
      <w:b/>
      <w:sz w:val="24"/>
      <w:lang w:val="pt-PT"/>
    </w:rPr>
  </w:style>
  <w:style w:type="paragraph" w:customStyle="1" w:styleId="ColumnHeading">
    <w:name w:val="ColumnHeading"/>
    <w:basedOn w:val="Normal"/>
    <w:rsid w:val="00F13AAF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F13AAF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E1278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340835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083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40835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408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0835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3408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0835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3408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78FB1-B2CA-41A6-B55B-A93C6AB84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2283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2025-06-10T15:03:00Z</dcterms:created>
  <dcterms:modified xsi:type="dcterms:W3CDTF">2025-06-10T15:03:00Z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P10_TA(2025)0046_</vt:lpwstr>
  </property>
  <property fmtid="{D5CDD505-2E9C-101B-9397-08002B2CF9AE}" pid="4" name="&lt;Type&gt;">
    <vt:lpwstr>RR</vt:lpwstr>
  </property>
</Properties>
</file>