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P10_TA(2025)0046</w:t>
      </w:r>
      <w:bookmarkEnd w:id="1"/>
    </w:p>
    <w:p>
      <w:pPr>
        <w:pStyle w:val="ATHeading2"/>
      </w:pPr>
      <w:bookmarkStart w:id="2" w:name="title"/>
      <w:r>
        <w:t>Prerozdelenie vedeckých a technických úloh Európskej chemickej agentúre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A10-0019/2025</w:instrText>
      </w:r>
      <w:bookmarkEnd w:id="3"/>
      <w:r>
        <w:rPr>
          <w:i/>
        </w:rPr>
        <w:instrText xml:space="preserve"> - Spravodajca: Dimitris Tsiodras)"\l3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životné prostredie, klímu a bezpečnosť potravín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PE763.254</w:t>
      </w:r>
      <w:bookmarkEnd w:id="5"/>
    </w:p>
    <w:p>
      <w:pPr>
        <w:pStyle w:val="ATHeading3"/>
      </w:pPr>
      <w:bookmarkStart w:id="6" w:name="Sujet"/>
      <w:r>
        <w:t>Pozmeňujúce návrhy prijaté Európskym parlamentom 1. apríla 2025 k návrhu smernice Európskeho parlamentu a Rady, ktorou sa mení smernica Európskeho parlamentu a Rady 2011/65/EÚ, pokiaľ ide o prerozdelenie vedeckých a technických úloh Európskej chemickej agentúre</w:t>
      </w:r>
      <w:bookmarkEnd w:id="6"/>
      <w:r>
        <w:t xml:space="preserve"> </w:t>
      </w:r>
      <w:bookmarkStart w:id="7" w:name="References"/>
      <w:r>
        <w:t>(COM(2023)0781 – C9-0448/2023 – 2023/0454(COD))</w:t>
      </w:r>
      <w:bookmarkEnd w:id="7"/>
      <w:r>
        <w:rPr>
          <w:rStyle w:val="FootnoteReference"/>
        </w:rPr>
        <w:footnoteReference w:id="1"/>
      </w:r>
    </w:p>
    <w:p>
      <w:pPr>
        <w:pStyle w:val="NormalBold"/>
      </w:pPr>
      <w:r>
        <w:t>(Riadny legislatívny postup: prvé čítanie)</w:t>
      </w:r>
    </w:p>
    <w:p>
      <w:pPr>
        <w:pStyle w:val="NormalHanging12a"/>
      </w:pPr>
    </w:p>
    <w:p>
      <w:pPr>
        <w:widowControl/>
      </w:pPr>
      <w:r>
        <w:br w:type="page"/>
      </w:r>
    </w:p>
    <w:p>
      <w:pPr>
        <w:pStyle w:val="AmNumberTabs"/>
      </w:pPr>
      <w:r>
        <w:lastRenderedPageBreak/>
        <w:t>Pozmeňujúci návrh</w:t>
      </w:r>
      <w:r>
        <w:tab/>
      </w:r>
      <w:r>
        <w:tab/>
        <w:t>1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Odôvodnenie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(1)</w:t>
            </w:r>
            <w:r>
              <w:tab/>
              <w:t>Komisia vo svojom oznámení Európska zelená dohoda</w:t>
            </w:r>
            <w:r>
              <w:rPr>
                <w:vertAlign w:val="superscript"/>
              </w:rPr>
              <w:t>2</w:t>
            </w:r>
            <w:r>
              <w:t xml:space="preserve"> stanovila cieľ, že v rámci hodnotenia chemickej bezpečnosti by sa malo začať s uplatňovaním postupu „jedna látka, jedno hodnotenie“, pričom vyzvala k transparentnejším a jednoduchším postupom hodnotenia a posudzovania s cieľom znížiť záťaž pre všetky zainteresované strany, urýchliť rozhodovanie, ako aj zvýšiť konzistentnosť a predvídateľnosť vedeckých rozhodnutí a stanovísk. Komisia vo svojom oznámení Chemikálie – stratégia udržateľnosti</w:t>
            </w:r>
            <w:r>
              <w:rPr>
                <w:vertAlign w:val="superscript"/>
              </w:rPr>
              <w:t>3</w:t>
            </w:r>
            <w:r>
              <w:t xml:space="preserve"> dospela k záveru, že na to, aby sa tento cieľ dosiahol, je potrebné časť vedeckej a technickej práce týkajúcej sa chemických látok, ktorá sa vykonáva na úrovni Únie na podporu právnych predpisov Únie, prerozdeliť na najvhodnejšie agentúry Únie. Tým by sa zjednodušila súčasná úprava, zlepšila kvalita a súdržnosť hodnotení bezpečnosti vo všetkých právnych predpisoch Únie a zabezpečilo efektívnejšie využívanie existujúcich zdrojov.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>Komisia vo svojom oznámení Európska zelená dohoda</w:t>
            </w:r>
            <w:r>
              <w:rPr>
                <w:vertAlign w:val="superscript"/>
              </w:rPr>
              <w:t>2</w:t>
            </w:r>
            <w:r>
              <w:t xml:space="preserve"> stanovila cieľ, že v rámci hodnotenia chemickej bezpečnosti by sa malo začať s uplatňovaním postupu „jedna látka, jedno hodnotenie“, pričom vyzvala k transparentnejším a jednoduchším postupom hodnotenia a posudzovania s cieľom znížiť záťaž pre všetky zainteresované strany, urýchliť rozhodovanie, ako aj zvýšiť konzistentnosť a predvídateľnosť vedeckých rozhodnutí a stanovísk. Komisia vo svojom oznámení Chemikálie – stratégia udržateľnosti</w:t>
            </w:r>
            <w:r>
              <w:rPr>
                <w:vertAlign w:val="superscript"/>
              </w:rPr>
              <w:t>3</w:t>
            </w:r>
            <w:r>
              <w:t xml:space="preserve"> dospela k záveru, že na to, aby sa tento cieľ dosiahol, je potrebné časť vedeckej a technickej práce týkajúcej sa chemických látok, ktorá sa vykonáva na úrovni Únie na podporu právnych predpisov Únie, prerozdeliť na najvhodnejšie agentúry Únie. Tým by sa zjednodušila súčasná úprava, zlepšila kvalita a súdržnosť hodnotení bezpečnosti vo všetkých právnych predpisoch Únie a zabezpečilo efektívnejšie využívanie existujúcich zdrojov. </w:t>
            </w:r>
            <w:r>
              <w:rPr>
                <w:b/>
                <w:i/>
              </w:rPr>
              <w:t>Týmto prístupom by sa zjednodušením regulačných postupov a znížením administratívnej záťaže mala zároveň podporiť nákladová efektívnosť a konkurencieschopnosť a  podnikom by sa tým mohla zaistiť možnosť účinne sa prispôsobiť vývoju regulačných rámcov.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rPr>
                <w:vertAlign w:val="superscript"/>
              </w:rPr>
              <w:t>2</w:t>
            </w:r>
            <w:r>
              <w:t xml:space="preserve"> Oznámenie Komisie Európskemu parlamentu, Európskej rade, Rade, Európskemu hospodárskemu a sociálnemu výboru a Výboru regiónov, Európska zelená dohoda </w:t>
            </w:r>
            <w:r>
              <w:rPr>
                <w:b/>
                <w:i/>
              </w:rPr>
              <w:t>[</w:t>
            </w:r>
            <w:r>
              <w:t xml:space="preserve">COM(2019) 640 </w:t>
            </w:r>
            <w:proofErr w:type="spellStart"/>
            <w:r>
              <w:rPr>
                <w:b/>
                <w:i/>
              </w:rPr>
              <w:t>final</w:t>
            </w:r>
            <w:proofErr w:type="spellEnd"/>
            <w:r>
              <w:t xml:space="preserve"> z 11. decembra 2019</w:t>
            </w:r>
            <w:r>
              <w:rPr>
                <w:b/>
                <w:i/>
              </w:rPr>
              <w:t>]</w:t>
            </w:r>
            <w:r>
              <w:t>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</w:t>
            </w:r>
            <w:r>
              <w:t xml:space="preserve"> Oznámenie Komisie Európskemu parlamentu, Európskej rade, Rade, Európskemu hospodárskemu a sociálnemu výboru a Výboru regiónov, Európska zelená dohoda </w:t>
            </w:r>
            <w:r>
              <w:rPr>
                <w:b/>
                <w:i/>
              </w:rPr>
              <w:t>(</w:t>
            </w:r>
            <w:r>
              <w:t xml:space="preserve">COM(2019) 640 </w:t>
            </w:r>
            <w:r>
              <w:rPr>
                <w:b/>
                <w:i/>
              </w:rPr>
              <w:t>v konečnom znení</w:t>
            </w:r>
            <w:r>
              <w:t xml:space="preserve"> z 11. decembra 2019</w:t>
            </w:r>
            <w:r>
              <w:rPr>
                <w:b/>
                <w:i/>
              </w:rPr>
              <w:t>)</w:t>
            </w:r>
            <w:r>
              <w:t>.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rPr>
                <w:vertAlign w:val="superscript"/>
              </w:rPr>
              <w:t>3</w:t>
            </w:r>
            <w:r>
              <w:t xml:space="preserve"> Oznámenie Komisie Európskemu parlamentu, Rade, Európskemu hospodárskemu a sociálnemu výboru a Výboru regiónov, Chemikálie – stratégia </w:t>
            </w:r>
            <w:r>
              <w:lastRenderedPageBreak/>
              <w:t xml:space="preserve">udržateľnosti, Na ceste k životnému prostrediu bez toxických látok </w:t>
            </w:r>
            <w:r>
              <w:rPr>
                <w:b/>
                <w:i/>
              </w:rPr>
              <w:t>[</w:t>
            </w:r>
            <w:r>
              <w:t xml:space="preserve">COM(2020) 667 </w:t>
            </w:r>
            <w:proofErr w:type="spellStart"/>
            <w:r>
              <w:rPr>
                <w:b/>
                <w:i/>
              </w:rPr>
              <w:t>final</w:t>
            </w:r>
            <w:proofErr w:type="spellEnd"/>
            <w:r>
              <w:t xml:space="preserve"> zo 14. októbra 2020</w:t>
            </w:r>
            <w:r>
              <w:rPr>
                <w:b/>
                <w:i/>
              </w:rPr>
              <w:t>]</w:t>
            </w:r>
            <w:r>
              <w:t>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lastRenderedPageBreak/>
              <w:t>3</w:t>
            </w:r>
            <w:r>
              <w:t xml:space="preserve"> Oznámenie Komisie Európskemu parlamentu, Rade, Európskemu hospodárskemu a sociálnemu výboru a Výboru regiónov, Chemikálie – stratégia </w:t>
            </w:r>
            <w:r>
              <w:lastRenderedPageBreak/>
              <w:t xml:space="preserve">udržateľnosti, Na ceste k životnému prostrediu bez toxických látok </w:t>
            </w:r>
            <w:r>
              <w:rPr>
                <w:b/>
                <w:i/>
              </w:rPr>
              <w:t>(</w:t>
            </w:r>
            <w:r>
              <w:t xml:space="preserve">COM(2020) 667 </w:t>
            </w:r>
            <w:r>
              <w:rPr>
                <w:b/>
                <w:i/>
              </w:rPr>
              <w:t>v konečnom znení</w:t>
            </w:r>
            <w:r>
              <w:t xml:space="preserve"> zo 14. októbra 2020</w:t>
            </w:r>
            <w:r>
              <w:rPr>
                <w:b/>
                <w:i/>
              </w:rPr>
              <w:t>)</w:t>
            </w:r>
            <w:r>
              <w:t>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2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Odôvodnenie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(2)</w:t>
            </w:r>
            <w:r>
              <w:tab/>
              <w:t xml:space="preserve">Prerozdelenie určitých vedeckých a technických úloh Európskej chemickej agentúre je potrebné na zosúladenie postupov a úrovní vedeckého preskúmania a digitalizácie so súčasnými normami a procesmi Európskej chemickej agentúry. Je to potrebné aj v záujme zabezpečenia jednotnej úrovne vedeckej kvality, transparentnosti, </w:t>
            </w:r>
            <w:proofErr w:type="spellStart"/>
            <w:r>
              <w:t>vyhľadateľnosti</w:t>
            </w:r>
            <w:proofErr w:type="spellEnd"/>
            <w:r>
              <w:t xml:space="preserve"> údajov a </w:t>
            </w:r>
            <w:proofErr w:type="spellStart"/>
            <w:r>
              <w:t>interoperability</w:t>
            </w:r>
            <w:proofErr w:type="spellEnd"/>
            <w:r>
              <w:t xml:space="preserve"> v súlade s ambíciou „jedna látka, jedno hodnotenie“.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>(2)</w:t>
            </w:r>
            <w:r>
              <w:tab/>
              <w:t xml:space="preserve">Prerozdelenie určitých vedeckých a technických úloh Európskej chemickej agentúre je potrebné na zosúladenie postupov a úrovní vedeckého preskúmania a digitalizácie so súčasnými normami a procesmi Európskej chemickej agentúry. Je to potrebné aj v záujme zabezpečenia jednotnej úrovne vedeckej kvality, transparentnosti, </w:t>
            </w:r>
            <w:proofErr w:type="spellStart"/>
            <w:r>
              <w:t>vyhľadateľnosti</w:t>
            </w:r>
            <w:proofErr w:type="spellEnd"/>
            <w:r>
              <w:t xml:space="preserve"> údajov a </w:t>
            </w:r>
            <w:proofErr w:type="spellStart"/>
            <w:r>
              <w:t>interoperability</w:t>
            </w:r>
            <w:proofErr w:type="spellEnd"/>
            <w:r>
              <w:t xml:space="preserve"> v súlade s ambíciou „jedna látka, jedno hodnotenie“. </w:t>
            </w:r>
            <w:r>
              <w:rPr>
                <w:b/>
                <w:i/>
              </w:rPr>
              <w:t>Okrem toho digitalizácia a zjednodušené procesy obmedzia duplicitu činností a administratívne prieťahy, čo členským štátom aj hospodárskym subjektom prinesie významné úspory nákladov a väčšiu efektivitu.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3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Odôvodnenie 6 a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(6a)</w:t>
            </w:r>
            <w:r>
              <w:rPr>
                <w:b/>
                <w:i/>
              </w:rPr>
              <w:tab/>
              <w:t xml:space="preserve">Zoznam obmedzovaných látok uvedený v smernici 2011/65/EÚ by sa mal pravidelne preskúmavať, aby sa zabezpečila vysoká úroveň ochrany ľudského zdravia, životného prostredia a bezpečnosti spotrebiteľov. Je vhodné stanoviť obdobie preskúmania na najmenej 36 mesiacov, pričom sa zohľadní vývoj na trhu a technický a vedecký pokrok a skutočnosť, že členské štáty môžu kedykoľvek predložiť </w:t>
            </w:r>
            <w:r>
              <w:rPr>
                <w:b/>
                <w:i/>
              </w:rPr>
              <w:lastRenderedPageBreak/>
              <w:t>dokumentáciu o obmedzeniach a horizontálne reštriktívne opatrenia možno iniciovať a prijať podľa nariadenia (ES) č. 1907/2006, nariadenia (EÚ) 2019/1021 alebo iných právnych predpisov Únie o kritériách udržateľnosti pre nebezpečné látky a chemikálie.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4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Odôvodnenie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(8)</w:t>
            </w:r>
            <w:r>
              <w:tab/>
              <w:t xml:space="preserve">Na zmenu procesných ustanovení podľa smernice 2011/65/EÚ je potrebné prechodné obdobie </w:t>
            </w:r>
            <w:r>
              <w:rPr>
                <w:b/>
                <w:bCs/>
                <w:i/>
                <w:iCs/>
              </w:rPr>
              <w:t>12</w:t>
            </w:r>
            <w:r>
              <w:t> mesiacov, aby sa umožnilo pridelenie primeraných zdrojov a úloh pre Európsku chemickú agentúru. Tento časový rámec sa považuje za dostatočný na to, aby prípadným žiadateľom alebo členským štátom umožnil prispôsobiť sa zmeneným procesným krokom podľa uvedenej smernice.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>(8)</w:t>
            </w:r>
            <w:r>
              <w:tab/>
              <w:t xml:space="preserve">Na zmenu procesných ustanovení podľa smernice 2011/65/EÚ je potrebné prechodné obdobie </w:t>
            </w:r>
            <w:r>
              <w:rPr>
                <w:b/>
                <w:bCs/>
                <w:i/>
                <w:iCs/>
              </w:rPr>
              <w:t>18</w:t>
            </w:r>
            <w:r>
              <w:t> mesiacov, aby sa umožnilo pridelenie primeraných zdrojov a úloh pre Európsku chemickú agentúru. Tento časový rámec sa považuje za dostatočný na to, aby prípadným žiadateľom alebo členským štátom umožnil prispôsobiť sa zmeneným procesným krokom podľa uvedenej smernice.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5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1 – odsek 1 – bod 1 – písmeno a</w:t>
      </w:r>
    </w:p>
    <w:p>
      <w:pPr>
        <w:keepNext/>
      </w:pPr>
      <w:r>
        <w:t>Smernica 2011/65/EÚ</w:t>
      </w:r>
    </w:p>
    <w:p>
      <w:r>
        <w:t xml:space="preserve">Článok 5 – odsek 4 – </w:t>
      </w:r>
      <w:proofErr w:type="spellStart"/>
      <w:r>
        <w:t>pododsek</w:t>
      </w:r>
      <w:proofErr w:type="spellEnd"/>
      <w:r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 xml:space="preserve">Ak žiadateľ do lehoty poskytnutej v súlade s prvým </w:t>
            </w:r>
            <w:proofErr w:type="spellStart"/>
            <w:r>
              <w:t>pododsekom</w:t>
            </w:r>
            <w:proofErr w:type="spellEnd"/>
            <w:r>
              <w:t xml:space="preserve"> písmenom c) nedoplní žiadosť o chýbajúce údaje, ktoré agentúra stanovila v súlade s prílohou V, agentúra </w:t>
            </w:r>
            <w:r>
              <w:rPr>
                <w:b/>
                <w:bCs/>
                <w:i/>
                <w:iCs/>
              </w:rPr>
              <w:t>môže</w:t>
            </w:r>
            <w:r>
              <w:t xml:space="preserve"> takúto žiadosť </w:t>
            </w:r>
            <w:r>
              <w:rPr>
                <w:b/>
                <w:bCs/>
                <w:i/>
                <w:iCs/>
              </w:rPr>
              <w:t>zamietnuť</w:t>
            </w:r>
            <w:r>
              <w:t>. Agentúra stanoví a bezodkladne oznámi žiadateľovi dátum, od ktorého sa žiadosť považuje za úplnú.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 xml:space="preserve">Ak žiadateľ do lehoty poskytnutej v súlade s prvým </w:t>
            </w:r>
            <w:proofErr w:type="spellStart"/>
            <w:r>
              <w:t>pododsekom</w:t>
            </w:r>
            <w:proofErr w:type="spellEnd"/>
            <w:r>
              <w:t xml:space="preserve"> písmenom c) nedoplní žiadosť o chýbajúce údaje, ktoré agentúra stanovila v súlade s prílohou V, agentúra takúto žiadosť </w:t>
            </w:r>
            <w:r>
              <w:rPr>
                <w:b/>
                <w:bCs/>
                <w:i/>
                <w:iCs/>
              </w:rPr>
              <w:t>zamietne</w:t>
            </w:r>
            <w:r>
              <w:t>. Agentúra stanoví a bezodkladne oznámi žiadateľovi dátum, od ktorého sa žiadosť považuje za úplnú.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6</w:t>
      </w:r>
    </w:p>
    <w:p/>
    <w:p>
      <w:pPr>
        <w:pStyle w:val="NormalBold"/>
        <w:keepNext/>
      </w:pPr>
      <w:r>
        <w:lastRenderedPageBreak/>
        <w:t>Návrh smernice</w:t>
      </w:r>
    </w:p>
    <w:p>
      <w:pPr>
        <w:pStyle w:val="NormalBold"/>
      </w:pPr>
      <w:r>
        <w:t>Článok 1 – odsek 1 – bod 1 – písmeno b</w:t>
      </w:r>
    </w:p>
    <w:p>
      <w:pPr>
        <w:keepNext/>
      </w:pPr>
      <w:r>
        <w:t>Smernica 2011/65/EÚ</w:t>
      </w:r>
    </w:p>
    <w:p>
      <w:r>
        <w:t xml:space="preserve">Článok 5 – odsek 4a – </w:t>
      </w:r>
      <w:proofErr w:type="spellStart"/>
      <w:r>
        <w:t>pododsek</w:t>
      </w:r>
      <w:proofErr w:type="spellEnd"/>
      <w:r>
        <w:t xml:space="preserve">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Agentúra identifikuje, ktoré časti jej stanovísk a akýchkoľvek ich príloh by sa mali sprístupniť verejnosti na jej webovom sídle a tieto časti na svojom webovom sídle sprístupní verejnosti.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 xml:space="preserve">Agentúra identifikuje, ktoré časti jej stanovísk a akýchkoľvek ich príloh by sa mali sprístupniť verejnosti na jej webovom sídle, a tieto časti na svojom webovom sídle sprístupní verejnosti </w:t>
            </w:r>
            <w:r>
              <w:rPr>
                <w:b/>
                <w:bCs/>
                <w:i/>
                <w:iCs/>
              </w:rPr>
              <w:t xml:space="preserve">vrátane všetkých žiadostí predložených v súlade s druhým </w:t>
            </w:r>
            <w:proofErr w:type="spellStart"/>
            <w:r>
              <w:rPr>
                <w:b/>
                <w:bCs/>
                <w:i/>
                <w:iCs/>
              </w:rPr>
              <w:t>pododsekom</w:t>
            </w:r>
            <w:proofErr w:type="spellEnd"/>
            <w:r>
              <w:rPr>
                <w:b/>
                <w:bCs/>
                <w:i/>
                <w:iCs/>
              </w:rPr>
              <w:t xml:space="preserve"> písm. c).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7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1 – odsek 1 – bod 1 – písmeno b a (nové)</w:t>
      </w:r>
    </w:p>
    <w:p>
      <w:pPr>
        <w:keepNext/>
      </w:pPr>
      <w:r>
        <w:t>Smernica 2011/65/EÚ</w:t>
      </w:r>
    </w:p>
    <w:p>
      <w:r>
        <w:t>Článok 5 – odsek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Platný text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ba)</w:t>
            </w:r>
            <w:r>
              <w:rPr>
                <w:b/>
                <w:i/>
              </w:rPr>
              <w:tab/>
              <w:t>odsek 5 sa nahrádza takto: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 xml:space="preserve">5. </w:t>
            </w:r>
            <w:r>
              <w:tab/>
              <w:t>Žiadosť o predĺženie platnosti výnimky sa predkladá najneskôr 18 mesiacov pred skončením platnosti výnimky. Existujúca výnimka v každom prípade zostane platná, pokým Komisia neprijme rozhodnutie o žiadosti o predĺženie platnosti.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</w:rPr>
              <w:t>„</w:t>
            </w:r>
            <w:r>
              <w:t xml:space="preserve">5. </w:t>
            </w:r>
            <w:r>
              <w:tab/>
              <w:t xml:space="preserve">Žiadosť o predĺženie platnosti výnimky sa predkladá najneskôr 18 mesiacov pred skončením platnosti výnimky. </w:t>
            </w:r>
            <w:r>
              <w:rPr>
                <w:b/>
                <w:bCs/>
                <w:i/>
                <w:iCs/>
              </w:rPr>
              <w:t>Komisia prijme rozhodnutie o žiadosti do šiestich mesiacov od prijatia stanovísk agentúry.</w:t>
            </w:r>
            <w:r>
              <w:rPr>
                <w:b/>
                <w:i/>
              </w:rPr>
              <w:t xml:space="preserve"> </w:t>
            </w:r>
            <w:r>
              <w:t>Existujúca výnimka v každom prípade zostane platná, pokým Komisia neprijme rozhodnutie o žiadosti o predĺženie platnosti.</w:t>
            </w:r>
            <w:r>
              <w:rPr>
                <w:b/>
                <w:i/>
              </w:rPr>
              <w:t>“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8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1 – odsek 1 – bod 3 – písmeno a</w:t>
      </w:r>
    </w:p>
    <w:p>
      <w:pPr>
        <w:keepNext/>
      </w:pPr>
      <w:r>
        <w:t>Smernica 2011/65/EÚ</w:t>
      </w:r>
    </w:p>
    <w:p>
      <w:r>
        <w:t xml:space="preserve">Článok 6 – odsek 1 – </w:t>
      </w:r>
      <w:proofErr w:type="spellStart"/>
      <w:r>
        <w:t>pododsek</w:t>
      </w:r>
      <w:proofErr w:type="spellEnd"/>
      <w:r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 xml:space="preserve">V záujme dosiahnutia cieľov stanovených v článku 1 a s prihliadnutím na zásadu predbežnej opatrnosti Komisia v pravidelných intervaloch z vlastnej </w:t>
            </w:r>
            <w:r>
              <w:lastRenderedPageBreak/>
              <w:t>iniciatívy alebo po predložení dokumentácie o obmedzení vypracovanej členským štátom a obsahujúcej informácie uvedené v odseku 2 zváži, na základe dôkladného hodnotenia, preskúmanie zoznamu obmedzovaných látok uvedených v prílohe II a jeho zmenu.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lastRenderedPageBreak/>
              <w:t xml:space="preserve">V záujme dosiahnutia cieľov stanovených v článku 1 a s prihliadnutím na zásadu predbežnej opatrnosti Komisia v pravidelných intervaloch </w:t>
            </w:r>
            <w:r>
              <w:rPr>
                <w:b/>
                <w:bCs/>
                <w:i/>
                <w:iCs/>
              </w:rPr>
              <w:t xml:space="preserve">a </w:t>
            </w:r>
            <w:r>
              <w:rPr>
                <w:b/>
                <w:bCs/>
                <w:i/>
                <w:iCs/>
              </w:rPr>
              <w:lastRenderedPageBreak/>
              <w:t>prinajmenšom každých 36 mesiacov</w:t>
            </w:r>
            <w:r>
              <w:t xml:space="preserve"> z vlastnej iniciatívy alebo po predložení dokumentácie o obmedzení vypracovanej členským štátom a obsahujúcej informácie uvedené v odseku 2 zváži, na základe dôkladného hodnotenia, preskúmanie zoznamu obmedzovaných látok uvedených v prílohe II a jeho zmenu.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9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1 – odsek 1 – bod 3 – písmeno c</w:t>
      </w:r>
    </w:p>
    <w:p>
      <w:pPr>
        <w:keepNext/>
      </w:pPr>
      <w:r>
        <w:t>Smernica 2011/65/EÚ</w:t>
      </w:r>
    </w:p>
    <w:p>
      <w:r>
        <w:t xml:space="preserve">Článok 6 – odsek 2 – </w:t>
      </w:r>
      <w:proofErr w:type="spellStart"/>
      <w:r>
        <w:t>pododsek</w:t>
      </w:r>
      <w:proofErr w:type="spellEnd"/>
      <w:r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Preskúmanie a zmena zoznamu obmedzovaných látok uvedených v prílohe II vychádzajú z dokumentácií o obmedzení vypracovaných agentúrou na žiadosť Komisie alebo vypracovaných členským štátom.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>Preskúmanie a zmena zoznamu obmedzovaných látok</w:t>
            </w:r>
            <w:r>
              <w:rPr>
                <w:b/>
                <w:bCs/>
                <w:i/>
                <w:iCs/>
              </w:rPr>
              <w:t xml:space="preserve"> alebo skupiny látok</w:t>
            </w:r>
            <w:r>
              <w:t xml:space="preserve"> uvedených v prílohe II vychádzajú z dokumentácií o obmedzení vypracovaných agentúrou na žiadosť Komisie alebo vypracovaných členským štátom.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10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1 – odsek 1 – bod 3 – písmeno c</w:t>
      </w:r>
    </w:p>
    <w:p>
      <w:pPr>
        <w:keepNext/>
      </w:pPr>
      <w:r>
        <w:t>Smernica 2011/65/EÚ</w:t>
      </w:r>
    </w:p>
    <w:p>
      <w:r>
        <w:t xml:space="preserve">Článok 6 – odsek 2 – </w:t>
      </w:r>
      <w:proofErr w:type="spellStart"/>
      <w:r>
        <w:t>pododsek</w:t>
      </w:r>
      <w:proofErr w:type="spellEnd"/>
      <w:r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 xml:space="preserve">Agentúra alebo členský štát zohľadní všetky dostupné informácie a akékoľvek relevantné hodnotenia </w:t>
            </w:r>
            <w:r>
              <w:rPr>
                <w:b/>
                <w:bCs/>
                <w:i/>
                <w:iCs/>
              </w:rPr>
              <w:t>rizika</w:t>
            </w:r>
            <w:r>
              <w:t xml:space="preserve"> predložené na účely iných právnych predpisov Únie týkajúcich sa životného cyklu látky použitej v EEZ, najmä fázu odpadu. Ostatné orgány zriadené podľa práva Únie a vykonávajúce podobné úlohy na požiadanie poskytnú informácie agentúre alebo dotknutému členskému štátu.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 xml:space="preserve">Agentúra alebo členský štát zohľadní všetky dostupné informácie a akékoľvek relevantné hodnotenia predložené na účely iných právnych predpisov Únie týkajúcich sa </w:t>
            </w:r>
            <w:r>
              <w:rPr>
                <w:b/>
                <w:bCs/>
                <w:i/>
                <w:iCs/>
              </w:rPr>
              <w:t>ktorejkoľvek časti</w:t>
            </w:r>
            <w:r>
              <w:t xml:space="preserve"> životného cyklu látky použitej v EEZ, najmä fázu odpadu. Ostatné orgány zriadené podľa práva Únie a vykonávajúce podobné úlohy na požiadanie poskytnú informácie agentúre alebo dotknutému členskému štátu.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11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1 – odsek 1 – bod 3 – písmeno c</w:t>
      </w:r>
    </w:p>
    <w:p>
      <w:pPr>
        <w:keepNext/>
      </w:pPr>
      <w:r>
        <w:t>Smernica 2011/65/EÚ</w:t>
      </w:r>
    </w:p>
    <w:p>
      <w:r>
        <w:t xml:space="preserve">Článok 6 – odsek 2 – </w:t>
      </w:r>
      <w:proofErr w:type="spellStart"/>
      <w:r>
        <w:t>pododsek</w:t>
      </w:r>
      <w:proofErr w:type="spellEnd"/>
      <w:r>
        <w:t xml:space="preserve"> 3 – písmeno -a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-a)</w:t>
            </w:r>
            <w:r>
              <w:rPr>
                <w:b/>
                <w:i/>
              </w:rPr>
              <w:tab/>
              <w:t>identita látky;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12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1 – odsek 1 – bod 3 – písmeno c</w:t>
      </w:r>
    </w:p>
    <w:p>
      <w:pPr>
        <w:keepNext/>
      </w:pPr>
      <w:r>
        <w:t>Smernica 2011/65/EÚ</w:t>
      </w:r>
    </w:p>
    <w:p>
      <w:r>
        <w:t xml:space="preserve">Článok 6 – odsek 2 – </w:t>
      </w:r>
      <w:proofErr w:type="spellStart"/>
      <w:r>
        <w:t>pododsek</w:t>
      </w:r>
      <w:proofErr w:type="spellEnd"/>
      <w:r>
        <w:t xml:space="preserve"> 3 – písmeno -a </w:t>
      </w:r>
      <w:proofErr w:type="spellStart"/>
      <w:r>
        <w:t>a</w:t>
      </w:r>
      <w:proofErr w:type="spellEnd"/>
      <w:r>
        <w:t xml:space="preserve">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aa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presné a jasné znenie navrhovaného obmedzenia v prílohe II;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13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1 – odsek 1 – bod 3 – písmeno c</w:t>
      </w:r>
    </w:p>
    <w:p>
      <w:pPr>
        <w:keepNext/>
      </w:pPr>
      <w:r>
        <w:t>Smernica 2011/65/EÚ</w:t>
      </w:r>
    </w:p>
    <w:p>
      <w:r>
        <w:t xml:space="preserve">Článok 6 – odsek 2 – </w:t>
      </w:r>
      <w:proofErr w:type="spellStart"/>
      <w:r>
        <w:t>pododsek</w:t>
      </w:r>
      <w:proofErr w:type="spellEnd"/>
      <w:r>
        <w:t xml:space="preserve"> 3 – písmeno -a b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ab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odkazy a vedecké dôkazy týkajúce sa obmedzenia;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14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1 – odsek 1 – bod 3 – písmeno c</w:t>
      </w:r>
    </w:p>
    <w:p>
      <w:pPr>
        <w:keepNext/>
      </w:pPr>
      <w:r>
        <w:t>Smernica 2011/65/EÚ</w:t>
      </w:r>
    </w:p>
    <w:p>
      <w:r>
        <w:t xml:space="preserve">Článok 6 – odsek 2 – </w:t>
      </w:r>
      <w:proofErr w:type="spellStart"/>
      <w:r>
        <w:t>pododsek</w:t>
      </w:r>
      <w:proofErr w:type="spellEnd"/>
      <w:r>
        <w:t xml:space="preserve"> 3 – písmeno b a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ba)</w:t>
            </w:r>
            <w:r>
              <w:rPr>
                <w:b/>
                <w:i/>
              </w:rPr>
              <w:tab/>
              <w:t xml:space="preserve">informácie o prípadných </w:t>
            </w:r>
            <w:r>
              <w:rPr>
                <w:b/>
                <w:i/>
              </w:rPr>
              <w:lastRenderedPageBreak/>
              <w:t>alternatívach, o ich dostupnosti a vhodnosti;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15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1 – odsek 1 – bod 3 – písmeno c</w:t>
      </w:r>
    </w:p>
    <w:p>
      <w:pPr>
        <w:keepNext/>
      </w:pPr>
      <w:r>
        <w:t>Smernica 2011/65/EÚ</w:t>
      </w:r>
    </w:p>
    <w:p>
      <w:r>
        <w:t xml:space="preserve">Článok 6 – odsek 2 – </w:t>
      </w:r>
      <w:proofErr w:type="spellStart"/>
      <w:r>
        <w:t>pododsek</w:t>
      </w:r>
      <w:proofErr w:type="spellEnd"/>
      <w:r>
        <w:t xml:space="preserve"> 3 – písmeno b </w:t>
      </w:r>
      <w:proofErr w:type="spellStart"/>
      <w:r>
        <w:t>b</w:t>
      </w:r>
      <w:proofErr w:type="spellEnd"/>
      <w:r>
        <w:t xml:space="preserve">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proofErr w:type="spellStart"/>
            <w:r>
              <w:rPr>
                <w:b/>
                <w:i/>
              </w:rPr>
              <w:t>bb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zdôvodnenie toho, že obmedzenie v rámci celej Únie sa považuje za najvhodnejšie opatrenie;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16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1 – odsek 1 – bod 3 – písmeno c</w:t>
      </w:r>
    </w:p>
    <w:p>
      <w:pPr>
        <w:keepNext/>
      </w:pPr>
      <w:r>
        <w:t>Smernica 2011/65/EÚ</w:t>
      </w:r>
    </w:p>
    <w:p>
      <w:r>
        <w:t xml:space="preserve">Článok 6 – odsek 2 – </w:t>
      </w:r>
      <w:proofErr w:type="spellStart"/>
      <w:r>
        <w:t>pododsek</w:t>
      </w:r>
      <w:proofErr w:type="spellEnd"/>
      <w:r>
        <w:t xml:space="preserve"> 3 – písmeno b c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proofErr w:type="spellStart"/>
            <w:r>
              <w:rPr>
                <w:b/>
                <w:i/>
              </w:rPr>
              <w:t>bc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sociálno-ekonomické posúdenie.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17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1 – odsek 1 – bod 4 a (nový)</w:t>
      </w:r>
    </w:p>
    <w:p>
      <w:pPr>
        <w:keepNext/>
      </w:pPr>
      <w:r>
        <w:t>Smernica 2011/65/EÚ</w:t>
      </w:r>
    </w:p>
    <w:p>
      <w:r>
        <w:t>Článok 20 – odsek 1 a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4a.</w:t>
            </w:r>
            <w:r>
              <w:rPr>
                <w:b/>
                <w:i/>
              </w:rPr>
              <w:tab/>
              <w:t>V článku 20 sa vkladá tento odsek: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„1a.</w:t>
            </w:r>
            <w:r>
              <w:rPr>
                <w:b/>
                <w:i/>
              </w:rPr>
              <w:tab/>
              <w:t xml:space="preserve">Komisia pred prijatím delegovaného aktu konzultuje s expertmi určenými jednotlivými členskými štátmi v súlade so zásadami stanovenými v </w:t>
            </w:r>
            <w:proofErr w:type="spellStart"/>
            <w:r>
              <w:rPr>
                <w:b/>
                <w:i/>
              </w:rPr>
              <w:t>Medziinštitucionálnej</w:t>
            </w:r>
            <w:proofErr w:type="spellEnd"/>
            <w:r>
              <w:rPr>
                <w:b/>
                <w:i/>
              </w:rPr>
              <w:t xml:space="preserve"> dohode z 13. apríla 2016 o lepšej tvorbe práva.”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18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1 – odsek 1 – bod 4 b (nový)</w:t>
      </w:r>
    </w:p>
    <w:p>
      <w:pPr>
        <w:keepNext/>
      </w:pPr>
      <w:r>
        <w:t>Smernica 2011/65/EÚ</w:t>
      </w:r>
    </w:p>
    <w:p>
      <w:r>
        <w:t>Článok 24 – odsek 2 a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4b.</w:t>
            </w:r>
            <w:r>
              <w:rPr>
                <w:b/>
                <w:i/>
              </w:rPr>
              <w:tab/>
              <w:t>V článku 24 sa dopĺňa tento odsek: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„2a.</w:t>
            </w:r>
            <w:r>
              <w:rPr>
                <w:b/>
                <w:i/>
              </w:rPr>
              <w:tab/>
              <w:t>Komisia monitoruje situáciu, pokiaľ ide o zdroje Európskej chemickej agentúry a úlohy, pracovnú záťaž a právomoci vedeckých výborov Európskej chemickej agentúry, a v prípade potreby predloží legislatívny návrh s cieľom zohľadniť všetky potreby Európskej chemickej agentúry vyplývajúce z jej úloh stanovených týmto nariadením a zlepšiť riadenie jej vedeckých výborov.“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19</w:t>
      </w:r>
    </w:p>
    <w:p/>
    <w:p>
      <w:pPr>
        <w:pStyle w:val="NormalBold"/>
        <w:keepNext/>
      </w:pPr>
      <w:r>
        <w:t>Návrh smernice</w:t>
      </w:r>
    </w:p>
    <w:p>
      <w:pPr>
        <w:pStyle w:val="NormalBold"/>
      </w:pPr>
      <w:r>
        <w:t>Článok 2 – odsek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Ustanovenia tejto smernice sa uplatňujú od [Úrad pre publikácie</w:t>
            </w:r>
            <w:r>
              <w:rPr>
                <w:b/>
                <w:i/>
              </w:rPr>
              <w:t>.</w:t>
            </w:r>
            <w:r>
              <w:t xml:space="preserve">: </w:t>
            </w:r>
            <w:r>
              <w:rPr>
                <w:b/>
                <w:bCs/>
                <w:i/>
                <w:iCs/>
              </w:rPr>
              <w:t>12</w:t>
            </w:r>
            <w:r>
              <w:t xml:space="preserve"> mesiacov po uverejnení tejto smernice].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 xml:space="preserve">Ustanovenia tejto smernice sa uplatňujú od [Úrad pre publikácie: </w:t>
            </w:r>
            <w:r>
              <w:rPr>
                <w:b/>
                <w:bCs/>
                <w:i/>
                <w:iCs/>
              </w:rPr>
              <w:t>18</w:t>
            </w:r>
            <w:r>
              <w:t xml:space="preserve"> mesiacov po uverejnení tejto smernice].</w:t>
            </w:r>
          </w:p>
        </w:tc>
      </w:tr>
    </w:tbl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>
        <w:rPr>
          <w:lang w:val="fi-FI"/>
        </w:rPr>
        <w:t xml:space="preserve"> </w:t>
      </w:r>
      <w:r>
        <w:rPr>
          <w:lang w:val="fi-FI"/>
        </w:rPr>
        <w:tab/>
      </w:r>
      <w:r>
        <w:rPr>
          <w:sz w:val="24"/>
          <w:szCs w:val="24"/>
          <w:lang w:val="sk-SK"/>
        </w:rPr>
        <w:t xml:space="preserve">Vec bola vrátená gestorskému výboru na </w:t>
      </w:r>
      <w:proofErr w:type="spellStart"/>
      <w:r>
        <w:rPr>
          <w:sz w:val="24"/>
          <w:szCs w:val="24"/>
          <w:lang w:val="sk-SK"/>
        </w:rPr>
        <w:t>medziinštitucionálne</w:t>
      </w:r>
      <w:proofErr w:type="spellEnd"/>
      <w:r>
        <w:rPr>
          <w:sz w:val="24"/>
          <w:szCs w:val="24"/>
          <w:lang w:val="sk-SK"/>
        </w:rPr>
        <w:t xml:space="preserve"> rokovania podľa článku 60 ods. 4 štvrtého </w:t>
      </w:r>
      <w:proofErr w:type="spellStart"/>
      <w:r>
        <w:rPr>
          <w:sz w:val="24"/>
          <w:szCs w:val="24"/>
          <w:lang w:val="sk-SK"/>
        </w:rPr>
        <w:t>pododseku</w:t>
      </w:r>
      <w:proofErr w:type="spellEnd"/>
      <w:r>
        <w:rPr>
          <w:sz w:val="24"/>
          <w:szCs w:val="24"/>
          <w:lang w:val="sk-SK"/>
        </w:rPr>
        <w:t xml:space="preserve"> (A10-0019/2025).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5"/>
    <w:docVar w:name="dvlangue" w:val="SK"/>
    <w:docVar w:name="dvnumam" w:val="19"/>
    <w:docVar w:name="dvpe" w:val="763.254"/>
    <w:docVar w:name="dvrapporteur" w:val="Spravodajca: "/>
    <w:docVar w:name="dvstar" w:val="***I"/>
    <w:docVar w:name="dvtitre" w:val="Legislatívne uznesenie Európskeho parlamentu z xx. apríla 2025 o návrhu smernice Európskeho parlamentu a Rady, ktorou sa mení smernica Európskeho parlamentu a Rady 2011/65/EÚ, pokiaľ ide o prerozdelenie vedeckých a technických úloh Európskej chemickej agentúre(COM(2023)0781 – C9-0448/2023 – 2023/0454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DA3E3E-7138-437F-94A2-BE2F080B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2D592-4DF6-43A0-9C60-340204246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2095</Words>
  <Characters>11944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8</cp:revision>
  <cp:lastPrinted>2004-11-19T15:42:00Z</cp:lastPrinted>
  <dcterms:created xsi:type="dcterms:W3CDTF">2025-04-01T09:10:00Z</dcterms:created>
  <dcterms:modified xsi:type="dcterms:W3CDTF">2025-04-01T13:54:00Z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A10-0019/2025</vt:lpwstr>
  </property>
  <property fmtid="{D5CDD505-2E9C-101B-9397-08002B2CF9AE}" pid="4" name="&lt;Type&gt;">
    <vt:lpwstr>RR</vt:lpwstr>
  </property>
</Properties>
</file>