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1530" w:rsidTr="0010095E">
        <w:trPr>
          <w:trHeight w:hRule="exact" w:val="1418"/>
        </w:trPr>
        <w:tc>
          <w:tcPr>
            <w:tcW w:w="6804" w:type="dxa"/>
            <w:shd w:val="clear" w:color="auto" w:fill="auto"/>
            <w:vAlign w:val="center"/>
          </w:tcPr>
          <w:p w:rsidR="00751A4A" w:rsidRPr="00B41530" w:rsidRDefault="003E248E" w:rsidP="0010095E">
            <w:pPr>
              <w:pStyle w:val="EPName"/>
            </w:pPr>
            <w:r w:rsidRPr="00B41530">
              <w:t>Evropski parlament</w:t>
            </w:r>
          </w:p>
          <w:p w:rsidR="00751A4A" w:rsidRPr="00B41530" w:rsidRDefault="005F1B17" w:rsidP="005F1B17">
            <w:pPr>
              <w:pStyle w:val="EPTerm"/>
              <w:rPr>
                <w:rStyle w:val="HideTWBExt"/>
                <w:noProof w:val="0"/>
                <w:vanish w:val="0"/>
                <w:color w:val="auto"/>
              </w:rPr>
            </w:pPr>
            <w:r w:rsidRPr="00B41530">
              <w:t>2024</w:t>
            </w:r>
            <w:r w:rsidR="00817416" w:rsidRPr="00B41530">
              <w:t>-202</w:t>
            </w:r>
            <w:r w:rsidRPr="00B41530">
              <w:t>9</w:t>
            </w:r>
          </w:p>
        </w:tc>
        <w:tc>
          <w:tcPr>
            <w:tcW w:w="2268" w:type="dxa"/>
            <w:shd w:val="clear" w:color="auto" w:fill="auto"/>
          </w:tcPr>
          <w:p w:rsidR="00751A4A" w:rsidRPr="00B41530" w:rsidRDefault="00187494" w:rsidP="0010095E">
            <w:pPr>
              <w:pStyle w:val="EPLogo"/>
            </w:pPr>
            <w:r w:rsidRPr="00B415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1530" w:rsidRDefault="00D058B8" w:rsidP="004C5D52">
      <w:pPr>
        <w:pStyle w:val="LineTop"/>
      </w:pPr>
    </w:p>
    <w:p w:rsidR="00680577" w:rsidRPr="00B41530" w:rsidRDefault="003E248E" w:rsidP="00680577">
      <w:pPr>
        <w:pStyle w:val="EPBodyTA1"/>
      </w:pPr>
      <w:r w:rsidRPr="00B41530">
        <w:t>SPREJETA BESEDILA</w:t>
      </w:r>
    </w:p>
    <w:p w:rsidR="00D058B8" w:rsidRPr="00B41530" w:rsidRDefault="00D058B8" w:rsidP="00D058B8">
      <w:pPr>
        <w:pStyle w:val="LineBottom"/>
      </w:pPr>
    </w:p>
    <w:p w:rsidR="003E248E" w:rsidRPr="00B41530" w:rsidRDefault="003E248E" w:rsidP="008C67A6">
      <w:pPr>
        <w:pStyle w:val="ATHeading1"/>
      </w:pPr>
      <w:bookmarkStart w:id="0" w:name="TANumber"/>
      <w:r w:rsidRPr="00B41530">
        <w:t>P10_TA(2025)</w:t>
      </w:r>
      <w:bookmarkEnd w:id="0"/>
      <w:r w:rsidR="008C67A6" w:rsidRPr="00B41530">
        <w:t>0046</w:t>
      </w:r>
    </w:p>
    <w:p w:rsidR="003E248E" w:rsidRPr="00B41530" w:rsidRDefault="004724AF" w:rsidP="003E248E">
      <w:pPr>
        <w:pStyle w:val="ATHeading2"/>
      </w:pPr>
      <w:bookmarkStart w:id="1" w:name="title"/>
      <w:r w:rsidRPr="00B41530">
        <w:t>Predodelitev znanstvenih in tehničnih nalog Evropski agenciji za kemikalije</w:t>
      </w:r>
      <w:bookmarkEnd w:id="1"/>
    </w:p>
    <w:p w:rsidR="003E248E" w:rsidRPr="00B41530" w:rsidRDefault="003E248E" w:rsidP="003E248E">
      <w:pPr>
        <w:rPr>
          <w:i/>
          <w:vanish/>
        </w:rPr>
      </w:pPr>
      <w:r w:rsidRPr="00B41530">
        <w:rPr>
          <w:i/>
        </w:rPr>
        <w:fldChar w:fldCharType="begin"/>
      </w:r>
      <w:r w:rsidRPr="00B41530">
        <w:rPr>
          <w:i/>
        </w:rPr>
        <w:instrText xml:space="preserve"> TC"(</w:instrText>
      </w:r>
      <w:bookmarkStart w:id="2" w:name="DocNumber"/>
      <w:r w:rsidRPr="00B41530">
        <w:rPr>
          <w:i/>
        </w:rPr>
        <w:instrText>A10-0019/2025</w:instrText>
      </w:r>
      <w:bookmarkEnd w:id="2"/>
      <w:r w:rsidRPr="00B41530">
        <w:rPr>
          <w:i/>
        </w:rPr>
        <w:instrText xml:space="preserve"> - Poročevalec: Dimitris Ciodras (Dimitris Tsiodras))"\l3 \n&gt; \* MERGEFORMAT </w:instrText>
      </w:r>
      <w:r w:rsidRPr="00B41530">
        <w:rPr>
          <w:i/>
        </w:rPr>
        <w:fldChar w:fldCharType="end"/>
      </w:r>
    </w:p>
    <w:p w:rsidR="003E248E" w:rsidRPr="00B41530" w:rsidRDefault="003E248E" w:rsidP="003E248E">
      <w:pPr>
        <w:rPr>
          <w:vanish/>
        </w:rPr>
      </w:pPr>
      <w:bookmarkStart w:id="3" w:name="Commission"/>
      <w:r w:rsidRPr="00B41530">
        <w:rPr>
          <w:vanish/>
        </w:rPr>
        <w:t>Odbor za okolje, podnebje in varnost hrane</w:t>
      </w:r>
      <w:bookmarkEnd w:id="3"/>
    </w:p>
    <w:p w:rsidR="003E248E" w:rsidRPr="00B41530" w:rsidRDefault="003E248E" w:rsidP="003E248E">
      <w:pPr>
        <w:rPr>
          <w:vanish/>
        </w:rPr>
      </w:pPr>
      <w:bookmarkStart w:id="4" w:name="PE"/>
      <w:r w:rsidRPr="00B41530">
        <w:rPr>
          <w:vanish/>
        </w:rPr>
        <w:t>PE763.254</w:t>
      </w:r>
      <w:bookmarkEnd w:id="4"/>
    </w:p>
    <w:p w:rsidR="003E248E" w:rsidRPr="00B41530" w:rsidRDefault="008C67A6" w:rsidP="008C67A6">
      <w:pPr>
        <w:pStyle w:val="ATHeading3"/>
      </w:pPr>
      <w:bookmarkStart w:id="5" w:name="Sujet"/>
      <w:r w:rsidRPr="00B41530">
        <w:t>Spremembe</w:t>
      </w:r>
      <w:r w:rsidR="003E248E" w:rsidRPr="00B41530">
        <w:t xml:space="preserve"> Evropskega parlamenta</w:t>
      </w:r>
      <w:r w:rsidRPr="00B41530">
        <w:t>, sprejete</w:t>
      </w:r>
      <w:r w:rsidR="003E248E" w:rsidRPr="00B41530">
        <w:t xml:space="preserve"> </w:t>
      </w:r>
      <w:r w:rsidR="004724AF" w:rsidRPr="00B41530">
        <w:t>1</w:t>
      </w:r>
      <w:r w:rsidR="003E248E" w:rsidRPr="00B41530">
        <w:t>. aprila 2025</w:t>
      </w:r>
      <w:r w:rsidRPr="00B41530">
        <w:t>,</w:t>
      </w:r>
      <w:r w:rsidR="003E248E" w:rsidRPr="00B41530">
        <w:t xml:space="preserve"> o predlogu direktive Evropskega parlamenta in Sveta o spremembi Direktive 2011/65/EU Evropskega parlamenta in Sveta v zvezi s predodelitvijo znanstvenih in tehničnih nalog Evropski agenciji za kemikalije</w:t>
      </w:r>
      <w:bookmarkEnd w:id="5"/>
      <w:r w:rsidR="003E248E" w:rsidRPr="00B41530">
        <w:t xml:space="preserve"> </w:t>
      </w:r>
      <w:bookmarkStart w:id="6" w:name="References"/>
      <w:r w:rsidR="003E248E" w:rsidRPr="00B41530">
        <w:t>(COM(2023)0781 – C9-0448/2023 – 2023/0454(COD))</w:t>
      </w:r>
      <w:bookmarkEnd w:id="6"/>
      <w:r w:rsidRPr="00B41530">
        <w:rPr>
          <w:rStyle w:val="FootnoteReference"/>
        </w:rPr>
        <w:footnoteReference w:id="1"/>
      </w:r>
    </w:p>
    <w:p w:rsidR="003A4476" w:rsidRPr="00B41530" w:rsidRDefault="003A4476" w:rsidP="003A4476">
      <w:pPr>
        <w:pStyle w:val="NormalBold"/>
      </w:pPr>
      <w:r w:rsidRPr="00B41530">
        <w:t>(Redni zakonodajni postopek: prva obravnava)</w:t>
      </w:r>
    </w:p>
    <w:p w:rsidR="00801AC6" w:rsidRPr="00B41530" w:rsidRDefault="00801AC6">
      <w:pPr>
        <w:widowControl/>
        <w:rPr>
          <w:b/>
        </w:rPr>
      </w:pPr>
      <w:r w:rsidRPr="00B41530">
        <w:br w:type="page"/>
      </w:r>
    </w:p>
    <w:p w:rsidR="003A4476" w:rsidRPr="00B41530" w:rsidRDefault="008C67A6" w:rsidP="003A4476">
      <w:pPr>
        <w:pStyle w:val="AmNumberTabs"/>
      </w:pPr>
      <w:r w:rsidRPr="00B41530">
        <w:lastRenderedPageBreak/>
        <w:t>Sprememba</w:t>
      </w:r>
      <w:r w:rsidR="003A4476" w:rsidRPr="00B41530">
        <w:tab/>
      </w:r>
      <w:r w:rsidR="003A4476" w:rsidRPr="00B41530">
        <w:tab/>
        <w:t>1</w:t>
      </w:r>
    </w:p>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Uvodna izjava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hideMark/>
          </w:tcPr>
          <w:p w:rsidR="003A4476" w:rsidRPr="00B41530" w:rsidRDefault="003A4476" w:rsidP="00600310">
            <w:pPr>
              <w:pStyle w:val="Normal6"/>
              <w:rPr>
                <w:lang w:val="sl-SI"/>
              </w:rPr>
            </w:pPr>
            <w:r w:rsidRPr="00B41530">
              <w:rPr>
                <w:lang w:val="sl-SI"/>
              </w:rPr>
              <w:t>(1)</w:t>
            </w:r>
            <w:r w:rsidRPr="00B41530">
              <w:rPr>
                <w:lang w:val="sl-SI"/>
              </w:rPr>
              <w:tab/>
              <w:t>Komisija je v svojem sporočilu Evropski zeleni dogovor</w:t>
            </w:r>
            <w:r w:rsidR="004724AF" w:rsidRPr="00B41530">
              <w:rPr>
                <w:bCs/>
                <w:iCs/>
                <w:vertAlign w:val="superscript"/>
                <w:lang w:val="sl-SI"/>
              </w:rPr>
              <w:t>2</w:t>
            </w:r>
            <w:r w:rsidRPr="00B41530">
              <w:rPr>
                <w:lang w:val="sl-SI"/>
              </w:rPr>
              <w:t xml:space="preserve"> določila cilj, da se izvede prehod ocen kemijske varnosti na postopek „ena snov, ena ocena“, pri čemer je pozvala k preglednejšim in enostavnejšim postopkom ocenjevanja tveganja, da bi se zmanjšalo breme za vse deležnike, pospešilo odločanje ter povečali doslednost in predvidljivost znanstvenih odločitev in mnenj. V sporočilu o strategiji na področju kemikalij za trajnostnost</w:t>
            </w:r>
            <w:r w:rsidR="004724AF" w:rsidRPr="00B41530">
              <w:rPr>
                <w:bCs/>
                <w:iCs/>
                <w:vertAlign w:val="superscript"/>
                <w:lang w:val="sl-SI"/>
              </w:rPr>
              <w:t>3</w:t>
            </w:r>
            <w:r w:rsidRPr="00B41530">
              <w:rPr>
                <w:lang w:val="sl-SI"/>
              </w:rPr>
              <w:t xml:space="preserve"> je sklenila, da je treba za dosego navedenega cilja del znanstvenega in tehničnega dela na področju kemikalij, ki se izvaja na ravni Unije v podporo zakonodaji Unije, predodeliti najustreznejšim agencijam Unije. S tem bi se poenostavila sedanja ureditev, izboljšali kakovost in skladnost ocen varnosti na podlagi celotne zakonodaje Unije ter zagotovila učinkovitejša uporaba obstoječih virov.</w:t>
            </w:r>
          </w:p>
        </w:tc>
        <w:tc>
          <w:tcPr>
            <w:tcW w:w="4876" w:type="dxa"/>
            <w:hideMark/>
          </w:tcPr>
          <w:p w:rsidR="003A4476" w:rsidRPr="00B41530" w:rsidRDefault="003A4476" w:rsidP="00600310">
            <w:pPr>
              <w:pStyle w:val="Normal6"/>
              <w:rPr>
                <w:szCs w:val="24"/>
                <w:lang w:val="sl-SI"/>
              </w:rPr>
            </w:pPr>
            <w:r w:rsidRPr="00B41530">
              <w:rPr>
                <w:lang w:val="sl-SI"/>
              </w:rPr>
              <w:t>(1)</w:t>
            </w:r>
            <w:r w:rsidRPr="00B41530">
              <w:rPr>
                <w:lang w:val="sl-SI"/>
              </w:rPr>
              <w:tab/>
              <w:t>Komisija je v svojem sporočilu Evropski zeleni dogovor</w:t>
            </w:r>
            <w:r w:rsidRPr="00B41530">
              <w:rPr>
                <w:bCs/>
                <w:iCs/>
                <w:vertAlign w:val="superscript"/>
                <w:lang w:val="sl-SI"/>
              </w:rPr>
              <w:t>2</w:t>
            </w:r>
            <w:r w:rsidRPr="00B41530">
              <w:rPr>
                <w:lang w:val="sl-SI"/>
              </w:rPr>
              <w:t xml:space="preserve"> določila cilj, da se izvede prehod ocen kemijske varnosti na postopek „ena snov, ena ocena“, pri čemer je pozvala k preglednejšim in enostavnejšim postopkom ocenjevanja tveganja, da bi se zmanjšalo breme za vse deležnike, pospešilo odločanje ter povečali doslednost in predvidljivost znanstvenih odločitev in mnenj. V sporočilu o strategiji na področju kemikalij za trajnostnost</w:t>
            </w:r>
            <w:r w:rsidRPr="00B41530">
              <w:rPr>
                <w:bCs/>
                <w:iCs/>
                <w:vertAlign w:val="superscript"/>
                <w:lang w:val="sl-SI"/>
              </w:rPr>
              <w:t>3</w:t>
            </w:r>
            <w:r w:rsidRPr="00B41530">
              <w:rPr>
                <w:lang w:val="sl-SI"/>
              </w:rPr>
              <w:t xml:space="preserve"> je sklenila, da je treba za dosego navedenega cilja del znanstvenega in tehničnega dela na področju kemikalij, ki se izvaja na ravni Unije v podporo zakonodaji Unije, predodeliti najustreznejšim agencijam Unije. S tem bi se poenostavila sedanja ureditev, izboljšali kakovost in skladnost ocen varnosti na podlagi celotne zakonodaje Unije ter zagotovila učinkovitejša uporaba obstoječih virov. </w:t>
            </w:r>
            <w:r w:rsidRPr="00B41530">
              <w:rPr>
                <w:b/>
                <w:i/>
                <w:lang w:val="sl-SI"/>
              </w:rPr>
              <w:t>S tem pristopom naj bi se tudi spodbujali stroškovna učinkovitost in konkurenčnost, saj bi se poenostavili regulativni postopki in zmanjšala upravna bremena, tako da bi se lahko podjetja učinkovito prilagajala razvijajočim se regulativnim okvirom.</w:t>
            </w:r>
          </w:p>
        </w:tc>
      </w:tr>
      <w:tr w:rsidR="003A4476" w:rsidRPr="00B41530" w:rsidTr="00600310">
        <w:trPr>
          <w:jc w:val="center"/>
        </w:trPr>
        <w:tc>
          <w:tcPr>
            <w:tcW w:w="4876" w:type="dxa"/>
            <w:hideMark/>
          </w:tcPr>
          <w:p w:rsidR="003A4476" w:rsidRPr="00B41530" w:rsidRDefault="003A4476" w:rsidP="00600310">
            <w:pPr>
              <w:pStyle w:val="Normal6"/>
              <w:rPr>
                <w:lang w:val="sl-SI"/>
              </w:rPr>
            </w:pPr>
            <w:r w:rsidRPr="00B41530">
              <w:rPr>
                <w:lang w:val="sl-SI"/>
              </w:rPr>
              <w:t>__________________</w:t>
            </w:r>
          </w:p>
        </w:tc>
        <w:tc>
          <w:tcPr>
            <w:tcW w:w="4876" w:type="dxa"/>
            <w:hideMark/>
          </w:tcPr>
          <w:p w:rsidR="003A4476" w:rsidRPr="00B41530" w:rsidRDefault="003A4476" w:rsidP="00600310">
            <w:pPr>
              <w:pStyle w:val="Normal6"/>
              <w:rPr>
                <w:szCs w:val="24"/>
                <w:lang w:val="sl-SI"/>
              </w:rPr>
            </w:pPr>
            <w:r w:rsidRPr="00B41530">
              <w:rPr>
                <w:lang w:val="sl-SI"/>
              </w:rPr>
              <w:t>__________________</w:t>
            </w:r>
          </w:p>
        </w:tc>
      </w:tr>
      <w:tr w:rsidR="003A4476" w:rsidRPr="00B41530" w:rsidTr="00600310">
        <w:trPr>
          <w:jc w:val="center"/>
        </w:trPr>
        <w:tc>
          <w:tcPr>
            <w:tcW w:w="4876" w:type="dxa"/>
            <w:hideMark/>
          </w:tcPr>
          <w:p w:rsidR="003A4476" w:rsidRPr="00B41530" w:rsidRDefault="004724AF" w:rsidP="00600310">
            <w:pPr>
              <w:pStyle w:val="Normal6"/>
              <w:rPr>
                <w:lang w:val="sl-SI"/>
              </w:rPr>
            </w:pPr>
            <w:r w:rsidRPr="00B41530">
              <w:rPr>
                <w:bCs/>
                <w:iCs/>
                <w:vertAlign w:val="superscript"/>
                <w:lang w:val="sl-SI"/>
              </w:rPr>
              <w:t>2</w:t>
            </w:r>
            <w:r w:rsidRPr="00B41530">
              <w:rPr>
                <w:bCs/>
                <w:iCs/>
                <w:lang w:val="sl-SI"/>
              </w:rPr>
              <w:t xml:space="preserve"> </w:t>
            </w:r>
            <w:r w:rsidR="003A4476" w:rsidRPr="00B41530">
              <w:rPr>
                <w:lang w:val="sl-SI"/>
              </w:rPr>
              <w:t>Sporočilo Komisije Evropskemu parlamentu, Evropskemu svetu, Svetu, Evropskemu ekonomsko-socialnemu odboru in Odboru regij Evropski zeleni dogovor (COM(2019) 640 final z dne 11. decembra 2019).</w:t>
            </w:r>
          </w:p>
        </w:tc>
        <w:tc>
          <w:tcPr>
            <w:tcW w:w="4876" w:type="dxa"/>
            <w:hideMark/>
          </w:tcPr>
          <w:p w:rsidR="003A4476" w:rsidRPr="00B41530" w:rsidRDefault="003A4476" w:rsidP="00600310">
            <w:pPr>
              <w:pStyle w:val="Normal6"/>
              <w:rPr>
                <w:szCs w:val="24"/>
                <w:lang w:val="sl-SI"/>
              </w:rPr>
            </w:pPr>
            <w:r w:rsidRPr="00B41530">
              <w:rPr>
                <w:bCs/>
                <w:iCs/>
                <w:vertAlign w:val="superscript"/>
                <w:lang w:val="sl-SI"/>
              </w:rPr>
              <w:t>2</w:t>
            </w:r>
            <w:r w:rsidRPr="00B41530">
              <w:rPr>
                <w:bCs/>
                <w:iCs/>
                <w:lang w:val="sl-SI"/>
              </w:rPr>
              <w:t xml:space="preserve"> </w:t>
            </w:r>
            <w:r w:rsidRPr="00B41530">
              <w:rPr>
                <w:lang w:val="sl-SI"/>
              </w:rPr>
              <w:t>Sporočilo Komisije Evropskemu parlamentu, Evropskemu svetu, Svetu, Evropskemu ekonomsko-socialnemu odboru in Odboru regij Evropski zeleni dogovor (COM(2019) 640 final z dne 11. decembra 2019).</w:t>
            </w:r>
          </w:p>
        </w:tc>
      </w:tr>
      <w:tr w:rsidR="003A4476" w:rsidRPr="00B41530" w:rsidTr="00600310">
        <w:trPr>
          <w:jc w:val="center"/>
        </w:trPr>
        <w:tc>
          <w:tcPr>
            <w:tcW w:w="4876" w:type="dxa"/>
            <w:hideMark/>
          </w:tcPr>
          <w:p w:rsidR="003A4476" w:rsidRPr="00B41530" w:rsidRDefault="004724AF" w:rsidP="00600310">
            <w:pPr>
              <w:pStyle w:val="Normal6"/>
              <w:rPr>
                <w:lang w:val="sl-SI"/>
              </w:rPr>
            </w:pPr>
            <w:r w:rsidRPr="00B41530">
              <w:rPr>
                <w:bCs/>
                <w:iCs/>
                <w:vertAlign w:val="superscript"/>
                <w:lang w:val="sl-SI"/>
              </w:rPr>
              <w:t>3</w:t>
            </w:r>
            <w:r w:rsidRPr="00B41530">
              <w:rPr>
                <w:bCs/>
                <w:iCs/>
                <w:lang w:val="sl-SI"/>
              </w:rPr>
              <w:t xml:space="preserve"> </w:t>
            </w:r>
            <w:r w:rsidR="003A4476" w:rsidRPr="00B41530">
              <w:rPr>
                <w:lang w:val="sl-SI"/>
              </w:rPr>
              <w:t>Sporočilo Komisije Evropskemu parlamentu, Svetu, Evropskemu Ekonomsko-socialnemu odboru in Odboru regij Strategija na področju kemikalij za trajnostnost – Okolju brez strupov naproti (COM(2020) 667 final z dne 14. oktobra 2020).</w:t>
            </w:r>
          </w:p>
        </w:tc>
        <w:tc>
          <w:tcPr>
            <w:tcW w:w="4876" w:type="dxa"/>
            <w:hideMark/>
          </w:tcPr>
          <w:p w:rsidR="003A4476" w:rsidRPr="00B41530" w:rsidRDefault="003A4476" w:rsidP="00600310">
            <w:pPr>
              <w:pStyle w:val="Normal6"/>
              <w:rPr>
                <w:szCs w:val="24"/>
                <w:lang w:val="sl-SI"/>
              </w:rPr>
            </w:pPr>
            <w:r w:rsidRPr="00B41530">
              <w:rPr>
                <w:bCs/>
                <w:iCs/>
                <w:vertAlign w:val="superscript"/>
                <w:lang w:val="sl-SI"/>
              </w:rPr>
              <w:t>3</w:t>
            </w:r>
            <w:r w:rsidRPr="00B41530">
              <w:rPr>
                <w:bCs/>
                <w:iCs/>
                <w:lang w:val="sl-SI"/>
              </w:rPr>
              <w:t xml:space="preserve"> </w:t>
            </w:r>
            <w:r w:rsidRPr="00B41530">
              <w:rPr>
                <w:lang w:val="sl-SI"/>
              </w:rPr>
              <w:t>Sporočilo Komisije Evropskemu parlamentu, Svetu, Evropskemu Ekonomsko-socialnemu odboru in Odboru regij Strategija na področju kemikalij za trajnostnost – Okolju brez strupov naproti (COM(2020) 667 final z dne 14. oktobra 2020).</w:t>
            </w:r>
          </w:p>
        </w:tc>
      </w:tr>
    </w:tbl>
    <w:p w:rsidR="003A4476" w:rsidRPr="00B41530" w:rsidRDefault="003A4476" w:rsidP="003A4476"/>
    <w:p w:rsidR="003A4476" w:rsidRPr="00B41530" w:rsidRDefault="008C67A6" w:rsidP="003A4476">
      <w:pPr>
        <w:pStyle w:val="AmNumberTabs"/>
      </w:pPr>
      <w:r w:rsidRPr="00B41530">
        <w:lastRenderedPageBreak/>
        <w:t>Sprememba</w:t>
      </w:r>
      <w:r w:rsidR="003A4476" w:rsidRPr="00B41530">
        <w:tab/>
      </w:r>
      <w:r w:rsidR="003A4476" w:rsidRPr="00B41530">
        <w:tab/>
        <w:t>2</w:t>
      </w:r>
    </w:p>
    <w:p w:rsidR="003A4476" w:rsidRPr="00B41530" w:rsidRDefault="003A4476" w:rsidP="003A4476"/>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Uvodna izjava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hideMark/>
          </w:tcPr>
          <w:p w:rsidR="003A4476" w:rsidRPr="00B41530" w:rsidRDefault="003A4476" w:rsidP="00600310">
            <w:pPr>
              <w:pStyle w:val="Normal6"/>
              <w:rPr>
                <w:lang w:val="sl-SI"/>
              </w:rPr>
            </w:pPr>
            <w:r w:rsidRPr="00B41530">
              <w:rPr>
                <w:lang w:val="sl-SI"/>
              </w:rPr>
              <w:t>(2)</w:t>
            </w:r>
            <w:r w:rsidRPr="00B41530">
              <w:rPr>
                <w:lang w:val="sl-SI"/>
              </w:rPr>
              <w:tab/>
              <w:t>Za uskladitev postopkov ter ravni znanstvenega nadzora in digitalizacije s sedanjimi standardi in postopki Evropske agencije za kemikalije je treba nekatere znanstvene in tehnične naloge predodeliti Evropski agenciji za kemikalije. To je treba storiti tudi za zagotovitev stalnega standarda znanstvene kakovosti in preglednosti ter možnosti iskanja in interoperabilnosti podatkov v skladu s ciljem načela „ena snov, ena ocena“.</w:t>
            </w:r>
          </w:p>
        </w:tc>
        <w:tc>
          <w:tcPr>
            <w:tcW w:w="4876" w:type="dxa"/>
            <w:hideMark/>
          </w:tcPr>
          <w:p w:rsidR="003A4476" w:rsidRPr="00B41530" w:rsidRDefault="003A4476" w:rsidP="00600310">
            <w:pPr>
              <w:pStyle w:val="Normal6"/>
              <w:rPr>
                <w:szCs w:val="24"/>
                <w:lang w:val="sl-SI"/>
              </w:rPr>
            </w:pPr>
            <w:r w:rsidRPr="00B41530">
              <w:rPr>
                <w:lang w:val="sl-SI"/>
              </w:rPr>
              <w:t>(2)</w:t>
            </w:r>
            <w:r w:rsidRPr="00B41530">
              <w:rPr>
                <w:lang w:val="sl-SI"/>
              </w:rPr>
              <w:tab/>
              <w:t xml:space="preserve">Za uskladitev postopkov ter ravni znanstvenega nadzora in digitalizacije s sedanjimi standardi in postopki Evropske agencije za kemikalije je treba nekatere znanstvene in tehnične naloge predodeliti Evropski agenciji za kemikalije. To je treba storiti tudi za zagotovitev stalnega standarda znanstvene kakovosti in preglednosti ter možnosti iskanja in interoperabilnosti podatkov v skladu s ciljem načela „ena snov, ena ocena“. </w:t>
            </w:r>
            <w:r w:rsidRPr="00B41530">
              <w:rPr>
                <w:b/>
                <w:i/>
                <w:lang w:val="sl-SI"/>
              </w:rPr>
              <w:t>Poleg tega se bodo z digitalizacijo in racionaliziranimi postopki zmanjšali podvajanje prizadevanj in upravne zamude, kar bo državam članicam in gospodarskim subjektom omogočilo znatne prihranke pri stroških in večjo učinkovitost.</w:t>
            </w:r>
          </w:p>
        </w:tc>
      </w:tr>
    </w:tbl>
    <w:p w:rsidR="003A4476" w:rsidRPr="00B41530" w:rsidRDefault="003A4476" w:rsidP="003A4476"/>
    <w:p w:rsidR="003A4476" w:rsidRPr="00B41530" w:rsidRDefault="008C67A6" w:rsidP="003A4476">
      <w:pPr>
        <w:pStyle w:val="AmNumberTabs"/>
      </w:pPr>
      <w:r w:rsidRPr="00B41530">
        <w:t>Sprememba</w:t>
      </w:r>
      <w:r w:rsidR="003A4476" w:rsidRPr="00B41530">
        <w:tab/>
      </w:r>
      <w:r w:rsidR="003A4476" w:rsidRPr="00B41530">
        <w:tab/>
        <w:t>3</w:t>
      </w:r>
    </w:p>
    <w:p w:rsidR="003A4476" w:rsidRPr="00B41530" w:rsidRDefault="003A4476" w:rsidP="003A4476"/>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Uvodna izjava 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tcPr>
          <w:p w:rsidR="003A4476" w:rsidRPr="00B41530" w:rsidRDefault="003A4476" w:rsidP="00600310">
            <w:pPr>
              <w:pStyle w:val="Normal6"/>
              <w:rPr>
                <w:lang w:val="sl-SI"/>
              </w:rPr>
            </w:pPr>
          </w:p>
        </w:tc>
        <w:tc>
          <w:tcPr>
            <w:tcW w:w="4876" w:type="dxa"/>
            <w:hideMark/>
          </w:tcPr>
          <w:p w:rsidR="003A4476" w:rsidRPr="00B41530" w:rsidRDefault="003A4476" w:rsidP="00600310">
            <w:pPr>
              <w:pStyle w:val="Normal6"/>
              <w:rPr>
                <w:szCs w:val="24"/>
                <w:lang w:val="sl-SI"/>
              </w:rPr>
            </w:pPr>
            <w:r w:rsidRPr="00B41530">
              <w:rPr>
                <w:b/>
                <w:i/>
                <w:lang w:val="sl-SI"/>
              </w:rPr>
              <w:t>(6a)</w:t>
            </w:r>
            <w:r w:rsidRPr="00B41530">
              <w:rPr>
                <w:b/>
                <w:i/>
                <w:lang w:val="sl-SI"/>
              </w:rPr>
              <w:tab/>
              <w:t>Seznam omejenih snovi iz Direktive 2011/65/EU bi bilo treba redno pregledovati, da se zagotovi visoka raven varstva zdravja ljudi, okolja in varnosti potrošnikov. Primerno je določiti vsaj 36-mesečno obdobje pregleda, ob upoštevanju razvoja trga, tehničnega in znanstvenega napredka ter dejstva, da lahko države članice kadar koli predložijo dokumentacijo za omejitve in da je z Uredbo (ES) št. 1907/2006, Uredbo (EU) 2019/1021 ali drugim pravom Unije o trajnostnih merilih za nevarne snovi in kemikalije mogoče uvesti in sprejeti horizontalne omejevalne ukrepe.</w:t>
            </w:r>
          </w:p>
        </w:tc>
      </w:tr>
    </w:tbl>
    <w:p w:rsidR="003A4476" w:rsidRPr="00B41530" w:rsidRDefault="003A4476" w:rsidP="003A4476"/>
    <w:p w:rsidR="003A4476" w:rsidRPr="00B41530" w:rsidRDefault="008C67A6" w:rsidP="003A4476">
      <w:pPr>
        <w:pStyle w:val="AmNumberTabs"/>
      </w:pPr>
      <w:r w:rsidRPr="00B41530">
        <w:lastRenderedPageBreak/>
        <w:t>Sprememba</w:t>
      </w:r>
      <w:r w:rsidR="003A4476" w:rsidRPr="00B41530">
        <w:tab/>
      </w:r>
      <w:r w:rsidR="003A4476" w:rsidRPr="00B41530">
        <w:tab/>
        <w:t>4</w:t>
      </w:r>
    </w:p>
    <w:p w:rsidR="003A4476" w:rsidRPr="00B41530" w:rsidRDefault="003A4476" w:rsidP="003A4476"/>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hideMark/>
          </w:tcPr>
          <w:p w:rsidR="003A4476" w:rsidRPr="00B41530" w:rsidRDefault="003A4476" w:rsidP="00600310">
            <w:pPr>
              <w:pStyle w:val="Normal6"/>
              <w:rPr>
                <w:lang w:val="sl-SI"/>
              </w:rPr>
            </w:pPr>
            <w:r w:rsidRPr="00B41530">
              <w:rPr>
                <w:lang w:val="sl-SI"/>
              </w:rPr>
              <w:t>(8)</w:t>
            </w:r>
            <w:r w:rsidRPr="00B41530">
              <w:rPr>
                <w:lang w:val="sl-SI"/>
              </w:rPr>
              <w:tab/>
              <w:t xml:space="preserve">Za spremembo postopkovnih določb Direktive 2011/65/EU je potrebno prehodno obdobje </w:t>
            </w:r>
            <w:r w:rsidRPr="00B41530">
              <w:rPr>
                <w:b/>
                <w:i/>
                <w:lang w:val="sl-SI"/>
              </w:rPr>
              <w:t>12</w:t>
            </w:r>
            <w:r w:rsidRPr="00B41530">
              <w:rPr>
                <w:lang w:val="sl-SI"/>
              </w:rPr>
              <w:t> mesecev, da se lahko Evropski agenciji za kemikalije dodelijo ustrezni viri in naloge. Šteje se, da je ta časovni okvir ustrezen za to, da se lahko potencialni vlagatelji ali države članice prilagodijo spremenjenim postopkovnim korakom na podlagi navedene direktive.</w:t>
            </w:r>
          </w:p>
        </w:tc>
        <w:tc>
          <w:tcPr>
            <w:tcW w:w="4876" w:type="dxa"/>
            <w:hideMark/>
          </w:tcPr>
          <w:p w:rsidR="003A4476" w:rsidRPr="00B41530" w:rsidRDefault="003A4476" w:rsidP="00600310">
            <w:pPr>
              <w:pStyle w:val="Normal6"/>
              <w:rPr>
                <w:szCs w:val="24"/>
                <w:lang w:val="sl-SI"/>
              </w:rPr>
            </w:pPr>
            <w:r w:rsidRPr="00B41530">
              <w:rPr>
                <w:lang w:val="sl-SI"/>
              </w:rPr>
              <w:t>(8)</w:t>
            </w:r>
            <w:r w:rsidRPr="00B41530">
              <w:rPr>
                <w:lang w:val="sl-SI"/>
              </w:rPr>
              <w:tab/>
              <w:t xml:space="preserve">Za spremembo postopkovnih določb Direktive 2011/65/EU je potrebno prehodno obdobje </w:t>
            </w:r>
            <w:r w:rsidRPr="00B41530">
              <w:rPr>
                <w:b/>
                <w:i/>
                <w:lang w:val="sl-SI"/>
              </w:rPr>
              <w:t>18</w:t>
            </w:r>
            <w:r w:rsidRPr="00B41530">
              <w:rPr>
                <w:lang w:val="sl-SI"/>
              </w:rPr>
              <w:t> mesecev, da se lahko Evropski agenciji za kemikalije dodelijo ustrezni viri in naloge. Šteje se, da je ta časovni okvir ustrezen za to, da se lahko potencialni vlagatelji ali države članice prilagodijo spremenjenim postopkovnim korakom na podlagi navedene direktive.</w:t>
            </w:r>
          </w:p>
        </w:tc>
      </w:tr>
    </w:tbl>
    <w:p w:rsidR="003A4476" w:rsidRPr="00B41530" w:rsidRDefault="003A4476" w:rsidP="003A4476"/>
    <w:p w:rsidR="003A4476" w:rsidRPr="00B41530" w:rsidRDefault="008C67A6" w:rsidP="003A4476">
      <w:pPr>
        <w:pStyle w:val="AmNumberTabs"/>
      </w:pPr>
      <w:r w:rsidRPr="00B41530">
        <w:t>Sprememba</w:t>
      </w:r>
      <w:r w:rsidR="003A4476" w:rsidRPr="00B41530">
        <w:tab/>
      </w:r>
      <w:r w:rsidR="003A4476" w:rsidRPr="00B41530">
        <w:tab/>
        <w:t>5</w:t>
      </w:r>
    </w:p>
    <w:p w:rsidR="003A4476" w:rsidRPr="00B41530" w:rsidRDefault="003A4476" w:rsidP="003A4476"/>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Člen 1 – odstavek 1 – točka 1 – točka a</w:t>
      </w:r>
    </w:p>
    <w:p w:rsidR="003A4476" w:rsidRPr="00B41530" w:rsidRDefault="003A4476" w:rsidP="003A4476">
      <w:pPr>
        <w:keepNext/>
      </w:pPr>
      <w:r w:rsidRPr="00B41530">
        <w:t>Direktiva 2011/65/EU</w:t>
      </w:r>
    </w:p>
    <w:p w:rsidR="003A4476" w:rsidRPr="00B41530" w:rsidRDefault="003A4476" w:rsidP="003A4476">
      <w:r w:rsidRPr="00B41530">
        <w:t>Člen 5 – odstavek 4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hideMark/>
          </w:tcPr>
          <w:p w:rsidR="003A4476" w:rsidRPr="00B41530" w:rsidRDefault="003A4476" w:rsidP="00600310">
            <w:pPr>
              <w:pStyle w:val="Normal6"/>
              <w:rPr>
                <w:lang w:val="sl-SI"/>
              </w:rPr>
            </w:pPr>
            <w:r w:rsidRPr="00B41530">
              <w:rPr>
                <w:lang w:val="sl-SI"/>
              </w:rPr>
              <w:t xml:space="preserve">Kadar vlagatelj v roku, določenem v skladu s prvim pododstavkom, točka (c), ne dopolni zahtevka z manjkajočimi elementi, ki jih Agencija opredeli v skladu s Prilogo V, </w:t>
            </w:r>
            <w:r w:rsidRPr="00B41530">
              <w:rPr>
                <w:b/>
                <w:i/>
                <w:lang w:val="sl-SI"/>
              </w:rPr>
              <w:t xml:space="preserve">lahko </w:t>
            </w:r>
            <w:r w:rsidRPr="00B41530">
              <w:rPr>
                <w:lang w:val="sl-SI"/>
              </w:rPr>
              <w:t xml:space="preserve">Agencija </w:t>
            </w:r>
            <w:r w:rsidRPr="00B41530">
              <w:rPr>
                <w:b/>
                <w:i/>
                <w:lang w:val="sl-SI"/>
              </w:rPr>
              <w:t xml:space="preserve">zavrne </w:t>
            </w:r>
            <w:r w:rsidRPr="00B41530">
              <w:rPr>
                <w:lang w:val="sl-SI"/>
              </w:rPr>
              <w:t>tak zahtevek. Agencija določi datum, na katerega se šteje, da je zahtevek popoln, in ga brez nepotrebnega odlašanja sporoči vlagatelju.</w:t>
            </w:r>
          </w:p>
        </w:tc>
        <w:tc>
          <w:tcPr>
            <w:tcW w:w="4876" w:type="dxa"/>
            <w:hideMark/>
          </w:tcPr>
          <w:p w:rsidR="003A4476" w:rsidRPr="00B41530" w:rsidRDefault="003A4476" w:rsidP="00600310">
            <w:pPr>
              <w:pStyle w:val="Normal6"/>
              <w:rPr>
                <w:szCs w:val="24"/>
                <w:lang w:val="sl-SI"/>
              </w:rPr>
            </w:pPr>
            <w:r w:rsidRPr="00B41530">
              <w:rPr>
                <w:lang w:val="sl-SI"/>
              </w:rPr>
              <w:t>Kadar vlagatelj v roku, določenem v skladu s prvim pododstavkom, točka (c), ne dopolni zahtevka z manjkajočimi elementi, ki jih Agencija opredeli v skladu s Prilogo V, Agencija tak zahtevek</w:t>
            </w:r>
            <w:r w:rsidRPr="00B41530">
              <w:rPr>
                <w:b/>
                <w:i/>
                <w:lang w:val="sl-SI"/>
              </w:rPr>
              <w:t xml:space="preserve"> zavrne</w:t>
            </w:r>
            <w:r w:rsidRPr="00B41530">
              <w:rPr>
                <w:lang w:val="sl-SI"/>
              </w:rPr>
              <w:t>. Agencija določi datum, na katerega se šteje, da je zahtevek popoln, in ga brez nepotrebnega odlašanja sporoči vlagatelju.</w:t>
            </w:r>
          </w:p>
        </w:tc>
      </w:tr>
    </w:tbl>
    <w:p w:rsidR="003A4476" w:rsidRPr="00B41530" w:rsidRDefault="003A4476" w:rsidP="003A4476"/>
    <w:p w:rsidR="003A4476" w:rsidRPr="00B41530" w:rsidRDefault="008C67A6" w:rsidP="003A4476">
      <w:pPr>
        <w:pStyle w:val="AmNumberTabs"/>
      </w:pPr>
      <w:r w:rsidRPr="00B41530">
        <w:t>Sprememba</w:t>
      </w:r>
      <w:r w:rsidR="003A4476" w:rsidRPr="00B41530">
        <w:tab/>
      </w:r>
      <w:r w:rsidR="003A4476" w:rsidRPr="00B41530">
        <w:tab/>
        <w:t>6</w:t>
      </w:r>
    </w:p>
    <w:p w:rsidR="003A4476" w:rsidRPr="00B41530" w:rsidRDefault="003A4476" w:rsidP="003A4476"/>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Člen 1 – odstavek 1 – točka 1 – točka b</w:t>
      </w:r>
    </w:p>
    <w:p w:rsidR="003A4476" w:rsidRPr="00B41530" w:rsidRDefault="003A4476" w:rsidP="003A4476">
      <w:pPr>
        <w:keepNext/>
      </w:pPr>
      <w:r w:rsidRPr="00B41530">
        <w:t>Direktiva 2011/65/EU</w:t>
      </w:r>
    </w:p>
    <w:p w:rsidR="003A4476" w:rsidRPr="00B41530" w:rsidRDefault="003A4476" w:rsidP="003A4476">
      <w:r w:rsidRPr="00B41530">
        <w:t>Člen 5 – odstavek 4 a – pododstavek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hideMark/>
          </w:tcPr>
          <w:p w:rsidR="003A4476" w:rsidRPr="00B41530" w:rsidRDefault="003A4476" w:rsidP="00600310">
            <w:pPr>
              <w:pStyle w:val="Normal6"/>
              <w:rPr>
                <w:lang w:val="sl-SI"/>
              </w:rPr>
            </w:pPr>
            <w:r w:rsidRPr="00B41530">
              <w:rPr>
                <w:lang w:val="sl-SI"/>
              </w:rPr>
              <w:t xml:space="preserve">Agencija opredeli dele mnenj in morebitnih prilog k tem mnenjem, ki bi morali biti dostopni javnosti na njenem spletnem </w:t>
            </w:r>
            <w:r w:rsidRPr="00B41530">
              <w:rPr>
                <w:lang w:val="sl-SI"/>
              </w:rPr>
              <w:lastRenderedPageBreak/>
              <w:t>mestu, in jih objavi na svojem spletnem mestu.</w:t>
            </w:r>
          </w:p>
        </w:tc>
        <w:tc>
          <w:tcPr>
            <w:tcW w:w="4876" w:type="dxa"/>
            <w:hideMark/>
          </w:tcPr>
          <w:p w:rsidR="003A4476" w:rsidRPr="00B41530" w:rsidRDefault="003A4476" w:rsidP="00600310">
            <w:pPr>
              <w:pStyle w:val="Normal6"/>
              <w:rPr>
                <w:szCs w:val="24"/>
                <w:lang w:val="sl-SI"/>
              </w:rPr>
            </w:pPr>
            <w:r w:rsidRPr="00B41530">
              <w:rPr>
                <w:lang w:val="sl-SI"/>
              </w:rPr>
              <w:lastRenderedPageBreak/>
              <w:t xml:space="preserve">Agencija opredeli dele mnenj in morebitnih prilog k tem mnenjem, ki bi morali biti dostopni javnosti na njenem spletnem </w:t>
            </w:r>
            <w:r w:rsidRPr="00B41530">
              <w:rPr>
                <w:lang w:val="sl-SI"/>
              </w:rPr>
              <w:lastRenderedPageBreak/>
              <w:t>mestu, in jih objavi na svojem spletnem mestu</w:t>
            </w:r>
            <w:r w:rsidRPr="00B41530">
              <w:rPr>
                <w:b/>
                <w:i/>
                <w:lang w:val="sl-SI"/>
              </w:rPr>
              <w:t>, vključno z morebitnimi zahtevki, vloženimi v skladu s točko (c) drugega pododstavka</w:t>
            </w:r>
            <w:r w:rsidRPr="00B41530">
              <w:rPr>
                <w:lang w:val="sl-SI"/>
              </w:rPr>
              <w:t>.</w:t>
            </w:r>
          </w:p>
        </w:tc>
      </w:tr>
    </w:tbl>
    <w:p w:rsidR="003A4476" w:rsidRPr="00B41530" w:rsidRDefault="003A4476" w:rsidP="003A4476"/>
    <w:p w:rsidR="003A4476" w:rsidRPr="00B41530" w:rsidRDefault="008C67A6" w:rsidP="003A4476">
      <w:pPr>
        <w:pStyle w:val="AmNumberTabs"/>
      </w:pPr>
      <w:r w:rsidRPr="00B41530">
        <w:t>Sprememba</w:t>
      </w:r>
      <w:r w:rsidR="003A4476" w:rsidRPr="00B41530">
        <w:tab/>
      </w:r>
      <w:r w:rsidR="003A4476" w:rsidRPr="00B41530">
        <w:tab/>
        <w:t>7</w:t>
      </w:r>
    </w:p>
    <w:p w:rsidR="003A4476" w:rsidRPr="00B41530" w:rsidRDefault="003A4476" w:rsidP="003A4476"/>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Člen 1 – odstavek 1 – točka 1 – točka b a (novo)</w:t>
      </w:r>
    </w:p>
    <w:p w:rsidR="003A4476" w:rsidRPr="00B41530" w:rsidRDefault="003A4476" w:rsidP="003A4476">
      <w:pPr>
        <w:keepNext/>
      </w:pPr>
      <w:r w:rsidRPr="00B41530">
        <w:t>Direktiva 2011/65/EU</w:t>
      </w:r>
    </w:p>
    <w:p w:rsidR="003A4476" w:rsidRPr="00B41530" w:rsidRDefault="003A4476" w:rsidP="003A4476">
      <w:r w:rsidRPr="00B41530">
        <w:t>Člen 5 – odstavek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Veljavno besedilo</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tcPr>
          <w:p w:rsidR="003A4476" w:rsidRPr="00B41530" w:rsidRDefault="003A4476" w:rsidP="00600310">
            <w:pPr>
              <w:pStyle w:val="Normal6"/>
              <w:rPr>
                <w:lang w:val="sl-SI"/>
              </w:rPr>
            </w:pPr>
          </w:p>
        </w:tc>
        <w:tc>
          <w:tcPr>
            <w:tcW w:w="4876" w:type="dxa"/>
            <w:hideMark/>
          </w:tcPr>
          <w:p w:rsidR="003A4476" w:rsidRPr="00B41530" w:rsidRDefault="003A4476" w:rsidP="00600310">
            <w:pPr>
              <w:pStyle w:val="Normal6"/>
              <w:rPr>
                <w:szCs w:val="24"/>
                <w:lang w:val="sl-SI"/>
              </w:rPr>
            </w:pPr>
            <w:r w:rsidRPr="00B41530">
              <w:rPr>
                <w:b/>
                <w:i/>
                <w:lang w:val="sl-SI"/>
              </w:rPr>
              <w:t>(ba)</w:t>
            </w:r>
            <w:r w:rsidRPr="00B41530">
              <w:rPr>
                <w:b/>
                <w:i/>
                <w:lang w:val="sl-SI"/>
              </w:rPr>
              <w:tab/>
              <w:t>odstavek 5 se nadomesti z naslednjim:</w:t>
            </w:r>
          </w:p>
        </w:tc>
      </w:tr>
      <w:tr w:rsidR="003A4476" w:rsidRPr="00B41530" w:rsidTr="00600310">
        <w:trPr>
          <w:jc w:val="center"/>
        </w:trPr>
        <w:tc>
          <w:tcPr>
            <w:tcW w:w="4876" w:type="dxa"/>
            <w:hideMark/>
          </w:tcPr>
          <w:p w:rsidR="003A4476" w:rsidRPr="00B41530" w:rsidRDefault="003A4476" w:rsidP="00600310">
            <w:pPr>
              <w:pStyle w:val="Normal6"/>
              <w:rPr>
                <w:lang w:val="sl-SI"/>
              </w:rPr>
            </w:pPr>
            <w:r w:rsidRPr="00B41530">
              <w:rPr>
                <w:lang w:val="sl-SI"/>
              </w:rPr>
              <w:t xml:space="preserve">5. </w:t>
            </w:r>
            <w:r w:rsidR="004724AF" w:rsidRPr="00B41530">
              <w:rPr>
                <w:lang w:val="sl-SI"/>
              </w:rPr>
              <w:tab/>
            </w:r>
            <w:r w:rsidRPr="00B41530">
              <w:rPr>
                <w:lang w:val="sl-SI"/>
              </w:rPr>
              <w:t>Zahtevek za obnovitev izjem se predloži najpozneje v 18 mesecih pred potekom izjeme. Obstoječe izjeme ostanejo v veljavi dokler Komisija ne sprejme odločitve o zahtevku za obnovitev.</w:t>
            </w:r>
          </w:p>
        </w:tc>
        <w:tc>
          <w:tcPr>
            <w:tcW w:w="4876" w:type="dxa"/>
            <w:hideMark/>
          </w:tcPr>
          <w:p w:rsidR="003A4476" w:rsidRPr="00B41530" w:rsidRDefault="004724AF" w:rsidP="00600310">
            <w:pPr>
              <w:pStyle w:val="Normal6"/>
              <w:rPr>
                <w:szCs w:val="24"/>
                <w:lang w:val="sl-SI"/>
              </w:rPr>
            </w:pPr>
            <w:r w:rsidRPr="00B41530">
              <w:rPr>
                <w:b/>
                <w:bCs/>
                <w:i/>
                <w:iCs/>
                <w:lang w:val="sl-SI"/>
              </w:rPr>
              <w:t>„</w:t>
            </w:r>
            <w:r w:rsidR="003A4476" w:rsidRPr="00B41530">
              <w:rPr>
                <w:lang w:val="sl-SI"/>
              </w:rPr>
              <w:t xml:space="preserve">5. </w:t>
            </w:r>
            <w:r w:rsidRPr="00B41530">
              <w:rPr>
                <w:lang w:val="sl-SI"/>
              </w:rPr>
              <w:tab/>
            </w:r>
            <w:r w:rsidR="003A4476" w:rsidRPr="00B41530">
              <w:rPr>
                <w:lang w:val="sl-SI"/>
              </w:rPr>
              <w:t xml:space="preserve">Zahtevek za obnovitev izjem se predloži najpozneje v 18 mesecih pred potekom izjeme. </w:t>
            </w:r>
            <w:r w:rsidR="003A4476" w:rsidRPr="00B41530">
              <w:rPr>
                <w:b/>
                <w:i/>
                <w:lang w:val="sl-SI"/>
              </w:rPr>
              <w:t xml:space="preserve">Komisija sprejme odločitev o zahtevku v treh mesecih po prejemu mnenj Agencije. </w:t>
            </w:r>
            <w:r w:rsidR="003A4476" w:rsidRPr="00B41530">
              <w:rPr>
                <w:lang w:val="sl-SI"/>
              </w:rPr>
              <w:t>Obstoječe izjeme ostanejo v veljavi, dokler Komisija ne sprejme odločitve o zahtevku za obnovitev.</w:t>
            </w:r>
            <w:r w:rsidR="003A4476" w:rsidRPr="00B41530">
              <w:rPr>
                <w:b/>
                <w:i/>
                <w:lang w:val="sl-SI"/>
              </w:rPr>
              <w:t>“</w:t>
            </w:r>
          </w:p>
        </w:tc>
      </w:tr>
    </w:tbl>
    <w:p w:rsidR="003A4476" w:rsidRPr="00B41530" w:rsidRDefault="003A4476" w:rsidP="003A4476"/>
    <w:p w:rsidR="003A4476" w:rsidRPr="00B41530" w:rsidRDefault="008C67A6" w:rsidP="003A4476">
      <w:pPr>
        <w:pStyle w:val="AmNumberTabs"/>
      </w:pPr>
      <w:r w:rsidRPr="00B41530">
        <w:t>Sprememba</w:t>
      </w:r>
      <w:r w:rsidR="003A4476" w:rsidRPr="00B41530">
        <w:tab/>
      </w:r>
      <w:r w:rsidR="003A4476" w:rsidRPr="00B41530">
        <w:tab/>
        <w:t>8</w:t>
      </w:r>
    </w:p>
    <w:p w:rsidR="003A4476" w:rsidRPr="00B41530" w:rsidRDefault="003A4476" w:rsidP="003A4476"/>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Člen 1 – odstavek 1 – točka 3 – točka a</w:t>
      </w:r>
    </w:p>
    <w:p w:rsidR="003A4476" w:rsidRPr="00B41530" w:rsidRDefault="003A4476" w:rsidP="003A4476">
      <w:pPr>
        <w:keepNext/>
      </w:pPr>
      <w:r w:rsidRPr="00B41530">
        <w:t>Direktiva 2011/65/EU</w:t>
      </w:r>
    </w:p>
    <w:p w:rsidR="003A4476" w:rsidRPr="00B41530" w:rsidRDefault="003A4476" w:rsidP="003A4476">
      <w:r w:rsidRPr="00B41530">
        <w:t>Člen 6 – odstavek 1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hideMark/>
          </w:tcPr>
          <w:p w:rsidR="003A4476" w:rsidRPr="00B41530" w:rsidRDefault="003A4476" w:rsidP="00600310">
            <w:pPr>
              <w:pStyle w:val="Normal6"/>
              <w:rPr>
                <w:lang w:val="sl-SI"/>
              </w:rPr>
            </w:pPr>
            <w:r w:rsidRPr="00B41530">
              <w:rPr>
                <w:lang w:val="sl-SI"/>
              </w:rPr>
              <w:t>Za dosego ciljev iz člena 1 in ob upoštevanju previdnostnega načela Komisija redno na lastno pobudo ali po predložitvi dokumentacije za omejitve, ki jo pripravi država članica in ki vsebuje informacije iz odstavka 2, na podlagi temeljite ocene obravnava pregled seznama omejenih snovi iz Priloge II in njegovo spremembo.</w:t>
            </w:r>
          </w:p>
        </w:tc>
        <w:tc>
          <w:tcPr>
            <w:tcW w:w="4876" w:type="dxa"/>
            <w:hideMark/>
          </w:tcPr>
          <w:p w:rsidR="003A4476" w:rsidRPr="00B41530" w:rsidRDefault="003A4476" w:rsidP="00600310">
            <w:pPr>
              <w:pStyle w:val="Normal6"/>
              <w:rPr>
                <w:szCs w:val="24"/>
                <w:lang w:val="sl-SI"/>
              </w:rPr>
            </w:pPr>
            <w:r w:rsidRPr="00B41530">
              <w:rPr>
                <w:lang w:val="sl-SI"/>
              </w:rPr>
              <w:t xml:space="preserve">Za dosego ciljev iz člena 1 in ob upoštevanju previdnostnega načela Komisija redno </w:t>
            </w:r>
            <w:r w:rsidRPr="00B41530">
              <w:rPr>
                <w:b/>
                <w:i/>
                <w:lang w:val="sl-SI"/>
              </w:rPr>
              <w:t xml:space="preserve">in vsaj vsakih 36 mesecev </w:t>
            </w:r>
            <w:r w:rsidRPr="00B41530">
              <w:rPr>
                <w:lang w:val="sl-SI"/>
              </w:rPr>
              <w:t>na lastno pobudo ali po predložitvi dokumentacije za omejitve, ki jo pripravi država članica in ki vsebuje informacije iz odstavka 2, na podlagi temeljite ocene obravnava pregled seznama omejenih snovi iz Priloge II in njegovo spremembo.</w:t>
            </w:r>
          </w:p>
        </w:tc>
      </w:tr>
    </w:tbl>
    <w:p w:rsidR="003A4476" w:rsidRPr="00B41530" w:rsidRDefault="003A4476" w:rsidP="003A4476"/>
    <w:p w:rsidR="003A4476" w:rsidRPr="00B41530" w:rsidRDefault="008C67A6" w:rsidP="003A4476">
      <w:pPr>
        <w:pStyle w:val="AmNumberTabs"/>
      </w:pPr>
      <w:r w:rsidRPr="00B41530">
        <w:t>Sprememba</w:t>
      </w:r>
      <w:r w:rsidR="003A4476" w:rsidRPr="00B41530">
        <w:tab/>
      </w:r>
      <w:r w:rsidR="003A4476" w:rsidRPr="00B41530">
        <w:tab/>
        <w:t>9</w:t>
      </w:r>
    </w:p>
    <w:p w:rsidR="003A4476" w:rsidRPr="00B41530" w:rsidRDefault="003A4476" w:rsidP="003A4476"/>
    <w:p w:rsidR="003A4476" w:rsidRPr="00B41530" w:rsidRDefault="003A4476" w:rsidP="003A4476">
      <w:pPr>
        <w:pStyle w:val="NormalBold"/>
        <w:keepNext/>
      </w:pPr>
      <w:r w:rsidRPr="00B41530">
        <w:lastRenderedPageBreak/>
        <w:t>Predlog direktive</w:t>
      </w:r>
    </w:p>
    <w:p w:rsidR="003A4476" w:rsidRPr="00B41530" w:rsidRDefault="003A4476" w:rsidP="003A4476">
      <w:pPr>
        <w:pStyle w:val="NormalBold"/>
      </w:pPr>
      <w:r w:rsidRPr="00B41530">
        <w:t>Člen 1 – odstavek 1 – točka 3 – točka c</w:t>
      </w:r>
    </w:p>
    <w:p w:rsidR="003A4476" w:rsidRPr="00B41530" w:rsidRDefault="003A4476" w:rsidP="003A4476">
      <w:pPr>
        <w:keepNext/>
      </w:pPr>
      <w:r w:rsidRPr="00B41530">
        <w:t>Direktiva 2011/65/EU</w:t>
      </w:r>
    </w:p>
    <w:p w:rsidR="003A4476" w:rsidRPr="00B41530" w:rsidRDefault="003A4476" w:rsidP="003A4476">
      <w:r w:rsidRPr="00B41530">
        <w:t>Člen 6 – odstavek 2 – pododstavek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hideMark/>
          </w:tcPr>
          <w:p w:rsidR="003A4476" w:rsidRPr="00B41530" w:rsidRDefault="003A4476" w:rsidP="00600310">
            <w:pPr>
              <w:pStyle w:val="Normal6"/>
              <w:rPr>
                <w:lang w:val="sl-SI"/>
              </w:rPr>
            </w:pPr>
            <w:r w:rsidRPr="00B41530">
              <w:rPr>
                <w:lang w:val="sl-SI"/>
              </w:rPr>
              <w:t>Pregled in sprememba seznama omejenih snovi iz Priloge II temeljita na dokumentaciji za omejitve, ki jo pripravi Agencija na zahtevo Komisije ali ki jo pripravi država članica.</w:t>
            </w:r>
          </w:p>
        </w:tc>
        <w:tc>
          <w:tcPr>
            <w:tcW w:w="4876" w:type="dxa"/>
            <w:hideMark/>
          </w:tcPr>
          <w:p w:rsidR="003A4476" w:rsidRPr="00B41530" w:rsidRDefault="003A4476" w:rsidP="00600310">
            <w:pPr>
              <w:pStyle w:val="Normal6"/>
              <w:rPr>
                <w:szCs w:val="24"/>
                <w:lang w:val="sl-SI"/>
              </w:rPr>
            </w:pPr>
            <w:r w:rsidRPr="00B41530">
              <w:rPr>
                <w:lang w:val="sl-SI"/>
              </w:rPr>
              <w:t xml:space="preserve">Pregled in sprememba seznama omejenih snovi </w:t>
            </w:r>
            <w:r w:rsidRPr="00B41530">
              <w:rPr>
                <w:b/>
                <w:i/>
                <w:lang w:val="sl-SI"/>
              </w:rPr>
              <w:t xml:space="preserve">ali skupine snovi </w:t>
            </w:r>
            <w:r w:rsidRPr="00B41530">
              <w:rPr>
                <w:lang w:val="sl-SI"/>
              </w:rPr>
              <w:t>iz Priloge II temeljita na dokumentaciji za omejitve, ki jo pripravi Agencija na zahtevo Komisije ali ki jo pripravi država članica.</w:t>
            </w:r>
          </w:p>
        </w:tc>
      </w:tr>
    </w:tbl>
    <w:p w:rsidR="003A4476" w:rsidRPr="00B41530" w:rsidRDefault="003A4476" w:rsidP="003A4476"/>
    <w:p w:rsidR="003A4476" w:rsidRPr="00B41530" w:rsidRDefault="008C67A6" w:rsidP="003A4476">
      <w:pPr>
        <w:pStyle w:val="AmNumberTabs"/>
      </w:pPr>
      <w:r w:rsidRPr="00B41530">
        <w:t>Sprememba</w:t>
      </w:r>
      <w:r w:rsidR="003A4476" w:rsidRPr="00B41530">
        <w:tab/>
      </w:r>
      <w:r w:rsidR="003A4476" w:rsidRPr="00B41530">
        <w:tab/>
        <w:t>10</w:t>
      </w:r>
    </w:p>
    <w:p w:rsidR="003A4476" w:rsidRPr="00B41530" w:rsidRDefault="003A4476" w:rsidP="003A4476"/>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Člen 1 – odstavek 1 – točka 3 – točka c</w:t>
      </w:r>
    </w:p>
    <w:p w:rsidR="003A4476" w:rsidRPr="00B41530" w:rsidRDefault="003A4476" w:rsidP="003A4476">
      <w:pPr>
        <w:keepNext/>
      </w:pPr>
      <w:r w:rsidRPr="00B41530">
        <w:t>Direktiva 2011/65/EU</w:t>
      </w:r>
    </w:p>
    <w:p w:rsidR="003A4476" w:rsidRPr="00B41530" w:rsidRDefault="003A4476" w:rsidP="003A4476">
      <w:r w:rsidRPr="00B41530">
        <w:t>Člen 6 – odstavek 2 – pododstavek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hideMark/>
          </w:tcPr>
          <w:p w:rsidR="003A4476" w:rsidRPr="00B41530" w:rsidRDefault="003A4476" w:rsidP="00600310">
            <w:pPr>
              <w:pStyle w:val="Normal6"/>
              <w:rPr>
                <w:lang w:val="sl-SI"/>
              </w:rPr>
            </w:pPr>
            <w:r w:rsidRPr="00B41530">
              <w:rPr>
                <w:lang w:val="sl-SI"/>
              </w:rPr>
              <w:t>Agencija ali država članica upošteva vse razpoložljive informacije in vse ustrezne ocene</w:t>
            </w:r>
            <w:r w:rsidRPr="00B41530">
              <w:rPr>
                <w:b/>
                <w:i/>
                <w:lang w:val="sl-SI"/>
              </w:rPr>
              <w:t xml:space="preserve"> tveganja</w:t>
            </w:r>
            <w:r w:rsidRPr="00B41530">
              <w:rPr>
                <w:lang w:val="sl-SI"/>
              </w:rPr>
              <w:t xml:space="preserve">, predložene za namene druge zakonodaje Unije, ki zajema </w:t>
            </w:r>
            <w:r w:rsidRPr="00B41530">
              <w:rPr>
                <w:b/>
                <w:i/>
                <w:lang w:val="sl-SI"/>
              </w:rPr>
              <w:t>življenjski cikel</w:t>
            </w:r>
            <w:r w:rsidRPr="00B41530">
              <w:rPr>
                <w:lang w:val="sl-SI"/>
              </w:rPr>
              <w:t xml:space="preserve"> snovi, uporabljene v EEO, zlasti fazo odpadkov. V ta namen Agenciji ali zadevni državi članici informacije na zahtevo zagotovijo drugi organi, ustanovljeni na podlagi prava Unije, ki izvajajo podobne naloge.</w:t>
            </w:r>
          </w:p>
        </w:tc>
        <w:tc>
          <w:tcPr>
            <w:tcW w:w="4876" w:type="dxa"/>
            <w:hideMark/>
          </w:tcPr>
          <w:p w:rsidR="003A4476" w:rsidRPr="00B41530" w:rsidRDefault="003A4476" w:rsidP="00600310">
            <w:pPr>
              <w:pStyle w:val="Normal6"/>
              <w:rPr>
                <w:szCs w:val="24"/>
                <w:lang w:val="sl-SI"/>
              </w:rPr>
            </w:pPr>
            <w:r w:rsidRPr="00B41530">
              <w:rPr>
                <w:lang w:val="sl-SI"/>
              </w:rPr>
              <w:t xml:space="preserve">Agencija ali država članica upošteva vse razpoložljive informacije in vse ustrezne ocene, predložene za namene druge zakonodaje Unije, ki zajema </w:t>
            </w:r>
            <w:r w:rsidRPr="00B41530">
              <w:rPr>
                <w:b/>
                <w:i/>
                <w:lang w:val="sl-SI"/>
              </w:rPr>
              <w:t>kateri koli del življenjskega cikla</w:t>
            </w:r>
            <w:r w:rsidRPr="00B41530">
              <w:rPr>
                <w:lang w:val="sl-SI"/>
              </w:rPr>
              <w:t xml:space="preserve"> snovi, uporabljene v EEO, zlasti fazo odpadkov. V ta namen Agenciji ali zadevni državi članici informacije na zahtevo zagotovijo drugi organi, ustanovljeni na podlagi prava Unije, ki izvajajo podobne naloge.</w:t>
            </w:r>
          </w:p>
        </w:tc>
      </w:tr>
    </w:tbl>
    <w:p w:rsidR="003A4476" w:rsidRPr="00B41530" w:rsidRDefault="003A4476" w:rsidP="003A4476"/>
    <w:p w:rsidR="003A4476" w:rsidRPr="00B41530" w:rsidRDefault="008C67A6" w:rsidP="003A4476">
      <w:pPr>
        <w:pStyle w:val="AmNumberTabs"/>
      </w:pPr>
      <w:r w:rsidRPr="00B41530">
        <w:t>Sprememba</w:t>
      </w:r>
      <w:r w:rsidR="003A4476" w:rsidRPr="00B41530">
        <w:tab/>
      </w:r>
      <w:r w:rsidR="003A4476" w:rsidRPr="00B41530">
        <w:tab/>
        <w:t>11</w:t>
      </w:r>
    </w:p>
    <w:p w:rsidR="003A4476" w:rsidRPr="00B41530" w:rsidRDefault="003A4476" w:rsidP="003A4476"/>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Člen 1 – odstavek 1 – točka 3 – točka c</w:t>
      </w:r>
    </w:p>
    <w:p w:rsidR="003A4476" w:rsidRPr="00B41530" w:rsidRDefault="003A4476" w:rsidP="003A4476">
      <w:pPr>
        <w:keepNext/>
      </w:pPr>
      <w:r w:rsidRPr="00B41530">
        <w:t>Direktiva 2011/65/EU</w:t>
      </w:r>
    </w:p>
    <w:p w:rsidR="003A4476" w:rsidRPr="00B41530" w:rsidRDefault="003A4476" w:rsidP="003A4476">
      <w:r w:rsidRPr="00B41530">
        <w:t>Člen 6 – odstavek 2 – pododstavek 3 – točka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tcPr>
          <w:p w:rsidR="003A4476" w:rsidRPr="00B41530" w:rsidRDefault="003A4476" w:rsidP="00600310">
            <w:pPr>
              <w:pStyle w:val="Normal6"/>
              <w:rPr>
                <w:lang w:val="sl-SI"/>
              </w:rPr>
            </w:pPr>
          </w:p>
        </w:tc>
        <w:tc>
          <w:tcPr>
            <w:tcW w:w="4876" w:type="dxa"/>
            <w:hideMark/>
          </w:tcPr>
          <w:p w:rsidR="003A4476" w:rsidRPr="00B41530" w:rsidRDefault="003A4476" w:rsidP="00600310">
            <w:pPr>
              <w:pStyle w:val="Normal6"/>
              <w:rPr>
                <w:szCs w:val="24"/>
                <w:lang w:val="sl-SI"/>
              </w:rPr>
            </w:pPr>
            <w:r w:rsidRPr="00B41530">
              <w:rPr>
                <w:b/>
                <w:i/>
                <w:lang w:val="sl-SI"/>
              </w:rPr>
              <w:t>(-a)</w:t>
            </w:r>
            <w:r w:rsidRPr="00B41530">
              <w:rPr>
                <w:b/>
                <w:i/>
                <w:lang w:val="sl-SI"/>
              </w:rPr>
              <w:tab/>
              <w:t>identiteto snovi;</w:t>
            </w:r>
          </w:p>
        </w:tc>
      </w:tr>
    </w:tbl>
    <w:p w:rsidR="003A4476" w:rsidRPr="00B41530" w:rsidRDefault="003A4476" w:rsidP="003A4476"/>
    <w:p w:rsidR="003A4476" w:rsidRPr="00B41530" w:rsidRDefault="008C67A6" w:rsidP="003A4476">
      <w:pPr>
        <w:pStyle w:val="AmNumberTabs"/>
      </w:pPr>
      <w:r w:rsidRPr="00B41530">
        <w:t>Sprememba</w:t>
      </w:r>
      <w:r w:rsidR="003A4476" w:rsidRPr="00B41530">
        <w:tab/>
      </w:r>
      <w:r w:rsidR="003A4476" w:rsidRPr="00B41530">
        <w:tab/>
        <w:t>12</w:t>
      </w:r>
    </w:p>
    <w:p w:rsidR="003A4476" w:rsidRPr="00B41530" w:rsidRDefault="003A4476" w:rsidP="003A4476"/>
    <w:p w:rsidR="003A4476" w:rsidRPr="00B41530" w:rsidRDefault="003A4476" w:rsidP="003A4476">
      <w:pPr>
        <w:pStyle w:val="NormalBold"/>
        <w:keepNext/>
      </w:pPr>
      <w:r w:rsidRPr="00B41530">
        <w:lastRenderedPageBreak/>
        <w:t>Predlog direktive</w:t>
      </w:r>
    </w:p>
    <w:p w:rsidR="003A4476" w:rsidRPr="00B41530" w:rsidRDefault="003A4476" w:rsidP="003A4476">
      <w:pPr>
        <w:pStyle w:val="NormalBold"/>
      </w:pPr>
      <w:r w:rsidRPr="00B41530">
        <w:t>Člen 1 – odstavek 1 – točka 3 – točka c</w:t>
      </w:r>
    </w:p>
    <w:p w:rsidR="003A4476" w:rsidRPr="00B41530" w:rsidRDefault="003A4476" w:rsidP="003A4476">
      <w:pPr>
        <w:keepNext/>
      </w:pPr>
      <w:r w:rsidRPr="00B41530">
        <w:t>Direktiva 2011/65/EU</w:t>
      </w:r>
    </w:p>
    <w:p w:rsidR="003A4476" w:rsidRPr="00B41530" w:rsidRDefault="003A4476" w:rsidP="003A4476">
      <w:r w:rsidRPr="00B41530">
        <w:t>Člen 6 – odstavek 2 – pododstavek 3 – točka -a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tcPr>
          <w:p w:rsidR="003A4476" w:rsidRPr="00B41530" w:rsidRDefault="003A4476" w:rsidP="00600310">
            <w:pPr>
              <w:pStyle w:val="Normal6"/>
              <w:rPr>
                <w:lang w:val="sl-SI"/>
              </w:rPr>
            </w:pPr>
          </w:p>
        </w:tc>
        <w:tc>
          <w:tcPr>
            <w:tcW w:w="4876" w:type="dxa"/>
            <w:hideMark/>
          </w:tcPr>
          <w:p w:rsidR="003A4476" w:rsidRPr="00B41530" w:rsidRDefault="003A4476" w:rsidP="00600310">
            <w:pPr>
              <w:pStyle w:val="Normal6"/>
              <w:rPr>
                <w:szCs w:val="24"/>
                <w:lang w:val="sl-SI"/>
              </w:rPr>
            </w:pPr>
            <w:r w:rsidRPr="00B41530">
              <w:rPr>
                <w:b/>
                <w:i/>
                <w:lang w:val="sl-SI"/>
              </w:rPr>
              <w:t>(-aa)</w:t>
            </w:r>
            <w:r w:rsidRPr="00B41530">
              <w:rPr>
                <w:b/>
                <w:i/>
                <w:lang w:val="sl-SI"/>
              </w:rPr>
              <w:tab/>
              <w:t>natančno in jasno besedilo o vnosu predlagane omejitve v Prilogo II;</w:t>
            </w:r>
          </w:p>
        </w:tc>
      </w:tr>
    </w:tbl>
    <w:p w:rsidR="003A4476" w:rsidRPr="00B41530" w:rsidRDefault="003A4476" w:rsidP="003A4476"/>
    <w:p w:rsidR="003A4476" w:rsidRPr="00B41530" w:rsidRDefault="008C67A6" w:rsidP="003A4476">
      <w:pPr>
        <w:pStyle w:val="AmNumberTabs"/>
      </w:pPr>
      <w:r w:rsidRPr="00B41530">
        <w:t>Sprememba</w:t>
      </w:r>
      <w:r w:rsidR="003A4476" w:rsidRPr="00B41530">
        <w:tab/>
      </w:r>
      <w:r w:rsidR="003A4476" w:rsidRPr="00B41530">
        <w:tab/>
        <w:t>13</w:t>
      </w:r>
    </w:p>
    <w:p w:rsidR="003A4476" w:rsidRPr="00B41530" w:rsidRDefault="003A4476" w:rsidP="003A4476"/>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Člen 1 – odstavek 1 – točka 3 – točka c</w:t>
      </w:r>
    </w:p>
    <w:p w:rsidR="003A4476" w:rsidRPr="00B41530" w:rsidRDefault="003A4476" w:rsidP="003A4476">
      <w:pPr>
        <w:keepNext/>
      </w:pPr>
      <w:r w:rsidRPr="00B41530">
        <w:t>Direktiva 2011/65/EU</w:t>
      </w:r>
    </w:p>
    <w:p w:rsidR="003A4476" w:rsidRPr="00B41530" w:rsidRDefault="003A4476" w:rsidP="003A4476">
      <w:r w:rsidRPr="00B41530">
        <w:t>Člen 6 – odstavek 2 – pododstavek 3 – točka -a b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tcPr>
          <w:p w:rsidR="003A4476" w:rsidRPr="00B41530" w:rsidRDefault="003A4476" w:rsidP="00600310">
            <w:pPr>
              <w:pStyle w:val="Normal6"/>
              <w:rPr>
                <w:lang w:val="sl-SI"/>
              </w:rPr>
            </w:pPr>
          </w:p>
        </w:tc>
        <w:tc>
          <w:tcPr>
            <w:tcW w:w="4876" w:type="dxa"/>
            <w:hideMark/>
          </w:tcPr>
          <w:p w:rsidR="003A4476" w:rsidRPr="00B41530" w:rsidRDefault="003A4476" w:rsidP="00600310">
            <w:pPr>
              <w:pStyle w:val="Normal6"/>
              <w:rPr>
                <w:szCs w:val="24"/>
                <w:lang w:val="sl-SI"/>
              </w:rPr>
            </w:pPr>
            <w:r w:rsidRPr="00B41530">
              <w:rPr>
                <w:b/>
                <w:i/>
                <w:lang w:val="sl-SI"/>
              </w:rPr>
              <w:t>(-ab)</w:t>
            </w:r>
            <w:r w:rsidRPr="00B41530">
              <w:rPr>
                <w:b/>
                <w:i/>
                <w:lang w:val="sl-SI"/>
              </w:rPr>
              <w:tab/>
              <w:t>sklicevanja in znanstvene dokaze za omejitev;</w:t>
            </w:r>
          </w:p>
        </w:tc>
      </w:tr>
    </w:tbl>
    <w:p w:rsidR="003A4476" w:rsidRPr="00B41530" w:rsidRDefault="003A4476" w:rsidP="003A4476"/>
    <w:p w:rsidR="003A4476" w:rsidRPr="00B41530" w:rsidRDefault="008C67A6" w:rsidP="003A4476">
      <w:pPr>
        <w:pStyle w:val="AmNumberTabs"/>
      </w:pPr>
      <w:r w:rsidRPr="00B41530">
        <w:t>Sprememba</w:t>
      </w:r>
      <w:r w:rsidR="003A4476" w:rsidRPr="00B41530">
        <w:tab/>
      </w:r>
      <w:r w:rsidR="003A4476" w:rsidRPr="00B41530">
        <w:tab/>
        <w:t>14</w:t>
      </w:r>
    </w:p>
    <w:p w:rsidR="003A4476" w:rsidRPr="00B41530" w:rsidRDefault="003A4476" w:rsidP="003A4476"/>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Člen 1 – odstavek 1 – točka 3 – točka c</w:t>
      </w:r>
    </w:p>
    <w:p w:rsidR="003A4476" w:rsidRPr="00B41530" w:rsidRDefault="003A4476" w:rsidP="003A4476">
      <w:pPr>
        <w:keepNext/>
      </w:pPr>
      <w:r w:rsidRPr="00B41530">
        <w:t>Direktiva 2011/65/EU</w:t>
      </w:r>
    </w:p>
    <w:p w:rsidR="003A4476" w:rsidRPr="00B41530" w:rsidRDefault="003A4476" w:rsidP="003A4476">
      <w:r w:rsidRPr="00B41530">
        <w:t>Člen 6 – odstavek 2 – pododstavek 3 – točka b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tcPr>
          <w:p w:rsidR="003A4476" w:rsidRPr="00B41530" w:rsidRDefault="003A4476" w:rsidP="00600310">
            <w:pPr>
              <w:pStyle w:val="Normal6"/>
              <w:rPr>
                <w:lang w:val="sl-SI"/>
              </w:rPr>
            </w:pPr>
          </w:p>
        </w:tc>
        <w:tc>
          <w:tcPr>
            <w:tcW w:w="4876" w:type="dxa"/>
            <w:hideMark/>
          </w:tcPr>
          <w:p w:rsidR="003A4476" w:rsidRPr="00B41530" w:rsidRDefault="003A4476" w:rsidP="00600310">
            <w:pPr>
              <w:pStyle w:val="Normal6"/>
              <w:rPr>
                <w:szCs w:val="24"/>
                <w:lang w:val="sl-SI"/>
              </w:rPr>
            </w:pPr>
            <w:r w:rsidRPr="00B41530">
              <w:rPr>
                <w:b/>
                <w:i/>
                <w:lang w:val="sl-SI"/>
              </w:rPr>
              <w:t>(ba)</w:t>
            </w:r>
            <w:r w:rsidRPr="00B41530">
              <w:rPr>
                <w:b/>
                <w:i/>
                <w:lang w:val="sl-SI"/>
              </w:rPr>
              <w:tab/>
              <w:t>informacije o morebitnih alternativnih možnostih, njihovi razpoložljivosti in primernosti;</w:t>
            </w:r>
          </w:p>
        </w:tc>
      </w:tr>
    </w:tbl>
    <w:p w:rsidR="003A4476" w:rsidRPr="00B41530" w:rsidRDefault="003A4476" w:rsidP="003A4476"/>
    <w:p w:rsidR="003A4476" w:rsidRPr="00B41530" w:rsidRDefault="008C67A6" w:rsidP="003A4476">
      <w:pPr>
        <w:pStyle w:val="AmNumberTabs"/>
      </w:pPr>
      <w:r w:rsidRPr="00B41530">
        <w:t>Sprememba</w:t>
      </w:r>
      <w:r w:rsidR="003A4476" w:rsidRPr="00B41530">
        <w:tab/>
      </w:r>
      <w:r w:rsidR="003A4476" w:rsidRPr="00B41530">
        <w:tab/>
        <w:t>15</w:t>
      </w:r>
    </w:p>
    <w:p w:rsidR="003A4476" w:rsidRPr="00B41530" w:rsidRDefault="003A4476" w:rsidP="003A4476"/>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Člen 1 – odstavek 1 – točka 3 – točka c</w:t>
      </w:r>
    </w:p>
    <w:p w:rsidR="003A4476" w:rsidRPr="00B41530" w:rsidRDefault="003A4476" w:rsidP="003A4476">
      <w:pPr>
        <w:keepNext/>
      </w:pPr>
      <w:r w:rsidRPr="00B41530">
        <w:t>Direktiva 2011/65/EU</w:t>
      </w:r>
    </w:p>
    <w:p w:rsidR="003A4476" w:rsidRPr="00B41530" w:rsidRDefault="003A4476" w:rsidP="003A4476">
      <w:r w:rsidRPr="00B41530">
        <w:t>Člen 6 – odstavek 2 – pododstavek 3 – točka b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tcPr>
          <w:p w:rsidR="003A4476" w:rsidRPr="00B41530" w:rsidRDefault="003A4476" w:rsidP="00600310">
            <w:pPr>
              <w:pStyle w:val="Normal6"/>
              <w:rPr>
                <w:lang w:val="sl-SI"/>
              </w:rPr>
            </w:pPr>
          </w:p>
        </w:tc>
        <w:tc>
          <w:tcPr>
            <w:tcW w:w="4876" w:type="dxa"/>
            <w:hideMark/>
          </w:tcPr>
          <w:p w:rsidR="003A4476" w:rsidRPr="00B41530" w:rsidRDefault="003A4476" w:rsidP="00600310">
            <w:pPr>
              <w:pStyle w:val="Normal6"/>
              <w:rPr>
                <w:szCs w:val="24"/>
                <w:lang w:val="sl-SI"/>
              </w:rPr>
            </w:pPr>
            <w:r w:rsidRPr="00B41530">
              <w:rPr>
                <w:b/>
                <w:i/>
                <w:lang w:val="sl-SI"/>
              </w:rPr>
              <w:t>(bb)</w:t>
            </w:r>
            <w:r w:rsidRPr="00B41530">
              <w:rPr>
                <w:b/>
                <w:i/>
                <w:lang w:val="sl-SI"/>
              </w:rPr>
              <w:tab/>
              <w:t>utemeljitev ocene, da je omejitev na ravni Unije najprimernejši ukrep.</w:t>
            </w:r>
          </w:p>
        </w:tc>
      </w:tr>
    </w:tbl>
    <w:p w:rsidR="003A4476" w:rsidRPr="00B41530" w:rsidRDefault="003A4476" w:rsidP="003A4476"/>
    <w:p w:rsidR="003A4476" w:rsidRPr="00B41530" w:rsidRDefault="008C67A6" w:rsidP="003A4476">
      <w:pPr>
        <w:pStyle w:val="AmNumberTabs"/>
      </w:pPr>
      <w:r w:rsidRPr="00B41530">
        <w:t>Sprememba</w:t>
      </w:r>
      <w:r w:rsidR="003A4476" w:rsidRPr="00B41530">
        <w:tab/>
      </w:r>
      <w:r w:rsidR="003A4476" w:rsidRPr="00B41530">
        <w:tab/>
        <w:t>16</w:t>
      </w:r>
    </w:p>
    <w:p w:rsidR="003A4476" w:rsidRPr="00B41530" w:rsidRDefault="003A4476" w:rsidP="003A4476"/>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Člen 1 – odstavek 1 – točka 3 – točka c</w:t>
      </w:r>
    </w:p>
    <w:p w:rsidR="003A4476" w:rsidRPr="00B41530" w:rsidRDefault="003A4476" w:rsidP="003A4476">
      <w:pPr>
        <w:keepNext/>
      </w:pPr>
      <w:r w:rsidRPr="00B41530">
        <w:t>Direktiva 2011/65/EU</w:t>
      </w:r>
    </w:p>
    <w:p w:rsidR="003A4476" w:rsidRPr="00B41530" w:rsidRDefault="003A4476" w:rsidP="003A4476">
      <w:r w:rsidRPr="00B41530">
        <w:t>Člen 6 – odstavek 2 – pododstavek 3 – točka b c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tcPr>
          <w:p w:rsidR="003A4476" w:rsidRPr="00B41530" w:rsidRDefault="003A4476" w:rsidP="00600310">
            <w:pPr>
              <w:pStyle w:val="Normal6"/>
              <w:rPr>
                <w:lang w:val="sl-SI"/>
              </w:rPr>
            </w:pPr>
          </w:p>
        </w:tc>
        <w:tc>
          <w:tcPr>
            <w:tcW w:w="4876" w:type="dxa"/>
            <w:hideMark/>
          </w:tcPr>
          <w:p w:rsidR="003A4476" w:rsidRPr="00B41530" w:rsidRDefault="003A4476" w:rsidP="00600310">
            <w:pPr>
              <w:pStyle w:val="Normal6"/>
              <w:rPr>
                <w:szCs w:val="24"/>
                <w:lang w:val="sl-SI"/>
              </w:rPr>
            </w:pPr>
            <w:r w:rsidRPr="00B41530">
              <w:rPr>
                <w:b/>
                <w:i/>
                <w:lang w:val="sl-SI"/>
              </w:rPr>
              <w:t>(bc)</w:t>
            </w:r>
            <w:r w:rsidRPr="00B41530">
              <w:rPr>
                <w:b/>
                <w:i/>
                <w:lang w:val="sl-SI"/>
              </w:rPr>
              <w:tab/>
              <w:t>socialno-ekonomsko oceno.</w:t>
            </w:r>
          </w:p>
        </w:tc>
      </w:tr>
    </w:tbl>
    <w:p w:rsidR="003A4476" w:rsidRPr="00B41530" w:rsidRDefault="003A4476" w:rsidP="003A4476"/>
    <w:p w:rsidR="003A4476" w:rsidRPr="00B41530" w:rsidRDefault="008C67A6" w:rsidP="003A4476">
      <w:pPr>
        <w:pStyle w:val="AmNumberTabs"/>
      </w:pPr>
      <w:r w:rsidRPr="00B41530">
        <w:t>Sprememba</w:t>
      </w:r>
      <w:r w:rsidR="003A4476" w:rsidRPr="00B41530">
        <w:tab/>
      </w:r>
      <w:r w:rsidR="003A4476" w:rsidRPr="00B41530">
        <w:tab/>
        <w:t>17</w:t>
      </w:r>
    </w:p>
    <w:p w:rsidR="003A4476" w:rsidRPr="00B41530" w:rsidRDefault="003A4476" w:rsidP="003A4476"/>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Člen 1 – odstavek 1 – točka 4 a (novo)</w:t>
      </w:r>
    </w:p>
    <w:p w:rsidR="003A4476" w:rsidRPr="00B41530" w:rsidRDefault="003A4476" w:rsidP="003A4476">
      <w:pPr>
        <w:keepNext/>
      </w:pPr>
      <w:r w:rsidRPr="00B41530">
        <w:t>Direktiva 2011/65/EU</w:t>
      </w:r>
    </w:p>
    <w:p w:rsidR="003A4476" w:rsidRPr="00B41530" w:rsidRDefault="003A4476" w:rsidP="003A4476">
      <w:r w:rsidRPr="00B41530">
        <w:t>Člen 20 – odstavek 1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tcPr>
          <w:p w:rsidR="003A4476" w:rsidRPr="00B41530" w:rsidRDefault="003A4476" w:rsidP="00600310">
            <w:pPr>
              <w:pStyle w:val="Normal6"/>
              <w:rPr>
                <w:lang w:val="sl-SI"/>
              </w:rPr>
            </w:pPr>
          </w:p>
        </w:tc>
        <w:tc>
          <w:tcPr>
            <w:tcW w:w="4876" w:type="dxa"/>
            <w:hideMark/>
          </w:tcPr>
          <w:p w:rsidR="003A4476" w:rsidRPr="00B41530" w:rsidRDefault="003A4476" w:rsidP="004724AF">
            <w:pPr>
              <w:pStyle w:val="Normal6"/>
              <w:rPr>
                <w:szCs w:val="24"/>
                <w:lang w:val="sl-SI"/>
              </w:rPr>
            </w:pPr>
            <w:r w:rsidRPr="00B41530">
              <w:rPr>
                <w:b/>
                <w:i/>
                <w:lang w:val="sl-SI"/>
              </w:rPr>
              <w:t>(4a)</w:t>
            </w:r>
            <w:r w:rsidRPr="00B41530">
              <w:rPr>
                <w:b/>
                <w:i/>
                <w:lang w:val="sl-SI"/>
              </w:rPr>
              <w:tab/>
            </w:r>
            <w:r w:rsidR="004724AF" w:rsidRPr="00B41530">
              <w:rPr>
                <w:b/>
                <w:i/>
                <w:lang w:val="sl-SI"/>
              </w:rPr>
              <w:t>v</w:t>
            </w:r>
            <w:r w:rsidRPr="00B41530">
              <w:rPr>
                <w:b/>
                <w:i/>
                <w:lang w:val="sl-SI"/>
              </w:rPr>
              <w:t xml:space="preserve"> členu 20 se vstavi naslednji odstavek:</w:t>
            </w:r>
          </w:p>
        </w:tc>
      </w:tr>
      <w:tr w:rsidR="003A4476" w:rsidRPr="00B41530" w:rsidTr="00600310">
        <w:trPr>
          <w:jc w:val="center"/>
        </w:trPr>
        <w:tc>
          <w:tcPr>
            <w:tcW w:w="4876" w:type="dxa"/>
          </w:tcPr>
          <w:p w:rsidR="003A4476" w:rsidRPr="00B41530" w:rsidRDefault="003A4476" w:rsidP="00600310">
            <w:pPr>
              <w:pStyle w:val="Normal6"/>
              <w:rPr>
                <w:lang w:val="sl-SI"/>
              </w:rPr>
            </w:pPr>
          </w:p>
        </w:tc>
        <w:tc>
          <w:tcPr>
            <w:tcW w:w="4876" w:type="dxa"/>
            <w:hideMark/>
          </w:tcPr>
          <w:p w:rsidR="003A4476" w:rsidRPr="00B41530" w:rsidRDefault="003A4476" w:rsidP="00600310">
            <w:pPr>
              <w:pStyle w:val="Normal6"/>
              <w:rPr>
                <w:szCs w:val="24"/>
                <w:lang w:val="sl-SI"/>
              </w:rPr>
            </w:pPr>
            <w:r w:rsidRPr="00B41530">
              <w:rPr>
                <w:b/>
                <w:i/>
                <w:lang w:val="sl-SI"/>
              </w:rPr>
              <w:t>„1a.</w:t>
            </w:r>
            <w:r w:rsidRPr="00B41530">
              <w:rPr>
                <w:b/>
                <w:i/>
                <w:lang w:val="sl-SI"/>
              </w:rPr>
              <w:tab/>
              <w:t>Komisija se pred sprejetjem delegiranega akta posvetuje s strokovnjaki, ki jih imenujejo države članice, v skladu z načeli, določenimi v Medinstitucionalnem sporazumu z dne 13. aprila 2016 o boljši pripravi zakonodaje.“</w:t>
            </w:r>
            <w:r w:rsidR="004724AF" w:rsidRPr="00B41530">
              <w:rPr>
                <w:b/>
                <w:i/>
                <w:lang w:val="sl-SI"/>
              </w:rPr>
              <w:t>;</w:t>
            </w:r>
          </w:p>
        </w:tc>
      </w:tr>
    </w:tbl>
    <w:p w:rsidR="003A4476" w:rsidRPr="00B41530" w:rsidRDefault="003A4476" w:rsidP="003A4476"/>
    <w:p w:rsidR="003A4476" w:rsidRPr="00B41530" w:rsidRDefault="008C67A6" w:rsidP="003A4476">
      <w:pPr>
        <w:pStyle w:val="AmNumberTabs"/>
      </w:pPr>
      <w:r w:rsidRPr="00B41530">
        <w:t>Sprememba</w:t>
      </w:r>
      <w:r w:rsidR="003A4476" w:rsidRPr="00B41530">
        <w:tab/>
      </w:r>
      <w:r w:rsidR="003A4476" w:rsidRPr="00B41530">
        <w:tab/>
        <w:t>18</w:t>
      </w:r>
    </w:p>
    <w:p w:rsidR="003A4476" w:rsidRPr="00B41530" w:rsidRDefault="003A4476" w:rsidP="003A4476"/>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Člen 1 – odstavek 1 – točka 4 b (novo)</w:t>
      </w:r>
    </w:p>
    <w:p w:rsidR="003A4476" w:rsidRPr="00B41530" w:rsidRDefault="003A4476" w:rsidP="003A4476">
      <w:pPr>
        <w:keepNext/>
      </w:pPr>
      <w:r w:rsidRPr="00B41530">
        <w:t>Direktiva 2011/65/EU</w:t>
      </w:r>
    </w:p>
    <w:p w:rsidR="003A4476" w:rsidRPr="00B41530" w:rsidRDefault="003A4476" w:rsidP="003A4476">
      <w:r w:rsidRPr="00B41530">
        <w:t>Člen 24 – odstavek 2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tcPr>
          <w:p w:rsidR="003A4476" w:rsidRPr="00B41530" w:rsidRDefault="003A4476" w:rsidP="00600310">
            <w:pPr>
              <w:pStyle w:val="Normal6"/>
              <w:rPr>
                <w:lang w:val="sl-SI"/>
              </w:rPr>
            </w:pPr>
          </w:p>
        </w:tc>
        <w:tc>
          <w:tcPr>
            <w:tcW w:w="4876" w:type="dxa"/>
            <w:hideMark/>
          </w:tcPr>
          <w:p w:rsidR="003A4476" w:rsidRPr="00B41530" w:rsidRDefault="003A4476" w:rsidP="004724AF">
            <w:pPr>
              <w:pStyle w:val="Normal6"/>
              <w:rPr>
                <w:szCs w:val="24"/>
                <w:lang w:val="sl-SI"/>
              </w:rPr>
            </w:pPr>
            <w:r w:rsidRPr="00B41530">
              <w:rPr>
                <w:b/>
                <w:i/>
                <w:lang w:val="sl-SI"/>
              </w:rPr>
              <w:t>(4b)</w:t>
            </w:r>
            <w:r w:rsidRPr="00B41530">
              <w:rPr>
                <w:b/>
                <w:i/>
                <w:lang w:val="sl-SI"/>
              </w:rPr>
              <w:tab/>
            </w:r>
            <w:r w:rsidR="004724AF" w:rsidRPr="00B41530">
              <w:rPr>
                <w:b/>
                <w:i/>
                <w:lang w:val="sl-SI"/>
              </w:rPr>
              <w:t>v</w:t>
            </w:r>
            <w:r w:rsidRPr="00B41530">
              <w:rPr>
                <w:b/>
                <w:i/>
                <w:lang w:val="sl-SI"/>
              </w:rPr>
              <w:t> členu 24 se doda naslednji odstavek:</w:t>
            </w:r>
          </w:p>
        </w:tc>
      </w:tr>
      <w:tr w:rsidR="003A4476" w:rsidRPr="00B41530" w:rsidTr="00600310">
        <w:trPr>
          <w:jc w:val="center"/>
        </w:trPr>
        <w:tc>
          <w:tcPr>
            <w:tcW w:w="4876" w:type="dxa"/>
          </w:tcPr>
          <w:p w:rsidR="003A4476" w:rsidRPr="00B41530" w:rsidRDefault="003A4476" w:rsidP="00600310">
            <w:pPr>
              <w:pStyle w:val="Normal6"/>
              <w:rPr>
                <w:lang w:val="sl-SI"/>
              </w:rPr>
            </w:pPr>
          </w:p>
        </w:tc>
        <w:tc>
          <w:tcPr>
            <w:tcW w:w="4876" w:type="dxa"/>
            <w:hideMark/>
          </w:tcPr>
          <w:p w:rsidR="003A4476" w:rsidRPr="00B41530" w:rsidRDefault="003A4476" w:rsidP="004724AF">
            <w:pPr>
              <w:pStyle w:val="Normal6"/>
              <w:rPr>
                <w:szCs w:val="24"/>
                <w:lang w:val="sl-SI"/>
              </w:rPr>
            </w:pPr>
            <w:r w:rsidRPr="00B41530">
              <w:rPr>
                <w:b/>
                <w:i/>
                <w:lang w:val="sl-SI"/>
              </w:rPr>
              <w:t>„2a.</w:t>
            </w:r>
            <w:r w:rsidRPr="00B41530">
              <w:rPr>
                <w:b/>
                <w:i/>
                <w:lang w:val="sl-SI"/>
              </w:rPr>
              <w:tab/>
              <w:t xml:space="preserve">Komisija spremlja stanje glede virov Evropske agencije za kemikalije ter naloge, delovno obremenitev in pristojnost njenih znanstvenih odborov, po potrebi pa predstavi zakonodajni predlog, v katerem </w:t>
            </w:r>
            <w:r w:rsidRPr="00B41530">
              <w:rPr>
                <w:b/>
                <w:i/>
                <w:lang w:val="sl-SI"/>
              </w:rPr>
              <w:lastRenderedPageBreak/>
              <w:t>so upoštevane vse potrebe Agencije, ki izhajajo iz nalog, uvedenih s to uredbo, in s katerim se izboljša upravljanje njenih znanstvenih odborov.</w:t>
            </w:r>
            <w:r w:rsidR="004724AF" w:rsidRPr="00B41530">
              <w:rPr>
                <w:b/>
                <w:i/>
                <w:lang w:val="sl-SI"/>
              </w:rPr>
              <w:t>“</w:t>
            </w:r>
          </w:p>
        </w:tc>
      </w:tr>
    </w:tbl>
    <w:p w:rsidR="003A4476" w:rsidRPr="00B41530" w:rsidRDefault="003A4476" w:rsidP="003A4476"/>
    <w:p w:rsidR="003A4476" w:rsidRPr="00B41530" w:rsidRDefault="008C67A6" w:rsidP="003A4476">
      <w:pPr>
        <w:pStyle w:val="AmNumberTabs"/>
      </w:pPr>
      <w:r w:rsidRPr="00B41530">
        <w:t>Sprememba</w:t>
      </w:r>
      <w:r w:rsidR="003A4476" w:rsidRPr="00B41530">
        <w:tab/>
      </w:r>
      <w:r w:rsidR="003A4476" w:rsidRPr="00B41530">
        <w:tab/>
        <w:t>19</w:t>
      </w:r>
    </w:p>
    <w:p w:rsidR="003A4476" w:rsidRPr="00B41530" w:rsidRDefault="003A4476" w:rsidP="003A4476"/>
    <w:p w:rsidR="003A4476" w:rsidRPr="00B41530" w:rsidRDefault="003A4476" w:rsidP="003A4476">
      <w:pPr>
        <w:pStyle w:val="NormalBold"/>
        <w:keepNext/>
      </w:pPr>
      <w:r w:rsidRPr="00B41530">
        <w:t>Predlog direktive</w:t>
      </w:r>
    </w:p>
    <w:p w:rsidR="003A4476" w:rsidRPr="00B41530" w:rsidRDefault="003A4476" w:rsidP="003A4476">
      <w:pPr>
        <w:pStyle w:val="NormalBold"/>
      </w:pPr>
      <w:r w:rsidRPr="00B41530">
        <w:t>Člen 2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A4476" w:rsidRPr="00B41530" w:rsidTr="00600310">
        <w:trPr>
          <w:jc w:val="center"/>
        </w:trPr>
        <w:tc>
          <w:tcPr>
            <w:tcW w:w="9752" w:type="dxa"/>
            <w:gridSpan w:val="2"/>
          </w:tcPr>
          <w:p w:rsidR="003A4476" w:rsidRPr="00B41530" w:rsidRDefault="003A4476" w:rsidP="00600310">
            <w:pPr>
              <w:keepNext/>
            </w:pPr>
          </w:p>
        </w:tc>
      </w:tr>
      <w:tr w:rsidR="003A4476" w:rsidRPr="00B41530" w:rsidTr="00600310">
        <w:trPr>
          <w:jc w:val="center"/>
        </w:trPr>
        <w:tc>
          <w:tcPr>
            <w:tcW w:w="4876" w:type="dxa"/>
            <w:hideMark/>
          </w:tcPr>
          <w:p w:rsidR="003A4476" w:rsidRPr="00B41530" w:rsidRDefault="003A4476" w:rsidP="00600310">
            <w:pPr>
              <w:pStyle w:val="ColumnHeading"/>
              <w:keepNext/>
            </w:pPr>
            <w:r w:rsidRPr="00B41530">
              <w:t>Besedilo, ki ga predlaga Komisija</w:t>
            </w:r>
          </w:p>
        </w:tc>
        <w:tc>
          <w:tcPr>
            <w:tcW w:w="4876" w:type="dxa"/>
            <w:hideMark/>
          </w:tcPr>
          <w:p w:rsidR="003A4476" w:rsidRPr="00B41530" w:rsidRDefault="008C67A6" w:rsidP="00600310">
            <w:pPr>
              <w:pStyle w:val="ColumnHeading"/>
              <w:keepNext/>
            </w:pPr>
            <w:r w:rsidRPr="00B41530">
              <w:t>Sprememba</w:t>
            </w:r>
          </w:p>
        </w:tc>
      </w:tr>
      <w:tr w:rsidR="003A4476" w:rsidRPr="00B41530" w:rsidTr="00600310">
        <w:trPr>
          <w:jc w:val="center"/>
        </w:trPr>
        <w:tc>
          <w:tcPr>
            <w:tcW w:w="4876" w:type="dxa"/>
            <w:hideMark/>
          </w:tcPr>
          <w:p w:rsidR="003A4476" w:rsidRPr="00B41530" w:rsidRDefault="003A4476" w:rsidP="00600310">
            <w:pPr>
              <w:pStyle w:val="Normal6"/>
              <w:rPr>
                <w:lang w:val="sl-SI"/>
              </w:rPr>
            </w:pPr>
            <w:r w:rsidRPr="00B41530">
              <w:rPr>
                <w:lang w:val="sl-SI"/>
              </w:rPr>
              <w:t xml:space="preserve">Določbe te direktive se uporabljajo od [Urad za publikacije: </w:t>
            </w:r>
            <w:r w:rsidRPr="00B41530">
              <w:rPr>
                <w:b/>
                <w:i/>
                <w:lang w:val="sl-SI"/>
              </w:rPr>
              <w:t>12</w:t>
            </w:r>
            <w:r w:rsidRPr="00B41530">
              <w:rPr>
                <w:lang w:val="sl-SI"/>
              </w:rPr>
              <w:t> mesecev po objavi te direktive].</w:t>
            </w:r>
          </w:p>
        </w:tc>
        <w:tc>
          <w:tcPr>
            <w:tcW w:w="4876" w:type="dxa"/>
            <w:hideMark/>
          </w:tcPr>
          <w:p w:rsidR="003A4476" w:rsidRPr="00B41530" w:rsidRDefault="003A4476" w:rsidP="00600310">
            <w:pPr>
              <w:pStyle w:val="Normal6"/>
              <w:rPr>
                <w:szCs w:val="24"/>
                <w:lang w:val="sl-SI"/>
              </w:rPr>
            </w:pPr>
            <w:r w:rsidRPr="00B41530">
              <w:rPr>
                <w:lang w:val="sl-SI"/>
              </w:rPr>
              <w:t xml:space="preserve">Določbe te direktive se uporabljajo od [Urad za publikacije: </w:t>
            </w:r>
            <w:r w:rsidRPr="00B41530">
              <w:rPr>
                <w:b/>
                <w:i/>
                <w:lang w:val="sl-SI"/>
              </w:rPr>
              <w:t>18</w:t>
            </w:r>
            <w:r w:rsidRPr="00B41530">
              <w:rPr>
                <w:lang w:val="sl-SI"/>
              </w:rPr>
              <w:t> mesecev po objavi te direktive].</w:t>
            </w:r>
          </w:p>
        </w:tc>
      </w:tr>
    </w:tbl>
    <w:p w:rsidR="00E365E1" w:rsidRPr="00B41530" w:rsidRDefault="00E365E1" w:rsidP="003A4476"/>
    <w:sectPr w:rsidR="00E365E1" w:rsidRPr="00B41530" w:rsidSect="00DF46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48E" w:rsidRPr="00DF46D3" w:rsidRDefault="003E248E">
      <w:r w:rsidRPr="00DF46D3">
        <w:separator/>
      </w:r>
    </w:p>
  </w:endnote>
  <w:endnote w:type="continuationSeparator" w:id="0">
    <w:p w:rsidR="003E248E" w:rsidRPr="00DF46D3" w:rsidRDefault="003E248E">
      <w:r w:rsidRPr="00DF46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6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6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6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48E" w:rsidRPr="00DF46D3" w:rsidRDefault="003E248E">
      <w:r w:rsidRPr="00DF46D3">
        <w:separator/>
      </w:r>
    </w:p>
  </w:footnote>
  <w:footnote w:type="continuationSeparator" w:id="0">
    <w:p w:rsidR="003E248E" w:rsidRPr="00DF46D3" w:rsidRDefault="003E248E">
      <w:r w:rsidRPr="00DF46D3">
        <w:continuationSeparator/>
      </w:r>
    </w:p>
  </w:footnote>
  <w:footnote w:id="1">
    <w:p w:rsidR="008C67A6" w:rsidRPr="001145CC" w:rsidRDefault="008C67A6" w:rsidP="00D80A92">
      <w:pPr>
        <w:pStyle w:val="FootnoteText"/>
        <w:ind w:left="567" w:hanging="567"/>
        <w:rPr>
          <w:lang w:val="en-GB"/>
        </w:rPr>
      </w:pPr>
      <w:r>
        <w:rPr>
          <w:rStyle w:val="FootnoteReference"/>
        </w:rPr>
        <w:footnoteRef/>
      </w:r>
      <w:r w:rsidRPr="001145CC">
        <w:rPr>
          <w:lang w:val="en-GB"/>
        </w:rPr>
        <w:t xml:space="preserve"> </w:t>
      </w:r>
      <w:r w:rsidRPr="001145CC">
        <w:rPr>
          <w:lang w:val="en-GB"/>
        </w:rPr>
        <w:tab/>
      </w:r>
      <w:r w:rsidRPr="00577391">
        <w:rPr>
          <w:sz w:val="24"/>
          <w:lang w:val="sl-SI"/>
        </w:rPr>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w:t>
      </w:r>
      <w:r w:rsidRPr="00B9461A">
        <w:rPr>
          <w:sz w:val="24"/>
          <w:lang w:val="sl-SI"/>
        </w:rPr>
        <w:t xml:space="preserve">pododstavkom člena </w:t>
      </w:r>
      <w:r w:rsidR="00D80A92">
        <w:rPr>
          <w:sz w:val="24"/>
          <w:lang w:val="sl-SI"/>
        </w:rPr>
        <w:t>60</w:t>
      </w:r>
      <w:bookmarkStart w:id="7" w:name="_GoBack"/>
      <w:bookmarkEnd w:id="7"/>
      <w:r w:rsidRPr="00B9461A">
        <w:rPr>
          <w:sz w:val="24"/>
          <w:lang w:val="sl-SI"/>
        </w:rPr>
        <w:t xml:space="preserve">(4) Poslovnika vrnjena pristojnemu odboru v medinstitucionalna pogajanja </w:t>
      </w:r>
      <w:r w:rsidRPr="006D1F8A">
        <w:rPr>
          <w:sz w:val="24"/>
          <w:szCs w:val="24"/>
          <w:lang w:val="en-GB"/>
        </w:rPr>
        <w:t>(A</w:t>
      </w:r>
      <w:r>
        <w:rPr>
          <w:sz w:val="24"/>
          <w:szCs w:val="24"/>
          <w:lang w:val="en-GB"/>
        </w:rPr>
        <w:t>10</w:t>
      </w:r>
      <w:r w:rsidRPr="006D1F8A">
        <w:rPr>
          <w:sz w:val="24"/>
          <w:szCs w:val="24"/>
          <w:lang w:val="en-GB"/>
        </w:rPr>
        <w:t>-0</w:t>
      </w:r>
      <w:r>
        <w:rPr>
          <w:sz w:val="24"/>
          <w:szCs w:val="24"/>
          <w:lang w:val="en-GB"/>
        </w:rPr>
        <w:t>019</w:t>
      </w:r>
      <w:r w:rsidRPr="006D1F8A">
        <w:rPr>
          <w:sz w:val="24"/>
          <w:szCs w:val="24"/>
          <w:lang w:val="en-GB"/>
        </w:rPr>
        <w:t>/202</w:t>
      </w:r>
      <w:r>
        <w:rPr>
          <w:sz w:val="24"/>
          <w:szCs w:val="24"/>
          <w:lang w:val="en-GB"/>
        </w:rPr>
        <w:t>5</w:t>
      </w:r>
      <w:r w:rsidRPr="006D1F8A">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6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6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46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5"/>
    <w:docVar w:name="dvlangue" w:val="SL"/>
    <w:docVar w:name="dvnumam" w:val="19"/>
    <w:docVar w:name="dvpe" w:val="763.254"/>
    <w:docVar w:name="dvrapporteur" w:val="Poročevalec: "/>
    <w:docVar w:name="dvstar" w:val="***I"/>
    <w:docVar w:name="dvtitre" w:val="Zakonodajna resolucija Evropskega parlamenta z dne xx. aprila 2025 o predlogu direktive Evropskega parlamenta in Sveta o spremembi Direktive 2011/65/EU Evropskega parlamenta in Sveta v zvezi s predodelitvijo znanstvenih in tehničnih nalog Evropski agenciji za kemikalije(COM(2023)0781 – C9-0448/2023 – 2023/0454(COD))"/>
  </w:docVars>
  <w:rsids>
    <w:rsidRoot w:val="003E248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4476"/>
    <w:rsid w:val="003E15D4"/>
    <w:rsid w:val="003E248E"/>
    <w:rsid w:val="00411CCE"/>
    <w:rsid w:val="0041666E"/>
    <w:rsid w:val="00421060"/>
    <w:rsid w:val="00471C19"/>
    <w:rsid w:val="004724AF"/>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5318"/>
    <w:rsid w:val="007D1690"/>
    <w:rsid w:val="007E22AD"/>
    <w:rsid w:val="007E7947"/>
    <w:rsid w:val="00801AC6"/>
    <w:rsid w:val="00817416"/>
    <w:rsid w:val="00842779"/>
    <w:rsid w:val="00865F67"/>
    <w:rsid w:val="00881A7B"/>
    <w:rsid w:val="008840E5"/>
    <w:rsid w:val="00887B3E"/>
    <w:rsid w:val="008C2AC6"/>
    <w:rsid w:val="008C67A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1530"/>
    <w:rsid w:val="00B558F0"/>
    <w:rsid w:val="00BD48FE"/>
    <w:rsid w:val="00BD7BD8"/>
    <w:rsid w:val="00BE6ADC"/>
    <w:rsid w:val="00C05BFE"/>
    <w:rsid w:val="00C23CD4"/>
    <w:rsid w:val="00C61C0C"/>
    <w:rsid w:val="00C941CB"/>
    <w:rsid w:val="00CC2357"/>
    <w:rsid w:val="00CF071A"/>
    <w:rsid w:val="00D058B8"/>
    <w:rsid w:val="00D56C11"/>
    <w:rsid w:val="00D80A92"/>
    <w:rsid w:val="00D834A0"/>
    <w:rsid w:val="00D872DF"/>
    <w:rsid w:val="00D91E21"/>
    <w:rsid w:val="00DA7FCD"/>
    <w:rsid w:val="00DF46D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4A65B"/>
  <w15:chartTrackingRefBased/>
  <w15:docId w15:val="{59A84427-8772-42E0-8E79-1B734EFBD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uiPriority w:val="99"/>
    <w:rsid w:val="00395FA1"/>
    <w:rPr>
      <w:b w:val="0"/>
      <w:vertAlign w:val="superscript"/>
    </w:rPr>
  </w:style>
  <w:style w:type="paragraph" w:styleId="FootnoteText">
    <w:name w:val="footnote text"/>
    <w:aliases w:val=" Char Char Char Char"/>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3A4476"/>
    <w:rPr>
      <w:b/>
    </w:rPr>
  </w:style>
  <w:style w:type="paragraph" w:customStyle="1" w:styleId="NormalHanging12a">
    <w:name w:val="NormalHanging12a"/>
    <w:basedOn w:val="Normal"/>
    <w:rsid w:val="003A4476"/>
    <w:pPr>
      <w:spacing w:after="240"/>
      <w:ind w:left="567" w:hanging="567"/>
    </w:pPr>
  </w:style>
  <w:style w:type="paragraph" w:customStyle="1" w:styleId="AmNumberTabs">
    <w:name w:val="AmNumberTabs"/>
    <w:basedOn w:val="Normal"/>
    <w:rsid w:val="003A44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A4476"/>
    <w:pPr>
      <w:spacing w:before="480" w:after="240"/>
    </w:pPr>
  </w:style>
  <w:style w:type="character" w:customStyle="1" w:styleId="Normal6Char">
    <w:name w:val="Normal6 Char"/>
    <w:basedOn w:val="DefaultParagraphFont"/>
    <w:link w:val="Normal6"/>
    <w:locked/>
    <w:rsid w:val="003A4476"/>
    <w:rPr>
      <w:sz w:val="24"/>
    </w:rPr>
  </w:style>
  <w:style w:type="paragraph" w:customStyle="1" w:styleId="Normal6">
    <w:name w:val="Normal6"/>
    <w:basedOn w:val="Normal"/>
    <w:link w:val="Normal6Char"/>
    <w:rsid w:val="003A4476"/>
    <w:pPr>
      <w:spacing w:after="120"/>
    </w:pPr>
    <w:rPr>
      <w:lang w:val="en-GB"/>
    </w:rPr>
  </w:style>
  <w:style w:type="character" w:customStyle="1" w:styleId="NormalBoldChar">
    <w:name w:val="NormalBold Char"/>
    <w:basedOn w:val="DefaultParagraphFont"/>
    <w:link w:val="NormalBold"/>
    <w:locked/>
    <w:rsid w:val="003A4476"/>
    <w:rPr>
      <w:b/>
      <w:sz w:val="24"/>
      <w:lang w:val="sl-SI"/>
    </w:rPr>
  </w:style>
  <w:style w:type="paragraph" w:customStyle="1" w:styleId="ColumnHeading">
    <w:name w:val="ColumnHeading"/>
    <w:basedOn w:val="Normal"/>
    <w:rsid w:val="003A4476"/>
    <w:pPr>
      <w:spacing w:after="240"/>
      <w:jc w:val="center"/>
    </w:pPr>
    <w:rPr>
      <w:i/>
    </w:rPr>
  </w:style>
  <w:style w:type="paragraph" w:customStyle="1" w:styleId="CrossRef">
    <w:name w:val="CrossRef"/>
    <w:basedOn w:val="Normal"/>
    <w:rsid w:val="003A4476"/>
    <w:pPr>
      <w:spacing w:before="240"/>
      <w:jc w:val="center"/>
    </w:pPr>
    <w:rPr>
      <w:i/>
    </w:rPr>
  </w:style>
  <w:style w:type="character" w:styleId="Hyperlink">
    <w:name w:val="Hyperlink"/>
    <w:basedOn w:val="DefaultParagraphFont"/>
    <w:rsid w:val="00801AC6"/>
    <w:rPr>
      <w:color w:val="0563C1" w:themeColor="hyperlink"/>
      <w:u w:val="single"/>
    </w:rPr>
  </w:style>
  <w:style w:type="paragraph" w:styleId="BalloonText">
    <w:name w:val="Balloon Text"/>
    <w:basedOn w:val="Normal"/>
    <w:link w:val="BalloonTextChar"/>
    <w:rsid w:val="00801AC6"/>
    <w:rPr>
      <w:rFonts w:ascii="Segoe UI" w:hAnsi="Segoe UI" w:cs="Segoe UI"/>
      <w:sz w:val="18"/>
      <w:szCs w:val="18"/>
    </w:rPr>
  </w:style>
  <w:style w:type="character" w:customStyle="1" w:styleId="BalloonTextChar">
    <w:name w:val="Balloon Text Char"/>
    <w:basedOn w:val="DefaultParagraphFont"/>
    <w:link w:val="BalloonText"/>
    <w:rsid w:val="00801AC6"/>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D5F48-3816-4436-9ABA-DFA29BC23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1924</Words>
  <Characters>11595</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2025-04-01T12:20:00Z</dcterms:created>
  <dcterms:modified xsi:type="dcterms:W3CDTF">2025-04-01T12:20:00Z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A10-0019/2025</vt:lpwstr>
  </property>
  <property fmtid="{D5CDD505-2E9C-101B-9397-08002B2CF9AE}" pid="4" name="&lt;Type&gt;">
    <vt:lpwstr>RR</vt:lpwstr>
  </property>
</Properties>
</file>