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4ED5" w:rsidTr="0010095E">
        <w:trPr>
          <w:trHeight w:hRule="exact" w:val="1418"/>
        </w:trPr>
        <w:tc>
          <w:tcPr>
            <w:tcW w:w="6804" w:type="dxa"/>
            <w:shd w:val="clear" w:color="auto" w:fill="auto"/>
            <w:vAlign w:val="center"/>
          </w:tcPr>
          <w:p w:rsidR="00751A4A" w:rsidRPr="00AC4ED5" w:rsidRDefault="004F3BAD" w:rsidP="0010095E">
            <w:pPr>
              <w:pStyle w:val="EPName"/>
            </w:pPr>
            <w:r w:rsidRPr="00AC4ED5">
              <w:t>Parlamento Europeo</w:t>
            </w:r>
          </w:p>
          <w:p w:rsidR="00751A4A" w:rsidRPr="00AC4ED5" w:rsidRDefault="005F1B17" w:rsidP="005F1B17">
            <w:pPr>
              <w:pStyle w:val="EPTerm"/>
              <w:rPr>
                <w:rStyle w:val="HideTWBExt"/>
                <w:noProof w:val="0"/>
                <w:vanish w:val="0"/>
                <w:color w:val="auto"/>
              </w:rPr>
            </w:pPr>
            <w:r w:rsidRPr="00AC4ED5">
              <w:t>2024</w:t>
            </w:r>
            <w:r w:rsidR="00817416" w:rsidRPr="00AC4ED5">
              <w:t>-202</w:t>
            </w:r>
            <w:r w:rsidRPr="00AC4ED5">
              <w:t>9</w:t>
            </w:r>
          </w:p>
        </w:tc>
        <w:tc>
          <w:tcPr>
            <w:tcW w:w="2268" w:type="dxa"/>
            <w:shd w:val="clear" w:color="auto" w:fill="auto"/>
          </w:tcPr>
          <w:p w:rsidR="00751A4A" w:rsidRPr="00AC4ED5" w:rsidRDefault="00187494" w:rsidP="0010095E">
            <w:pPr>
              <w:pStyle w:val="EPLogo"/>
            </w:pPr>
            <w:r w:rsidRPr="00AC4ED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C4ED5" w:rsidRDefault="00D058B8" w:rsidP="004C5D52">
      <w:pPr>
        <w:pStyle w:val="LineTop"/>
      </w:pPr>
    </w:p>
    <w:p w:rsidR="00680577" w:rsidRPr="00AC4ED5" w:rsidRDefault="004F3BAD" w:rsidP="00680577">
      <w:pPr>
        <w:pStyle w:val="EPBodyTA1"/>
      </w:pPr>
      <w:r w:rsidRPr="00AC4ED5">
        <w:t>TEXTOS APROBADOS</w:t>
      </w:r>
    </w:p>
    <w:p w:rsidR="00D058B8" w:rsidRPr="00AC4ED5" w:rsidRDefault="00D058B8" w:rsidP="00D058B8">
      <w:pPr>
        <w:pStyle w:val="LineBottom"/>
      </w:pPr>
    </w:p>
    <w:p w:rsidR="004F3BAD" w:rsidRPr="00AC4ED5" w:rsidRDefault="004F3BAD" w:rsidP="004F3BAD">
      <w:pPr>
        <w:pStyle w:val="ATHeading1"/>
      </w:pPr>
      <w:bookmarkStart w:id="0" w:name="TANumber"/>
      <w:r w:rsidRPr="00AC4ED5">
        <w:t>P10_</w:t>
      </w:r>
      <w:proofErr w:type="gramStart"/>
      <w:r w:rsidRPr="00AC4ED5">
        <w:t>TA(</w:t>
      </w:r>
      <w:proofErr w:type="gramEnd"/>
      <w:r w:rsidRPr="00AC4ED5">
        <w:t>2025)00</w:t>
      </w:r>
      <w:r w:rsidR="00683303" w:rsidRPr="00AC4ED5">
        <w:t>47</w:t>
      </w:r>
      <w:bookmarkEnd w:id="0"/>
    </w:p>
    <w:p w:rsidR="004F3BAD" w:rsidRPr="00AC4ED5" w:rsidRDefault="004F3BAD" w:rsidP="004F3BAD">
      <w:pPr>
        <w:pStyle w:val="ATHeading2"/>
      </w:pPr>
      <w:bookmarkStart w:id="1" w:name="title"/>
      <w:r w:rsidRPr="00AC4ED5">
        <w:t>Reasignación de tareas científicas y técnicas y mejora de la cooperación entre las agencias de la Unión en el ámbito de las sustancias químicas</w:t>
      </w:r>
      <w:bookmarkEnd w:id="1"/>
    </w:p>
    <w:p w:rsidR="004F3BAD" w:rsidRPr="00AC4ED5" w:rsidRDefault="004F3BAD" w:rsidP="004F3BAD">
      <w:pPr>
        <w:rPr>
          <w:i/>
          <w:vanish/>
        </w:rPr>
      </w:pPr>
      <w:r w:rsidRPr="00AC4ED5">
        <w:rPr>
          <w:i/>
        </w:rPr>
        <w:fldChar w:fldCharType="begin"/>
      </w:r>
      <w:r w:rsidRPr="00AC4ED5">
        <w:rPr>
          <w:i/>
        </w:rPr>
        <w:instrText xml:space="preserve"> TC"(</w:instrText>
      </w:r>
      <w:bookmarkStart w:id="2" w:name="DocNumber"/>
      <w:r w:rsidRPr="00AC4ED5">
        <w:rPr>
          <w:i/>
        </w:rPr>
        <w:instrText>A10-0020/2025</w:instrText>
      </w:r>
      <w:bookmarkEnd w:id="2"/>
      <w:r w:rsidRPr="00AC4ED5">
        <w:rPr>
          <w:i/>
        </w:rPr>
        <w:instrText xml:space="preserve"> - Ponente: </w:instrText>
      </w:r>
      <w:proofErr w:type="spellStart"/>
      <w:r w:rsidRPr="00AC4ED5">
        <w:rPr>
          <w:i/>
        </w:rPr>
        <w:instrText>Dimitris</w:instrText>
      </w:r>
      <w:proofErr w:type="spellEnd"/>
      <w:r w:rsidRPr="00AC4ED5">
        <w:rPr>
          <w:i/>
        </w:rPr>
        <w:instrText xml:space="preserve"> </w:instrText>
      </w:r>
      <w:proofErr w:type="spellStart"/>
      <w:r w:rsidRPr="00AC4ED5">
        <w:rPr>
          <w:i/>
        </w:rPr>
        <w:instrText>Tsiodras</w:instrText>
      </w:r>
      <w:proofErr w:type="spellEnd"/>
      <w:r w:rsidRPr="00AC4ED5">
        <w:rPr>
          <w:i/>
        </w:rPr>
        <w:instrText xml:space="preserve">)"\l3 \n&gt; \* MERGEFORMAT </w:instrText>
      </w:r>
      <w:r w:rsidRPr="00AC4ED5">
        <w:rPr>
          <w:i/>
        </w:rPr>
        <w:fldChar w:fldCharType="end"/>
      </w:r>
    </w:p>
    <w:p w:rsidR="004F3BAD" w:rsidRPr="00AC4ED5" w:rsidRDefault="004F3BAD" w:rsidP="004F3BAD">
      <w:pPr>
        <w:rPr>
          <w:vanish/>
        </w:rPr>
      </w:pPr>
      <w:bookmarkStart w:id="3" w:name="Commission"/>
      <w:r w:rsidRPr="00AC4ED5">
        <w:rPr>
          <w:vanish/>
        </w:rPr>
        <w:t>Comisión de Medio Ambiente, Clima y Seguridad Alimentaria</w:t>
      </w:r>
      <w:bookmarkEnd w:id="3"/>
    </w:p>
    <w:p w:rsidR="004F3BAD" w:rsidRPr="00AC4ED5" w:rsidRDefault="004F3BAD" w:rsidP="004F3BAD">
      <w:pPr>
        <w:rPr>
          <w:vanish/>
        </w:rPr>
      </w:pPr>
      <w:bookmarkStart w:id="4" w:name="PE"/>
      <w:r w:rsidRPr="00AC4ED5">
        <w:rPr>
          <w:vanish/>
        </w:rPr>
        <w:t>PE763.253</w:t>
      </w:r>
      <w:bookmarkEnd w:id="4"/>
    </w:p>
    <w:p w:rsidR="004F3BAD" w:rsidRPr="00AC4ED5" w:rsidRDefault="00683303" w:rsidP="004F3BAD">
      <w:pPr>
        <w:pStyle w:val="ATHeading3"/>
      </w:pPr>
      <w:bookmarkStart w:id="5" w:name="Sujet"/>
      <w:r w:rsidRPr="00AC4ED5">
        <w:t>Enmiendas aprobadas por el</w:t>
      </w:r>
      <w:r w:rsidR="004F3BAD" w:rsidRPr="00AC4ED5">
        <w:t xml:space="preserve"> Parlamento Europeo </w:t>
      </w:r>
      <w:r w:rsidRPr="00AC4ED5">
        <w:t>el</w:t>
      </w:r>
      <w:r w:rsidR="004F3BAD" w:rsidRPr="00AC4ED5">
        <w:t xml:space="preserve"> 1 de abril de 2025 sobre la propuesta de Reglamento del Parlamento Europeo y del Consejo por el que se modifican los Reglamentos (CE) n.º 178/2002, (CE) n.º 401/2009, (UE) 2017/745 y (UE) 2019/1021 del Parlamento Europeo y del Consejo en lo que respecta a la reasignación de tareas científicas y técnicas y a la mejora de la cooperación entre las agencias de la Unión en el ámbito de las sustancias químicas</w:t>
      </w:r>
      <w:bookmarkEnd w:id="5"/>
      <w:r w:rsidR="004F3BAD" w:rsidRPr="00AC4ED5">
        <w:t xml:space="preserve"> </w:t>
      </w:r>
      <w:bookmarkStart w:id="6" w:name="References"/>
      <w:r w:rsidR="004F3BAD" w:rsidRPr="00AC4ED5">
        <w:t>(COM(2023)0783 – C9-0447/2023 – 2023/0455(COD))</w:t>
      </w:r>
      <w:bookmarkEnd w:id="6"/>
      <w:r w:rsidRPr="00AC4ED5">
        <w:rPr>
          <w:rStyle w:val="FootnoteReference"/>
        </w:rPr>
        <w:footnoteReference w:id="1"/>
      </w:r>
    </w:p>
    <w:p w:rsidR="006A2960" w:rsidRPr="00AC4ED5" w:rsidRDefault="006A2960" w:rsidP="006A2960">
      <w:pPr>
        <w:pStyle w:val="NormalBold"/>
      </w:pPr>
      <w:r w:rsidRPr="00AC4ED5">
        <w:t>(Procedimiento legislativo ordinario: primera lectura)</w:t>
      </w:r>
    </w:p>
    <w:p w:rsidR="006A2960" w:rsidRPr="00AC4ED5" w:rsidRDefault="006A2960" w:rsidP="006A2960">
      <w:pPr>
        <w:pStyle w:val="AmNumberTabs"/>
      </w:pPr>
      <w:r w:rsidRPr="00AC4ED5">
        <w:t>Enmienda</w:t>
      </w:r>
      <w:r w:rsidRPr="00AC4ED5">
        <w:tab/>
      </w:r>
      <w:r w:rsidRPr="00AC4ED5">
        <w:tab/>
        <w:t>1</w:t>
      </w:r>
    </w:p>
    <w:p w:rsidR="006A2960" w:rsidRPr="00AC4ED5" w:rsidRDefault="006A2960" w:rsidP="006A2960"/>
    <w:p w:rsidR="006A2960" w:rsidRPr="00AC4ED5" w:rsidRDefault="006A2960" w:rsidP="006A2960">
      <w:pPr>
        <w:pStyle w:val="NormalBold"/>
        <w:keepNext/>
      </w:pPr>
      <w:r w:rsidRPr="00AC4ED5">
        <w:t>Propuesta de Reglamento</w:t>
      </w:r>
    </w:p>
    <w:p w:rsidR="006A2960" w:rsidRPr="00AC4ED5" w:rsidRDefault="006A2960" w:rsidP="006A2960">
      <w:pPr>
        <w:pStyle w:val="NormalBold"/>
      </w:pPr>
      <w:r w:rsidRPr="00AC4ED5">
        <w:t>Considerando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960" w:rsidRPr="00AC4ED5" w:rsidTr="00224BC5">
        <w:trPr>
          <w:jc w:val="center"/>
        </w:trPr>
        <w:tc>
          <w:tcPr>
            <w:tcW w:w="9752" w:type="dxa"/>
            <w:gridSpan w:val="2"/>
          </w:tcPr>
          <w:p w:rsidR="006A2960" w:rsidRPr="00AC4ED5" w:rsidRDefault="006A2960" w:rsidP="00224BC5">
            <w:pPr>
              <w:keepNext/>
            </w:pPr>
          </w:p>
        </w:tc>
      </w:tr>
      <w:tr w:rsidR="006A2960" w:rsidRPr="00AC4ED5" w:rsidTr="00224BC5">
        <w:trPr>
          <w:jc w:val="center"/>
        </w:trPr>
        <w:tc>
          <w:tcPr>
            <w:tcW w:w="4876" w:type="dxa"/>
            <w:hideMark/>
          </w:tcPr>
          <w:p w:rsidR="006A2960" w:rsidRPr="00AC4ED5" w:rsidRDefault="006A2960" w:rsidP="00224BC5">
            <w:pPr>
              <w:pStyle w:val="ColumnHeading"/>
              <w:keepNext/>
              <w:rPr>
                <w:lang w:val="es-ES_tradnl"/>
              </w:rPr>
            </w:pPr>
            <w:r w:rsidRPr="00AC4ED5">
              <w:rPr>
                <w:lang w:val="es-ES_tradnl"/>
              </w:rPr>
              <w:t>Texto de la Comisión</w:t>
            </w:r>
          </w:p>
        </w:tc>
        <w:tc>
          <w:tcPr>
            <w:tcW w:w="4876" w:type="dxa"/>
            <w:hideMark/>
          </w:tcPr>
          <w:p w:rsidR="006A2960" w:rsidRPr="00AC4ED5" w:rsidRDefault="006A2960" w:rsidP="00224BC5">
            <w:pPr>
              <w:pStyle w:val="ColumnHeading"/>
              <w:keepNext/>
              <w:rPr>
                <w:lang w:val="es-ES_tradnl"/>
              </w:rPr>
            </w:pPr>
            <w:r w:rsidRPr="00AC4ED5">
              <w:rPr>
                <w:lang w:val="es-ES_tradnl"/>
              </w:rPr>
              <w:t>Enmienda</w:t>
            </w:r>
          </w:p>
        </w:tc>
      </w:tr>
      <w:tr w:rsidR="006A2960" w:rsidRPr="00AC4ED5" w:rsidTr="00224BC5">
        <w:trPr>
          <w:jc w:val="center"/>
        </w:trPr>
        <w:tc>
          <w:tcPr>
            <w:tcW w:w="4876" w:type="dxa"/>
            <w:hideMark/>
          </w:tcPr>
          <w:p w:rsidR="006A2960" w:rsidRPr="00AC4ED5" w:rsidRDefault="006A2960" w:rsidP="00224BC5">
            <w:pPr>
              <w:pStyle w:val="Normal6"/>
              <w:rPr>
                <w:lang w:val="es-ES_tradnl"/>
              </w:rPr>
            </w:pPr>
            <w:r w:rsidRPr="00AC4ED5">
              <w:rPr>
                <w:lang w:val="es-ES_tradnl"/>
              </w:rPr>
              <w:t>(8)</w:t>
            </w:r>
            <w:r w:rsidRPr="00AC4ED5">
              <w:rPr>
                <w:lang w:val="es-ES_tradnl"/>
              </w:rPr>
              <w:tab/>
              <w:t xml:space="preserve">En consecuencia, el presente Reglamento tiene por objeto abordar la posible discrepancia entre los dictámenes científicos de la Autoridad Europea de Seguridad Alimentaria y los de otras agencias de la Unión. El Reglamento (CE) n.º 178/2002 del Parlamento Europeo y del Consejo ya contiene disposiciones que establecen un procedimiento para resolver los dictámenes científicos discrepantes. Estos procedimientos de resolución deben reforzarse, en el sentido de que la Autoridad Europea de Seguridad Alimentaria y el otro organismo disidente </w:t>
            </w:r>
            <w:r w:rsidRPr="00AC4ED5">
              <w:rPr>
                <w:lang w:val="es-ES_tradnl"/>
              </w:rPr>
              <w:lastRenderedPageBreak/>
              <w:t>deben estar obligados a hacer todo lo posible por resolver las discrepancias en cuestiones científicas generales</w:t>
            </w:r>
            <w:r w:rsidRPr="00AC4ED5">
              <w:rPr>
                <w:b/>
                <w:i/>
                <w:lang w:val="es-ES_tradnl"/>
              </w:rPr>
              <w:t>, y</w:t>
            </w:r>
            <w:r w:rsidRPr="00AC4ED5">
              <w:rPr>
                <w:lang w:val="es-ES_tradnl"/>
              </w:rPr>
              <w:t xml:space="preserve"> solo cuando no sean capaces de </w:t>
            </w:r>
            <w:r w:rsidRPr="00AC4ED5">
              <w:rPr>
                <w:b/>
                <w:i/>
                <w:lang w:val="es-ES_tradnl"/>
              </w:rPr>
              <w:t>resolverlas</w:t>
            </w:r>
            <w:r w:rsidRPr="00AC4ED5">
              <w:rPr>
                <w:lang w:val="es-ES_tradnl"/>
              </w:rPr>
              <w:t xml:space="preserve"> deben recurrir a los gestores de riesgos.</w:t>
            </w:r>
          </w:p>
        </w:tc>
        <w:tc>
          <w:tcPr>
            <w:tcW w:w="4876" w:type="dxa"/>
            <w:hideMark/>
          </w:tcPr>
          <w:p w:rsidR="006A2960" w:rsidRPr="00AC4ED5" w:rsidRDefault="006A2960" w:rsidP="00224BC5">
            <w:pPr>
              <w:pStyle w:val="Normal6"/>
              <w:rPr>
                <w:szCs w:val="24"/>
                <w:lang w:val="es-ES_tradnl"/>
              </w:rPr>
            </w:pPr>
            <w:r w:rsidRPr="00AC4ED5">
              <w:rPr>
                <w:lang w:val="es-ES_tradnl"/>
              </w:rPr>
              <w:lastRenderedPageBreak/>
              <w:t>(8)</w:t>
            </w:r>
            <w:r w:rsidRPr="00AC4ED5">
              <w:rPr>
                <w:lang w:val="es-ES_tradnl"/>
              </w:rPr>
              <w:tab/>
              <w:t xml:space="preserve">En consecuencia, el presente Reglamento tiene por objeto abordar la posible discrepancia entre los dictámenes científicos de la Autoridad Europea de Seguridad Alimentaria y los de otras agencias de la Unión. El Reglamento (CE) n.º 178/2002 del Parlamento Europeo y del Consejo ya contiene disposiciones que establecen un procedimiento para resolver los dictámenes científicos discrepantes. Estos procedimientos de resolución deben reforzarse, en el sentido de que la Autoridad Europea de Seguridad Alimentaria y el otro organismo disidente </w:t>
            </w:r>
            <w:r w:rsidRPr="00AC4ED5">
              <w:rPr>
                <w:lang w:val="es-ES_tradnl"/>
              </w:rPr>
              <w:lastRenderedPageBreak/>
              <w:t>deben estar obligados a hacer todo lo posible por resolver las discrepancias en cuestiones científicas generales</w:t>
            </w:r>
            <w:r w:rsidRPr="00AC4ED5">
              <w:rPr>
                <w:b/>
                <w:i/>
                <w:lang w:val="es-ES_tradnl"/>
              </w:rPr>
              <w:t>. Deben justificarse debidamente las diferencias en las metodologías de evaluación que den lugar a dictámenes discrepantes, en particular en lo que se refiere a la protección de los grupos vulnerables. En tales casos, debe darse prioridad al dictamen más protector, a fin de amparar a los grupos vulnerables.</w:t>
            </w:r>
            <w:r w:rsidRPr="00AC4ED5">
              <w:rPr>
                <w:lang w:val="es-ES_tradnl"/>
              </w:rPr>
              <w:t xml:space="preserve"> Solo cuando </w:t>
            </w:r>
            <w:r w:rsidRPr="00AC4ED5">
              <w:rPr>
                <w:b/>
                <w:i/>
                <w:lang w:val="es-ES_tradnl"/>
              </w:rPr>
              <w:t>la Autoridad Europea de Seguridad Al</w:t>
            </w:r>
            <w:bookmarkStart w:id="7" w:name="_GoBack"/>
            <w:bookmarkEnd w:id="7"/>
            <w:r w:rsidRPr="00AC4ED5">
              <w:rPr>
                <w:b/>
                <w:i/>
                <w:lang w:val="es-ES_tradnl"/>
              </w:rPr>
              <w:t>imentaria y el otro organismo disidente</w:t>
            </w:r>
            <w:r w:rsidRPr="00AC4ED5">
              <w:rPr>
                <w:lang w:val="es-ES_tradnl"/>
              </w:rPr>
              <w:t xml:space="preserve"> no sean capaces de </w:t>
            </w:r>
            <w:r w:rsidRPr="00AC4ED5">
              <w:rPr>
                <w:b/>
                <w:i/>
                <w:lang w:val="es-ES_tradnl"/>
              </w:rPr>
              <w:t>resolver las discrepancias</w:t>
            </w:r>
            <w:r w:rsidRPr="00AC4ED5">
              <w:rPr>
                <w:lang w:val="es-ES_tradnl"/>
              </w:rPr>
              <w:t xml:space="preserve"> deben recurrir a los gestores de riesgos.</w:t>
            </w:r>
          </w:p>
        </w:tc>
      </w:tr>
    </w:tbl>
    <w:p w:rsidR="006A2960" w:rsidRPr="00AC4ED5" w:rsidRDefault="006A2960" w:rsidP="006A2960"/>
    <w:p w:rsidR="006A2960" w:rsidRPr="00AC4ED5" w:rsidRDefault="006A2960" w:rsidP="006A2960">
      <w:pPr>
        <w:pStyle w:val="AmNumberTabs"/>
      </w:pPr>
      <w:r w:rsidRPr="00AC4ED5">
        <w:t>Enmienda</w:t>
      </w:r>
      <w:r w:rsidRPr="00AC4ED5">
        <w:tab/>
      </w:r>
      <w:r w:rsidRPr="00AC4ED5">
        <w:tab/>
        <w:t>2</w:t>
      </w:r>
    </w:p>
    <w:p w:rsidR="006A2960" w:rsidRPr="00AC4ED5" w:rsidRDefault="006A2960" w:rsidP="006A2960"/>
    <w:p w:rsidR="006A2960" w:rsidRPr="00AC4ED5" w:rsidRDefault="006A2960" w:rsidP="006A2960">
      <w:pPr>
        <w:pStyle w:val="NormalBold"/>
        <w:keepNext/>
      </w:pPr>
      <w:r w:rsidRPr="00AC4ED5">
        <w:t>Propuesta de Reglamento</w:t>
      </w:r>
    </w:p>
    <w:p w:rsidR="006A2960" w:rsidRPr="00AC4ED5" w:rsidRDefault="006A2960" w:rsidP="006A2960">
      <w:pPr>
        <w:pStyle w:val="NormalBold"/>
      </w:pPr>
      <w:r w:rsidRPr="00AC4ED5">
        <w:t>Considerando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960" w:rsidRPr="00AC4ED5" w:rsidTr="00224BC5">
        <w:trPr>
          <w:jc w:val="center"/>
        </w:trPr>
        <w:tc>
          <w:tcPr>
            <w:tcW w:w="9752" w:type="dxa"/>
            <w:gridSpan w:val="2"/>
          </w:tcPr>
          <w:p w:rsidR="006A2960" w:rsidRPr="00AC4ED5" w:rsidRDefault="006A2960" w:rsidP="00224BC5">
            <w:pPr>
              <w:keepNext/>
            </w:pPr>
          </w:p>
        </w:tc>
      </w:tr>
      <w:tr w:rsidR="006A2960" w:rsidRPr="00AC4ED5" w:rsidTr="00224BC5">
        <w:trPr>
          <w:jc w:val="center"/>
        </w:trPr>
        <w:tc>
          <w:tcPr>
            <w:tcW w:w="4876" w:type="dxa"/>
            <w:hideMark/>
          </w:tcPr>
          <w:p w:rsidR="006A2960" w:rsidRPr="00AC4ED5" w:rsidRDefault="006A2960" w:rsidP="00224BC5">
            <w:pPr>
              <w:pStyle w:val="ColumnHeading"/>
              <w:keepNext/>
              <w:rPr>
                <w:lang w:val="es-ES_tradnl"/>
              </w:rPr>
            </w:pPr>
            <w:r w:rsidRPr="00AC4ED5">
              <w:rPr>
                <w:lang w:val="es-ES_tradnl"/>
              </w:rPr>
              <w:t>Texto de la Comisión</w:t>
            </w:r>
          </w:p>
        </w:tc>
        <w:tc>
          <w:tcPr>
            <w:tcW w:w="4876" w:type="dxa"/>
            <w:hideMark/>
          </w:tcPr>
          <w:p w:rsidR="006A2960" w:rsidRPr="00AC4ED5" w:rsidRDefault="006A2960" w:rsidP="00224BC5">
            <w:pPr>
              <w:pStyle w:val="ColumnHeading"/>
              <w:keepNext/>
              <w:rPr>
                <w:lang w:val="es-ES_tradnl"/>
              </w:rPr>
            </w:pPr>
            <w:r w:rsidRPr="00AC4ED5">
              <w:rPr>
                <w:lang w:val="es-ES_tradnl"/>
              </w:rPr>
              <w:t>Enmienda</w:t>
            </w:r>
          </w:p>
        </w:tc>
      </w:tr>
      <w:tr w:rsidR="006A2960" w:rsidRPr="00AC4ED5" w:rsidTr="00224BC5">
        <w:trPr>
          <w:jc w:val="center"/>
        </w:trPr>
        <w:tc>
          <w:tcPr>
            <w:tcW w:w="4876" w:type="dxa"/>
            <w:hideMark/>
          </w:tcPr>
          <w:p w:rsidR="006A2960" w:rsidRPr="00AC4ED5" w:rsidRDefault="006A2960" w:rsidP="00224BC5">
            <w:pPr>
              <w:pStyle w:val="Normal6"/>
              <w:rPr>
                <w:lang w:val="es-ES_tradnl"/>
              </w:rPr>
            </w:pPr>
            <w:r w:rsidRPr="00AC4ED5">
              <w:rPr>
                <w:lang w:val="es-ES_tradnl"/>
              </w:rPr>
              <w:t>(9)</w:t>
            </w:r>
            <w:r w:rsidRPr="00AC4ED5">
              <w:rPr>
                <w:lang w:val="es-ES_tradnl"/>
              </w:rPr>
              <w:tab/>
              <w:t xml:space="preserve">En el caso más específico de discrepancia científica relativa a la detección de peligros de las sustancias químicas, debe establecerse un nuevo procedimiento que permita resolver la discrepancia. Este procedimiento debe permitir a la Comisión solicitar a la Agencia Europea de Sustancias y Mezclas Químicas, como agencia de la Unión mejor dotada de conocimientos especializados y capacidad en materia de evaluación de los peligros, así como de una larga experiencia con el proceso armonizado de clasificación y etiquetado, que elabore una propuesta de clasificación y etiquetado armonizados, de conformidad con el Reglamento (CE) n.º 1272/2008 del Parlamento Europeo y del Consejo, que se aproxime al enfoque de una evaluación por sustancia en lo que respecta a la uniformidad de las evaluaciones de los peligros de las sustancias químicas en la Unión. Esta posibilidad debe reflejarse en la disposición pertinente que contempla la resolución de dictámenes científicos </w:t>
            </w:r>
            <w:r w:rsidRPr="00AC4ED5">
              <w:rPr>
                <w:lang w:val="es-ES_tradnl"/>
              </w:rPr>
              <w:lastRenderedPageBreak/>
              <w:t>discrepantes establecida en el Reglamento (CE) n.º 178/2002.</w:t>
            </w:r>
          </w:p>
        </w:tc>
        <w:tc>
          <w:tcPr>
            <w:tcW w:w="4876" w:type="dxa"/>
            <w:hideMark/>
          </w:tcPr>
          <w:p w:rsidR="006A2960" w:rsidRPr="00AC4ED5" w:rsidRDefault="006A2960" w:rsidP="00224BC5">
            <w:pPr>
              <w:pStyle w:val="Normal6"/>
              <w:rPr>
                <w:szCs w:val="24"/>
                <w:lang w:val="es-ES_tradnl"/>
              </w:rPr>
            </w:pPr>
            <w:r w:rsidRPr="00AC4ED5">
              <w:rPr>
                <w:lang w:val="es-ES_tradnl"/>
              </w:rPr>
              <w:lastRenderedPageBreak/>
              <w:t>(9)</w:t>
            </w:r>
            <w:r w:rsidRPr="00AC4ED5">
              <w:rPr>
                <w:lang w:val="es-ES_tradnl"/>
              </w:rPr>
              <w:tab/>
              <w:t>En el caso más específico de discrepancia científica relativa a la detección de peligros de las sustancias químicas, debe establecerse un nuevo procedimiento que permita resolver la discrepancia. Este procedimiento debe permitir a la Comisión solicitar a la Agencia Europea de Sustancias y Mezclas Químicas, como agencia de la Unión mejor dotada de conocimientos especializados y capacidad en materia de evaluación de los peligros, así como de una larga experiencia con el proceso armonizado de clasificación y etiquetado, que elabore una propuesta de clasificación y etiquetado armonizados, de conformidad con el Reglamento (CE) n.º 1272/2008 del Parlamento Europeo y del Consejo, que se aproxime al enfoque de una evaluación por sustancia en lo que respecta a la uniformidad de las evaluaciones de los peligros de las sustancias químicas en la Unión</w:t>
            </w:r>
            <w:r w:rsidRPr="00AC4ED5">
              <w:rPr>
                <w:b/>
                <w:i/>
                <w:lang w:val="es-ES_tradnl"/>
              </w:rPr>
              <w:t>, mejorando la protección de la salud y del medio ambiente</w:t>
            </w:r>
            <w:r w:rsidRPr="00AC4ED5">
              <w:rPr>
                <w:lang w:val="es-ES_tradnl"/>
              </w:rPr>
              <w:t xml:space="preserve">. Esta posibilidad debe reflejarse en la disposición pertinente que </w:t>
            </w:r>
            <w:r w:rsidRPr="00AC4ED5">
              <w:rPr>
                <w:lang w:val="es-ES_tradnl"/>
              </w:rPr>
              <w:lastRenderedPageBreak/>
              <w:t>contempla la resolución de dictámenes científicos discrepantes establecida en el Reglamento (CE) n.º 178/2002.</w:t>
            </w:r>
          </w:p>
        </w:tc>
      </w:tr>
    </w:tbl>
    <w:p w:rsidR="006A2960" w:rsidRPr="00AC4ED5" w:rsidRDefault="006A2960" w:rsidP="006A2960"/>
    <w:p w:rsidR="006A2960" w:rsidRPr="00AC4ED5" w:rsidRDefault="006A2960" w:rsidP="006A2960">
      <w:pPr>
        <w:pStyle w:val="AmNumberTabs"/>
      </w:pPr>
      <w:r w:rsidRPr="00AC4ED5">
        <w:t>Enmienda</w:t>
      </w:r>
      <w:r w:rsidRPr="00AC4ED5">
        <w:tab/>
      </w:r>
      <w:r w:rsidRPr="00AC4ED5">
        <w:tab/>
        <w:t>3</w:t>
      </w:r>
    </w:p>
    <w:p w:rsidR="006A2960" w:rsidRPr="00AC4ED5" w:rsidRDefault="006A2960" w:rsidP="006A2960"/>
    <w:p w:rsidR="006A2960" w:rsidRPr="00AC4ED5" w:rsidRDefault="006A2960" w:rsidP="006A2960">
      <w:pPr>
        <w:pStyle w:val="NormalBold"/>
        <w:keepNext/>
      </w:pPr>
      <w:r w:rsidRPr="00AC4ED5">
        <w:t>Propuesta de Reglamento</w:t>
      </w:r>
    </w:p>
    <w:p w:rsidR="006A2960" w:rsidRPr="00AC4ED5" w:rsidRDefault="006A2960" w:rsidP="006A2960">
      <w:pPr>
        <w:pStyle w:val="NormalBold"/>
      </w:pPr>
      <w:r w:rsidRPr="00AC4ED5">
        <w:t>Considerando 14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960" w:rsidRPr="00AC4ED5" w:rsidTr="00224BC5">
        <w:trPr>
          <w:jc w:val="center"/>
        </w:trPr>
        <w:tc>
          <w:tcPr>
            <w:tcW w:w="9752" w:type="dxa"/>
            <w:gridSpan w:val="2"/>
          </w:tcPr>
          <w:p w:rsidR="006A2960" w:rsidRPr="00AC4ED5" w:rsidRDefault="006A2960" w:rsidP="00224BC5">
            <w:pPr>
              <w:keepNext/>
            </w:pPr>
          </w:p>
        </w:tc>
      </w:tr>
      <w:tr w:rsidR="006A2960" w:rsidRPr="00AC4ED5" w:rsidTr="00224BC5">
        <w:trPr>
          <w:jc w:val="center"/>
        </w:trPr>
        <w:tc>
          <w:tcPr>
            <w:tcW w:w="4876" w:type="dxa"/>
            <w:hideMark/>
          </w:tcPr>
          <w:p w:rsidR="006A2960" w:rsidRPr="00AC4ED5" w:rsidRDefault="006A2960" w:rsidP="00224BC5">
            <w:pPr>
              <w:pStyle w:val="ColumnHeading"/>
              <w:keepNext/>
              <w:rPr>
                <w:lang w:val="es-ES_tradnl"/>
              </w:rPr>
            </w:pPr>
            <w:r w:rsidRPr="00AC4ED5">
              <w:rPr>
                <w:lang w:val="es-ES_tradnl"/>
              </w:rPr>
              <w:t>Texto de la Comisión</w:t>
            </w:r>
          </w:p>
        </w:tc>
        <w:tc>
          <w:tcPr>
            <w:tcW w:w="4876" w:type="dxa"/>
            <w:hideMark/>
          </w:tcPr>
          <w:p w:rsidR="006A2960" w:rsidRPr="00AC4ED5" w:rsidRDefault="006A2960" w:rsidP="00224BC5">
            <w:pPr>
              <w:pStyle w:val="ColumnHeading"/>
              <w:keepNext/>
              <w:rPr>
                <w:lang w:val="es-ES_tradnl"/>
              </w:rPr>
            </w:pPr>
            <w:r w:rsidRPr="00AC4ED5">
              <w:rPr>
                <w:lang w:val="es-ES_tradnl"/>
              </w:rPr>
              <w:t>Enmienda</w:t>
            </w:r>
          </w:p>
        </w:tc>
      </w:tr>
      <w:tr w:rsidR="006A2960" w:rsidRPr="00AC4ED5" w:rsidTr="00224BC5">
        <w:trPr>
          <w:jc w:val="center"/>
        </w:trPr>
        <w:tc>
          <w:tcPr>
            <w:tcW w:w="4876" w:type="dxa"/>
          </w:tcPr>
          <w:p w:rsidR="006A2960" w:rsidRPr="00AC4ED5" w:rsidRDefault="006A2960" w:rsidP="00224BC5">
            <w:pPr>
              <w:pStyle w:val="Normal6"/>
              <w:rPr>
                <w:lang w:val="es-ES_tradnl"/>
              </w:rPr>
            </w:pPr>
          </w:p>
        </w:tc>
        <w:tc>
          <w:tcPr>
            <w:tcW w:w="4876" w:type="dxa"/>
            <w:hideMark/>
          </w:tcPr>
          <w:p w:rsidR="006A2960" w:rsidRPr="00AC4ED5" w:rsidRDefault="006A2960" w:rsidP="00224BC5">
            <w:pPr>
              <w:pStyle w:val="Normal6"/>
              <w:rPr>
                <w:szCs w:val="24"/>
                <w:lang w:val="es-ES_tradnl"/>
              </w:rPr>
            </w:pPr>
            <w:r w:rsidRPr="00AC4ED5">
              <w:rPr>
                <w:b/>
                <w:i/>
                <w:lang w:val="es-ES_tradnl"/>
              </w:rPr>
              <w:t>(14 bis)</w:t>
            </w:r>
            <w:r w:rsidRPr="00AC4ED5">
              <w:rPr>
                <w:b/>
                <w:i/>
                <w:lang w:val="es-ES_tradnl"/>
              </w:rPr>
              <w:tab/>
              <w:t>El presente Reglamento amplía las tareas, la carga de trabajo y el mandato de los comités científicos de la Agencia Europea de Sustancias y Mezclas Químicas. Con el fin de proporcionar conocimientos especializados adecuados, apoyo y evaluaciones científicas exhaustivas, deben garantizarse a los comités científicos recursos adecuados y estables, así como capacidad y gobernanza. A este respecto, la Comisión Europea debe hacer un seguimiento periódico de las necesidades de la Agencia Europea de Sustancias y Mezclas Químicas derivadas del presente Reglamento y proporcionar a la Agencia recursos suficientes y estables.</w:t>
            </w:r>
          </w:p>
        </w:tc>
      </w:tr>
    </w:tbl>
    <w:p w:rsidR="006A2960" w:rsidRPr="00AC4ED5" w:rsidRDefault="006A2960" w:rsidP="006A2960"/>
    <w:p w:rsidR="006A2960" w:rsidRPr="00AC4ED5" w:rsidRDefault="006A2960" w:rsidP="006A2960">
      <w:pPr>
        <w:pStyle w:val="AmNumberTabs"/>
      </w:pPr>
      <w:r w:rsidRPr="00AC4ED5">
        <w:t>Enmienda</w:t>
      </w:r>
      <w:r w:rsidRPr="00AC4ED5">
        <w:tab/>
      </w:r>
      <w:r w:rsidRPr="00AC4ED5">
        <w:tab/>
        <w:t>4</w:t>
      </w:r>
    </w:p>
    <w:p w:rsidR="006A2960" w:rsidRPr="00AC4ED5" w:rsidRDefault="006A2960" w:rsidP="006A2960"/>
    <w:p w:rsidR="006A2960" w:rsidRPr="00AC4ED5" w:rsidRDefault="006A2960" w:rsidP="006A2960">
      <w:pPr>
        <w:pStyle w:val="NormalBold"/>
        <w:keepNext/>
      </w:pPr>
      <w:r w:rsidRPr="00AC4ED5">
        <w:t>Propuesta de Reglamento</w:t>
      </w:r>
    </w:p>
    <w:p w:rsidR="006A2960" w:rsidRPr="00AC4ED5" w:rsidRDefault="006A2960" w:rsidP="006A2960">
      <w:pPr>
        <w:pStyle w:val="NormalBold"/>
      </w:pPr>
      <w:r w:rsidRPr="00AC4ED5">
        <w:t>Artículo 1 – párrafo 1 – punto 2</w:t>
      </w:r>
    </w:p>
    <w:p w:rsidR="006A2960" w:rsidRPr="00AC4ED5" w:rsidRDefault="006A2960" w:rsidP="006A2960">
      <w:pPr>
        <w:keepNext/>
      </w:pPr>
      <w:r w:rsidRPr="00AC4ED5">
        <w:t>Reglamento (CE) n.º 178/2002</w:t>
      </w:r>
    </w:p>
    <w:p w:rsidR="006A2960" w:rsidRPr="00AC4ED5" w:rsidRDefault="006A2960" w:rsidP="006A2960">
      <w:r w:rsidRPr="00AC4ED5">
        <w:t>Artículo 30 – apartado 2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960" w:rsidRPr="00AC4ED5" w:rsidTr="00224BC5">
        <w:trPr>
          <w:jc w:val="center"/>
        </w:trPr>
        <w:tc>
          <w:tcPr>
            <w:tcW w:w="9752" w:type="dxa"/>
            <w:gridSpan w:val="2"/>
          </w:tcPr>
          <w:p w:rsidR="006A2960" w:rsidRPr="00AC4ED5" w:rsidRDefault="006A2960" w:rsidP="00224BC5">
            <w:pPr>
              <w:keepNext/>
            </w:pPr>
          </w:p>
        </w:tc>
      </w:tr>
      <w:tr w:rsidR="006A2960" w:rsidRPr="00AC4ED5" w:rsidTr="00224BC5">
        <w:trPr>
          <w:jc w:val="center"/>
        </w:trPr>
        <w:tc>
          <w:tcPr>
            <w:tcW w:w="4876" w:type="dxa"/>
            <w:hideMark/>
          </w:tcPr>
          <w:p w:rsidR="006A2960" w:rsidRPr="00AC4ED5" w:rsidRDefault="006A2960" w:rsidP="00224BC5">
            <w:pPr>
              <w:pStyle w:val="ColumnHeading"/>
              <w:keepNext/>
              <w:rPr>
                <w:lang w:val="es-ES_tradnl"/>
              </w:rPr>
            </w:pPr>
            <w:r w:rsidRPr="00AC4ED5">
              <w:rPr>
                <w:lang w:val="es-ES_tradnl"/>
              </w:rPr>
              <w:t>Texto de la Comisión</w:t>
            </w:r>
          </w:p>
        </w:tc>
        <w:tc>
          <w:tcPr>
            <w:tcW w:w="4876" w:type="dxa"/>
            <w:hideMark/>
          </w:tcPr>
          <w:p w:rsidR="006A2960" w:rsidRPr="00AC4ED5" w:rsidRDefault="006A2960" w:rsidP="00224BC5">
            <w:pPr>
              <w:pStyle w:val="ColumnHeading"/>
              <w:keepNext/>
              <w:rPr>
                <w:lang w:val="es-ES_tradnl"/>
              </w:rPr>
            </w:pPr>
            <w:r w:rsidRPr="00AC4ED5">
              <w:rPr>
                <w:lang w:val="es-ES_tradnl"/>
              </w:rPr>
              <w:t>Enmienda</w:t>
            </w:r>
          </w:p>
        </w:tc>
      </w:tr>
      <w:tr w:rsidR="006A2960" w:rsidRPr="00AC4ED5" w:rsidTr="00224BC5">
        <w:trPr>
          <w:jc w:val="center"/>
        </w:trPr>
        <w:tc>
          <w:tcPr>
            <w:tcW w:w="4876" w:type="dxa"/>
            <w:hideMark/>
          </w:tcPr>
          <w:p w:rsidR="006A2960" w:rsidRPr="00AC4ED5" w:rsidRDefault="006A2960" w:rsidP="00224BC5">
            <w:pPr>
              <w:pStyle w:val="Normal6"/>
              <w:rPr>
                <w:lang w:val="es-ES_tradnl"/>
              </w:rPr>
            </w:pPr>
            <w:r w:rsidRPr="00AC4ED5">
              <w:rPr>
                <w:lang w:val="es-ES_tradnl"/>
              </w:rPr>
              <w:t>Cuando la Autoridad descubra una posible fuente de discrepancia, se pondrá en contacto con el organismo correspondiente para asegurarse de que comparten toda la información científica o técnica pertinente y determinar las cuestiones científicas o técnicas que pueden ser objeto de controversia.</w:t>
            </w:r>
          </w:p>
        </w:tc>
        <w:tc>
          <w:tcPr>
            <w:tcW w:w="4876" w:type="dxa"/>
            <w:hideMark/>
          </w:tcPr>
          <w:p w:rsidR="006A2960" w:rsidRPr="00AC4ED5" w:rsidRDefault="006A2960" w:rsidP="00224BC5">
            <w:pPr>
              <w:pStyle w:val="Normal6"/>
              <w:rPr>
                <w:szCs w:val="24"/>
                <w:lang w:val="es-ES_tradnl"/>
              </w:rPr>
            </w:pPr>
            <w:r w:rsidRPr="00AC4ED5">
              <w:rPr>
                <w:lang w:val="es-ES_tradnl"/>
              </w:rPr>
              <w:t xml:space="preserve">Cuando la Autoridad descubra una posible fuente de discrepancia, se pondrá en contacto con el organismo correspondiente para asegurarse de que comparten toda la información científica o técnica pertinente y determinar las cuestiones científicas o técnicas que pueden ser objeto de controversia. </w:t>
            </w:r>
            <w:r w:rsidRPr="00AC4ED5">
              <w:rPr>
                <w:b/>
                <w:i/>
                <w:lang w:val="es-ES_tradnl"/>
              </w:rPr>
              <w:t xml:space="preserve">Las diferencias en las metodologías de evaluación que den lugar a dictámenes discrepantes estarán </w:t>
            </w:r>
            <w:r w:rsidRPr="00AC4ED5">
              <w:rPr>
                <w:b/>
                <w:i/>
                <w:lang w:val="es-ES_tradnl"/>
              </w:rPr>
              <w:lastRenderedPageBreak/>
              <w:t>debidamente justificadas, especialmente en lo que se refiere a la protección de los grupos vulnerables.</w:t>
            </w:r>
          </w:p>
        </w:tc>
      </w:tr>
    </w:tbl>
    <w:p w:rsidR="006A2960" w:rsidRPr="00AC4ED5" w:rsidRDefault="006A2960" w:rsidP="006A2960"/>
    <w:p w:rsidR="006A2960" w:rsidRPr="00AC4ED5" w:rsidRDefault="006A2960" w:rsidP="006A2960">
      <w:pPr>
        <w:pStyle w:val="AmNumberTabs"/>
      </w:pPr>
      <w:r w:rsidRPr="00AC4ED5">
        <w:t>Enmienda</w:t>
      </w:r>
      <w:r w:rsidRPr="00AC4ED5">
        <w:tab/>
      </w:r>
      <w:r w:rsidRPr="00AC4ED5">
        <w:tab/>
        <w:t>5</w:t>
      </w:r>
    </w:p>
    <w:p w:rsidR="006A2960" w:rsidRPr="00AC4ED5" w:rsidRDefault="006A2960" w:rsidP="006A2960"/>
    <w:p w:rsidR="006A2960" w:rsidRPr="00AC4ED5" w:rsidRDefault="006A2960" w:rsidP="006A2960">
      <w:pPr>
        <w:pStyle w:val="NormalBold"/>
        <w:keepNext/>
      </w:pPr>
      <w:r w:rsidRPr="00AC4ED5">
        <w:t>Propuesta de Reglamento</w:t>
      </w:r>
    </w:p>
    <w:p w:rsidR="006A2960" w:rsidRPr="00AC4ED5" w:rsidRDefault="006A2960" w:rsidP="006A2960">
      <w:pPr>
        <w:pStyle w:val="NormalBold"/>
      </w:pPr>
      <w:r w:rsidRPr="00AC4ED5">
        <w:t>Artículo 1 – párrafo 1 – punto 2</w:t>
      </w:r>
    </w:p>
    <w:p w:rsidR="006A2960" w:rsidRPr="00AC4ED5" w:rsidRDefault="006A2960" w:rsidP="006A2960">
      <w:pPr>
        <w:keepNext/>
      </w:pPr>
      <w:r w:rsidRPr="00AC4ED5">
        <w:t>Reglamento (CE) n.º 178/2002</w:t>
      </w:r>
    </w:p>
    <w:p w:rsidR="006A2960" w:rsidRPr="00AC4ED5" w:rsidRDefault="006A2960" w:rsidP="006A2960">
      <w:r w:rsidRPr="00AC4ED5">
        <w:t>Artículo 30 – apartado 2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960" w:rsidRPr="00AC4ED5" w:rsidTr="00224BC5">
        <w:trPr>
          <w:jc w:val="center"/>
        </w:trPr>
        <w:tc>
          <w:tcPr>
            <w:tcW w:w="9752" w:type="dxa"/>
            <w:gridSpan w:val="2"/>
          </w:tcPr>
          <w:p w:rsidR="006A2960" w:rsidRPr="00AC4ED5" w:rsidRDefault="006A2960" w:rsidP="00224BC5">
            <w:pPr>
              <w:keepNext/>
            </w:pPr>
          </w:p>
        </w:tc>
      </w:tr>
      <w:tr w:rsidR="006A2960" w:rsidRPr="00AC4ED5" w:rsidTr="00224BC5">
        <w:trPr>
          <w:jc w:val="center"/>
        </w:trPr>
        <w:tc>
          <w:tcPr>
            <w:tcW w:w="4876" w:type="dxa"/>
            <w:hideMark/>
          </w:tcPr>
          <w:p w:rsidR="006A2960" w:rsidRPr="00AC4ED5" w:rsidRDefault="006A2960" w:rsidP="00224BC5">
            <w:pPr>
              <w:pStyle w:val="ColumnHeading"/>
              <w:keepNext/>
              <w:rPr>
                <w:lang w:val="es-ES_tradnl"/>
              </w:rPr>
            </w:pPr>
            <w:r w:rsidRPr="00AC4ED5">
              <w:rPr>
                <w:lang w:val="es-ES_tradnl"/>
              </w:rPr>
              <w:t>Texto de la Comisión</w:t>
            </w:r>
          </w:p>
        </w:tc>
        <w:tc>
          <w:tcPr>
            <w:tcW w:w="4876" w:type="dxa"/>
            <w:hideMark/>
          </w:tcPr>
          <w:p w:rsidR="006A2960" w:rsidRPr="00AC4ED5" w:rsidRDefault="006A2960" w:rsidP="00224BC5">
            <w:pPr>
              <w:pStyle w:val="ColumnHeading"/>
              <w:keepNext/>
              <w:rPr>
                <w:lang w:val="es-ES_tradnl"/>
              </w:rPr>
            </w:pPr>
            <w:r w:rsidRPr="00AC4ED5">
              <w:rPr>
                <w:lang w:val="es-ES_tradnl"/>
              </w:rPr>
              <w:t>Enmienda</w:t>
            </w:r>
          </w:p>
        </w:tc>
      </w:tr>
      <w:tr w:rsidR="006A2960" w:rsidRPr="00AC4ED5" w:rsidTr="00224BC5">
        <w:trPr>
          <w:jc w:val="center"/>
        </w:trPr>
        <w:tc>
          <w:tcPr>
            <w:tcW w:w="4876" w:type="dxa"/>
            <w:hideMark/>
          </w:tcPr>
          <w:p w:rsidR="006A2960" w:rsidRPr="00AC4ED5" w:rsidRDefault="006A2960" w:rsidP="00224BC5">
            <w:pPr>
              <w:pStyle w:val="Normal6"/>
              <w:rPr>
                <w:lang w:val="es-ES_tradnl"/>
              </w:rPr>
            </w:pPr>
            <w:r w:rsidRPr="00AC4ED5">
              <w:rPr>
                <w:lang w:val="es-ES_tradnl"/>
              </w:rPr>
              <w:t>La Autoridad y el organismo de que se trate cooperarán para resolver la discrepancia. Si la Autoridad y el organismo de que se trate no son capaces de resolver la discrepancia, elaborarán un informe conjunto. El informe expondrá claramente las cuestiones científicas controvertidas, determinará las incertidumbres pertinentes en los datos y se hará público.</w:t>
            </w:r>
          </w:p>
        </w:tc>
        <w:tc>
          <w:tcPr>
            <w:tcW w:w="4876" w:type="dxa"/>
            <w:hideMark/>
          </w:tcPr>
          <w:p w:rsidR="006A2960" w:rsidRPr="00AC4ED5" w:rsidRDefault="006A2960" w:rsidP="00224BC5">
            <w:pPr>
              <w:pStyle w:val="Normal6"/>
              <w:rPr>
                <w:szCs w:val="24"/>
                <w:lang w:val="es-ES_tradnl"/>
              </w:rPr>
            </w:pPr>
            <w:r w:rsidRPr="00AC4ED5">
              <w:rPr>
                <w:lang w:val="es-ES_tradnl"/>
              </w:rPr>
              <w:t>La Autoridad y el organismo de que se trate cooperarán para resolver la discrepancia</w:t>
            </w:r>
            <w:r w:rsidRPr="00AC4ED5">
              <w:rPr>
                <w:b/>
                <w:i/>
                <w:lang w:val="es-ES_tradnl"/>
              </w:rPr>
              <w:t>, con el fin de garantizar el máximo nivel de protección de la salud y del medio ambiente</w:t>
            </w:r>
            <w:r w:rsidRPr="00AC4ED5">
              <w:rPr>
                <w:lang w:val="es-ES_tradnl"/>
              </w:rPr>
              <w:t>.</w:t>
            </w:r>
            <w:r w:rsidRPr="00AC4ED5">
              <w:rPr>
                <w:b/>
                <w:i/>
                <w:lang w:val="es-ES_tradnl"/>
              </w:rPr>
              <w:t xml:space="preserve"> Se dará prioridad al dictamen que ofrezca el máximo nivel de protección con el fin de amparar a los grupos más vulnerables.</w:t>
            </w:r>
            <w:r w:rsidRPr="00AC4ED5">
              <w:rPr>
                <w:lang w:val="es-ES_tradnl"/>
              </w:rPr>
              <w:t xml:space="preserve"> Si la Autoridad y el organismo de que se trate no son capaces de resolver la discrepancia, elaborarán un informe conjunto. El informe expondrá claramente las cuestiones científicas controvertidas, determinará las incertidumbres pertinentes en los datos </w:t>
            </w:r>
            <w:r w:rsidRPr="00AC4ED5">
              <w:rPr>
                <w:b/>
                <w:i/>
                <w:lang w:val="es-ES_tradnl"/>
              </w:rPr>
              <w:t>y las posibles causas para la existencia de discrepancias entre los dictámenes, en particular por lo que respecta a diferencias metodológicas,</w:t>
            </w:r>
            <w:r w:rsidRPr="00AC4ED5">
              <w:rPr>
                <w:lang w:val="es-ES_tradnl"/>
              </w:rPr>
              <w:t xml:space="preserve"> y se hará público.</w:t>
            </w:r>
          </w:p>
        </w:tc>
      </w:tr>
    </w:tbl>
    <w:p w:rsidR="006A2960" w:rsidRPr="00AC4ED5" w:rsidRDefault="006A2960" w:rsidP="006A2960"/>
    <w:p w:rsidR="006A2960" w:rsidRPr="00AC4ED5" w:rsidRDefault="006A2960" w:rsidP="006A2960">
      <w:pPr>
        <w:pStyle w:val="AmNumberTabs"/>
      </w:pPr>
      <w:r w:rsidRPr="00AC4ED5">
        <w:t>Enmienda</w:t>
      </w:r>
      <w:r w:rsidRPr="00AC4ED5">
        <w:tab/>
      </w:r>
      <w:r w:rsidRPr="00AC4ED5">
        <w:tab/>
        <w:t>6</w:t>
      </w:r>
    </w:p>
    <w:p w:rsidR="006A2960" w:rsidRPr="00AC4ED5" w:rsidRDefault="006A2960" w:rsidP="006A2960"/>
    <w:p w:rsidR="006A2960" w:rsidRPr="00AC4ED5" w:rsidRDefault="006A2960" w:rsidP="006A2960">
      <w:pPr>
        <w:pStyle w:val="NormalBold"/>
        <w:keepNext/>
      </w:pPr>
      <w:r w:rsidRPr="00AC4ED5">
        <w:t>Propuesta de Reglamento</w:t>
      </w:r>
    </w:p>
    <w:p w:rsidR="006A2960" w:rsidRPr="00AC4ED5" w:rsidRDefault="006A2960" w:rsidP="006A2960">
      <w:pPr>
        <w:pStyle w:val="NormalBold"/>
      </w:pPr>
      <w:r w:rsidRPr="00AC4ED5">
        <w:t>Artículo 1 – párrafo 1 – punto 2</w:t>
      </w:r>
    </w:p>
    <w:p w:rsidR="006A2960" w:rsidRPr="00AC4ED5" w:rsidRDefault="006A2960" w:rsidP="006A2960">
      <w:pPr>
        <w:keepNext/>
      </w:pPr>
      <w:r w:rsidRPr="00AC4ED5">
        <w:t>Reglamento (CE) n.º 178/2002</w:t>
      </w:r>
    </w:p>
    <w:p w:rsidR="006A2960" w:rsidRPr="00AC4ED5" w:rsidRDefault="006A2960" w:rsidP="006A2960">
      <w:r w:rsidRPr="00AC4ED5">
        <w:t>Artículo 30 – apartado 3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960" w:rsidRPr="00AC4ED5" w:rsidTr="00224BC5">
        <w:trPr>
          <w:jc w:val="center"/>
        </w:trPr>
        <w:tc>
          <w:tcPr>
            <w:tcW w:w="9752" w:type="dxa"/>
            <w:gridSpan w:val="2"/>
          </w:tcPr>
          <w:p w:rsidR="006A2960" w:rsidRPr="00AC4ED5" w:rsidRDefault="006A2960" w:rsidP="00224BC5">
            <w:pPr>
              <w:keepNext/>
            </w:pPr>
          </w:p>
        </w:tc>
      </w:tr>
      <w:tr w:rsidR="006A2960" w:rsidRPr="00AC4ED5" w:rsidTr="00224BC5">
        <w:trPr>
          <w:jc w:val="center"/>
        </w:trPr>
        <w:tc>
          <w:tcPr>
            <w:tcW w:w="4876" w:type="dxa"/>
            <w:hideMark/>
          </w:tcPr>
          <w:p w:rsidR="006A2960" w:rsidRPr="00AC4ED5" w:rsidRDefault="006A2960" w:rsidP="00224BC5">
            <w:pPr>
              <w:pStyle w:val="ColumnHeading"/>
              <w:keepNext/>
              <w:rPr>
                <w:lang w:val="es-ES_tradnl"/>
              </w:rPr>
            </w:pPr>
            <w:r w:rsidRPr="00AC4ED5">
              <w:rPr>
                <w:lang w:val="es-ES_tradnl"/>
              </w:rPr>
              <w:t>Texto de la Comisión</w:t>
            </w:r>
          </w:p>
        </w:tc>
        <w:tc>
          <w:tcPr>
            <w:tcW w:w="4876" w:type="dxa"/>
            <w:hideMark/>
          </w:tcPr>
          <w:p w:rsidR="006A2960" w:rsidRPr="00AC4ED5" w:rsidRDefault="006A2960" w:rsidP="00224BC5">
            <w:pPr>
              <w:pStyle w:val="ColumnHeading"/>
              <w:keepNext/>
              <w:rPr>
                <w:lang w:val="es-ES_tradnl"/>
              </w:rPr>
            </w:pPr>
            <w:r w:rsidRPr="00AC4ED5">
              <w:rPr>
                <w:lang w:val="es-ES_tradnl"/>
              </w:rPr>
              <w:t>Enmienda</w:t>
            </w:r>
          </w:p>
        </w:tc>
      </w:tr>
      <w:tr w:rsidR="006A2960" w:rsidRPr="00AC4ED5" w:rsidTr="00224BC5">
        <w:trPr>
          <w:jc w:val="center"/>
        </w:trPr>
        <w:tc>
          <w:tcPr>
            <w:tcW w:w="4876" w:type="dxa"/>
          </w:tcPr>
          <w:p w:rsidR="006A2960" w:rsidRPr="00AC4ED5" w:rsidRDefault="006A2960" w:rsidP="00224BC5">
            <w:pPr>
              <w:pStyle w:val="Normal6"/>
              <w:rPr>
                <w:lang w:val="es-ES_tradnl"/>
              </w:rPr>
            </w:pPr>
          </w:p>
        </w:tc>
        <w:tc>
          <w:tcPr>
            <w:tcW w:w="4876" w:type="dxa"/>
            <w:hideMark/>
          </w:tcPr>
          <w:p w:rsidR="006A2960" w:rsidRPr="00AC4ED5" w:rsidRDefault="006A2960" w:rsidP="00224BC5">
            <w:pPr>
              <w:pStyle w:val="Normal6"/>
              <w:rPr>
                <w:szCs w:val="24"/>
                <w:lang w:val="es-ES_tradnl"/>
              </w:rPr>
            </w:pPr>
            <w:r w:rsidRPr="00AC4ED5">
              <w:rPr>
                <w:b/>
                <w:i/>
                <w:lang w:val="es-ES_tradnl"/>
              </w:rPr>
              <w:t>3 bis.</w:t>
            </w:r>
            <w:r w:rsidRPr="00AC4ED5">
              <w:rPr>
                <w:b/>
                <w:i/>
                <w:lang w:val="es-ES_tradnl"/>
              </w:rPr>
              <w:tab/>
              <w:t>Cuando se haya observado una discrepancia sustantiva en cuestiones científicas y el organismo interesado pertenezca a un Estado miembro, la Autoridad y el organismo nacional estarán obligados a cooperar con el fin de resolver la discrepancia o de elaborar un documento conjunto que aclare las cuestiones científicas controvertidas y señale los problemas que plantean los datos. Este documento se hará público.</w:t>
            </w:r>
          </w:p>
        </w:tc>
      </w:tr>
    </w:tbl>
    <w:p w:rsidR="006A2960" w:rsidRPr="00AC4ED5" w:rsidRDefault="006A2960" w:rsidP="006A2960"/>
    <w:p w:rsidR="006A2960" w:rsidRPr="00AC4ED5" w:rsidRDefault="006A2960" w:rsidP="006A2960">
      <w:pPr>
        <w:pStyle w:val="AmNumberTabs"/>
      </w:pPr>
      <w:r w:rsidRPr="00AC4ED5">
        <w:t>Enmienda</w:t>
      </w:r>
      <w:r w:rsidRPr="00AC4ED5">
        <w:tab/>
      </w:r>
      <w:r w:rsidRPr="00AC4ED5">
        <w:tab/>
        <w:t>7</w:t>
      </w:r>
    </w:p>
    <w:p w:rsidR="006A2960" w:rsidRPr="00AC4ED5" w:rsidRDefault="006A2960" w:rsidP="006A2960"/>
    <w:p w:rsidR="006A2960" w:rsidRPr="00AC4ED5" w:rsidRDefault="006A2960" w:rsidP="006A2960">
      <w:pPr>
        <w:pStyle w:val="NormalBold"/>
        <w:keepNext/>
      </w:pPr>
      <w:r w:rsidRPr="00AC4ED5">
        <w:t>Propuesta de Reglamento</w:t>
      </w:r>
    </w:p>
    <w:p w:rsidR="006A2960" w:rsidRPr="00AC4ED5" w:rsidRDefault="006A2960" w:rsidP="006A2960">
      <w:pPr>
        <w:pStyle w:val="NormalBold"/>
      </w:pPr>
      <w:r w:rsidRPr="00AC4ED5">
        <w:t>Artículo 1 – párrafo 1 – punto 2</w:t>
      </w:r>
    </w:p>
    <w:p w:rsidR="006A2960" w:rsidRPr="00AC4ED5" w:rsidRDefault="006A2960" w:rsidP="006A2960">
      <w:pPr>
        <w:keepNext/>
      </w:pPr>
      <w:r w:rsidRPr="00AC4ED5">
        <w:t>Reglamento (CE) n.º 178/2002</w:t>
      </w:r>
    </w:p>
    <w:p w:rsidR="006A2960" w:rsidRPr="00AC4ED5" w:rsidRDefault="006A2960" w:rsidP="006A2960">
      <w:r w:rsidRPr="00AC4ED5">
        <w:t>Artículo 3 – apartado 3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960" w:rsidRPr="00AC4ED5" w:rsidTr="00224BC5">
        <w:trPr>
          <w:jc w:val="center"/>
        </w:trPr>
        <w:tc>
          <w:tcPr>
            <w:tcW w:w="9752" w:type="dxa"/>
            <w:gridSpan w:val="2"/>
          </w:tcPr>
          <w:p w:rsidR="006A2960" w:rsidRPr="00AC4ED5" w:rsidRDefault="006A2960" w:rsidP="00224BC5">
            <w:pPr>
              <w:keepNext/>
            </w:pPr>
          </w:p>
        </w:tc>
      </w:tr>
      <w:tr w:rsidR="006A2960" w:rsidRPr="00AC4ED5" w:rsidTr="00224BC5">
        <w:trPr>
          <w:jc w:val="center"/>
        </w:trPr>
        <w:tc>
          <w:tcPr>
            <w:tcW w:w="4876" w:type="dxa"/>
            <w:hideMark/>
          </w:tcPr>
          <w:p w:rsidR="006A2960" w:rsidRPr="00AC4ED5" w:rsidRDefault="006A2960" w:rsidP="00224BC5">
            <w:pPr>
              <w:pStyle w:val="ColumnHeading"/>
              <w:keepNext/>
              <w:rPr>
                <w:lang w:val="es-ES_tradnl"/>
              </w:rPr>
            </w:pPr>
            <w:r w:rsidRPr="00AC4ED5">
              <w:rPr>
                <w:lang w:val="es-ES_tradnl"/>
              </w:rPr>
              <w:t>Texto de la Comisión</w:t>
            </w:r>
          </w:p>
        </w:tc>
        <w:tc>
          <w:tcPr>
            <w:tcW w:w="4876" w:type="dxa"/>
            <w:hideMark/>
          </w:tcPr>
          <w:p w:rsidR="006A2960" w:rsidRPr="00AC4ED5" w:rsidRDefault="006A2960" w:rsidP="00224BC5">
            <w:pPr>
              <w:pStyle w:val="ColumnHeading"/>
              <w:keepNext/>
              <w:rPr>
                <w:lang w:val="es-ES_tradnl"/>
              </w:rPr>
            </w:pPr>
            <w:r w:rsidRPr="00AC4ED5">
              <w:rPr>
                <w:lang w:val="es-ES_tradnl"/>
              </w:rPr>
              <w:t>Enmienda</w:t>
            </w:r>
          </w:p>
        </w:tc>
      </w:tr>
      <w:tr w:rsidR="006A2960" w:rsidRPr="00AC4ED5" w:rsidTr="00224BC5">
        <w:trPr>
          <w:jc w:val="center"/>
        </w:trPr>
        <w:tc>
          <w:tcPr>
            <w:tcW w:w="4876" w:type="dxa"/>
          </w:tcPr>
          <w:p w:rsidR="006A2960" w:rsidRPr="00AC4ED5" w:rsidRDefault="006A2960" w:rsidP="00224BC5">
            <w:pPr>
              <w:pStyle w:val="Normal6"/>
              <w:rPr>
                <w:lang w:val="es-ES_tradnl"/>
              </w:rPr>
            </w:pPr>
          </w:p>
        </w:tc>
        <w:tc>
          <w:tcPr>
            <w:tcW w:w="4876" w:type="dxa"/>
            <w:hideMark/>
          </w:tcPr>
          <w:p w:rsidR="006A2960" w:rsidRPr="00AC4ED5" w:rsidRDefault="006A2960" w:rsidP="00224BC5">
            <w:pPr>
              <w:pStyle w:val="Normal6"/>
              <w:rPr>
                <w:szCs w:val="24"/>
                <w:lang w:val="es-ES_tradnl"/>
              </w:rPr>
            </w:pPr>
            <w:r w:rsidRPr="00AC4ED5">
              <w:rPr>
                <w:b/>
                <w:i/>
                <w:lang w:val="es-ES_tradnl"/>
              </w:rPr>
              <w:t>3 ter.</w:t>
            </w:r>
            <w:r w:rsidRPr="00AC4ED5">
              <w:rPr>
                <w:b/>
                <w:i/>
                <w:lang w:val="es-ES_tradnl"/>
              </w:rPr>
              <w:tab/>
              <w:t>En los casos en que se observe una discrepancia y la Autoridad solicite información complementaria a otras autoridades de la Unión o de los Estados miembros, se podrá prolongar a las autoridades competentes el plazo de que disponen para aprobar sus correspondientes contribuciones o la contribución conjunta a que se refiere el apartado 2. La Autoridad, previa consulta del organismo de que se trate, establecerá un plazo para la presentación de esta información y hará saber a la Comisión el plazo adicional necesario. La Comisión informará de esta prolongación a las empresas y a los Estados miembros afectados.</w:t>
            </w:r>
          </w:p>
        </w:tc>
      </w:tr>
    </w:tbl>
    <w:p w:rsidR="006A2960" w:rsidRPr="00AC4ED5" w:rsidRDefault="006A2960" w:rsidP="006A2960"/>
    <w:p w:rsidR="006A2960" w:rsidRPr="00AC4ED5" w:rsidRDefault="006A2960" w:rsidP="006A2960">
      <w:pPr>
        <w:pStyle w:val="AmNumberTabs"/>
      </w:pPr>
      <w:r w:rsidRPr="00AC4ED5">
        <w:t>Enmienda</w:t>
      </w:r>
      <w:r w:rsidRPr="00AC4ED5">
        <w:tab/>
      </w:r>
      <w:r w:rsidRPr="00AC4ED5">
        <w:tab/>
        <w:t>8</w:t>
      </w:r>
    </w:p>
    <w:p w:rsidR="006A2960" w:rsidRPr="00AC4ED5" w:rsidRDefault="006A2960" w:rsidP="006A2960"/>
    <w:p w:rsidR="006A2960" w:rsidRPr="00AC4ED5" w:rsidRDefault="006A2960" w:rsidP="006A2960">
      <w:pPr>
        <w:pStyle w:val="NormalBold"/>
        <w:keepNext/>
      </w:pPr>
      <w:r w:rsidRPr="00AC4ED5">
        <w:t>Propuesta de Reglamento</w:t>
      </w:r>
    </w:p>
    <w:p w:rsidR="006A2960" w:rsidRPr="00AC4ED5" w:rsidRDefault="006A2960" w:rsidP="006A2960">
      <w:pPr>
        <w:pStyle w:val="NormalBold"/>
      </w:pPr>
      <w:r w:rsidRPr="00AC4ED5">
        <w:t>Artículo 3 – párrafo 1 – punto 1</w:t>
      </w:r>
    </w:p>
    <w:p w:rsidR="006A2960" w:rsidRPr="00AC4ED5" w:rsidRDefault="006A2960" w:rsidP="006A2960">
      <w:pPr>
        <w:keepNext/>
      </w:pPr>
      <w:r w:rsidRPr="00AC4ED5">
        <w:t>Reglamento (UE) 2017/745</w:t>
      </w:r>
    </w:p>
    <w:p w:rsidR="006A2960" w:rsidRPr="00AC4ED5" w:rsidRDefault="006A2960" w:rsidP="006A2960">
      <w:r w:rsidRPr="00AC4ED5">
        <w:t>Anexo I – sección 10.4.1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960" w:rsidRPr="00AC4ED5" w:rsidTr="00224BC5">
        <w:trPr>
          <w:jc w:val="center"/>
        </w:trPr>
        <w:tc>
          <w:tcPr>
            <w:tcW w:w="9752" w:type="dxa"/>
            <w:gridSpan w:val="2"/>
          </w:tcPr>
          <w:p w:rsidR="006A2960" w:rsidRPr="00AC4ED5" w:rsidRDefault="006A2960" w:rsidP="00224BC5">
            <w:pPr>
              <w:keepNext/>
            </w:pPr>
          </w:p>
        </w:tc>
      </w:tr>
      <w:tr w:rsidR="006A2960" w:rsidRPr="00AC4ED5" w:rsidTr="00224BC5">
        <w:trPr>
          <w:jc w:val="center"/>
        </w:trPr>
        <w:tc>
          <w:tcPr>
            <w:tcW w:w="4876" w:type="dxa"/>
            <w:hideMark/>
          </w:tcPr>
          <w:p w:rsidR="006A2960" w:rsidRPr="00AC4ED5" w:rsidRDefault="006A2960" w:rsidP="00224BC5">
            <w:pPr>
              <w:pStyle w:val="ColumnHeading"/>
              <w:keepNext/>
              <w:rPr>
                <w:lang w:val="es-ES_tradnl"/>
              </w:rPr>
            </w:pPr>
            <w:r w:rsidRPr="00AC4ED5">
              <w:rPr>
                <w:lang w:val="es-ES_tradnl"/>
              </w:rPr>
              <w:t>Texto de la Comisión</w:t>
            </w:r>
          </w:p>
        </w:tc>
        <w:tc>
          <w:tcPr>
            <w:tcW w:w="4876" w:type="dxa"/>
            <w:hideMark/>
          </w:tcPr>
          <w:p w:rsidR="006A2960" w:rsidRPr="00AC4ED5" w:rsidRDefault="006A2960" w:rsidP="00224BC5">
            <w:pPr>
              <w:pStyle w:val="ColumnHeading"/>
              <w:keepNext/>
              <w:rPr>
                <w:lang w:val="es-ES_tradnl"/>
              </w:rPr>
            </w:pPr>
            <w:r w:rsidRPr="00AC4ED5">
              <w:rPr>
                <w:lang w:val="es-ES_tradnl"/>
              </w:rPr>
              <w:t>Enmienda</w:t>
            </w:r>
          </w:p>
        </w:tc>
      </w:tr>
      <w:tr w:rsidR="006A2960" w:rsidRPr="00AC4ED5" w:rsidTr="00224BC5">
        <w:trPr>
          <w:jc w:val="center"/>
        </w:trPr>
        <w:tc>
          <w:tcPr>
            <w:tcW w:w="4876" w:type="dxa"/>
            <w:hideMark/>
          </w:tcPr>
          <w:p w:rsidR="006A2960" w:rsidRPr="00AC4ED5" w:rsidRDefault="006A2960" w:rsidP="00224BC5">
            <w:pPr>
              <w:pStyle w:val="Normal6"/>
              <w:rPr>
                <w:lang w:val="es-ES_tradnl"/>
              </w:rPr>
            </w:pPr>
            <w:r w:rsidRPr="00AC4ED5">
              <w:rPr>
                <w:lang w:val="es-ES_tradnl"/>
              </w:rPr>
              <w:t>b)</w:t>
            </w:r>
            <w:r w:rsidRPr="00AC4ED5">
              <w:rPr>
                <w:lang w:val="es-ES_tradnl"/>
              </w:rPr>
              <w:tab/>
              <w:t xml:space="preserve">sustancias </w:t>
            </w:r>
            <w:r w:rsidRPr="00AC4ED5">
              <w:rPr>
                <w:b/>
                <w:i/>
                <w:lang w:val="es-ES_tradnl"/>
              </w:rPr>
              <w:t>identificadas</w:t>
            </w:r>
            <w:r w:rsidRPr="00AC4ED5">
              <w:rPr>
                <w:lang w:val="es-ES_tradnl"/>
              </w:rPr>
              <w:t xml:space="preserve"> como alteradores endocrinos para la salud humana de la categoría 1, de conformidad con la parte 3 del anexo VI del Reglamento (CE) n.º 1272/2008 del Parlamento Europeo y del Consejo</w:t>
            </w:r>
            <w:r w:rsidRPr="00AC4ED5">
              <w:rPr>
                <w:vertAlign w:val="superscript"/>
                <w:lang w:val="es-ES_tradnl"/>
              </w:rPr>
              <w:t>12</w:t>
            </w:r>
            <w:r w:rsidRPr="00AC4ED5">
              <w:rPr>
                <w:lang w:val="es-ES_tradnl"/>
              </w:rPr>
              <w:t>, y alteradores endocrinos sobre los que haya pruebas científicas de probables efectos graves para la salud humana y que se hayan identificado con arreglo al procedimiento establecido en el artículo 59 del Reglamento (CE) n.º 1907/2006 del Parlamento Europeo y del Consejo, o alteradores endocrinos pertinentes para la salud humana identificados de conformidad con el Reglamento (UE) n.º 528/2012.</w:t>
            </w:r>
          </w:p>
        </w:tc>
        <w:tc>
          <w:tcPr>
            <w:tcW w:w="4876" w:type="dxa"/>
            <w:hideMark/>
          </w:tcPr>
          <w:p w:rsidR="006A2960" w:rsidRPr="00AC4ED5" w:rsidRDefault="006A2960" w:rsidP="00224BC5">
            <w:pPr>
              <w:pStyle w:val="Normal6"/>
              <w:rPr>
                <w:szCs w:val="24"/>
                <w:lang w:val="es-ES_tradnl"/>
              </w:rPr>
            </w:pPr>
            <w:r w:rsidRPr="00AC4ED5">
              <w:rPr>
                <w:lang w:val="es-ES_tradnl"/>
              </w:rPr>
              <w:t>b)</w:t>
            </w:r>
            <w:r w:rsidRPr="00AC4ED5">
              <w:rPr>
                <w:lang w:val="es-ES_tradnl"/>
              </w:rPr>
              <w:tab/>
              <w:t xml:space="preserve">sustancias </w:t>
            </w:r>
            <w:r w:rsidRPr="00AC4ED5">
              <w:rPr>
                <w:b/>
                <w:i/>
                <w:lang w:val="es-ES_tradnl"/>
              </w:rPr>
              <w:t>clasificadas</w:t>
            </w:r>
            <w:r w:rsidRPr="00AC4ED5">
              <w:rPr>
                <w:lang w:val="es-ES_tradnl"/>
              </w:rPr>
              <w:t xml:space="preserve"> como alteradores endocrinos para la salud humana de la categoría 1, de conformidad con la parte 3 del anexo VI del Reglamento (CE) n.º 1272/2008 del Parlamento Europeo y del Consejo</w:t>
            </w:r>
            <w:r w:rsidRPr="00AC4ED5">
              <w:rPr>
                <w:vertAlign w:val="superscript"/>
                <w:lang w:val="es-ES_tradnl"/>
              </w:rPr>
              <w:t>12</w:t>
            </w:r>
            <w:r w:rsidRPr="00AC4ED5">
              <w:rPr>
                <w:lang w:val="es-ES_tradnl"/>
              </w:rPr>
              <w:t>, y alteradores endocrinos sobre los que haya pruebas científicas de probables efectos graves para la salud humana y que se hayan identificado con arreglo al procedimiento establecido en el artículo 59 del Reglamento (CE) n.º 1907/2006 del Parlamento Europeo y del Consejo, o alteradores endocrinos pertinentes para la salud humana identificados de conformidad con el Reglamento (UE) n.º 528/2012.</w:t>
            </w:r>
          </w:p>
        </w:tc>
      </w:tr>
      <w:tr w:rsidR="006A2960" w:rsidRPr="00AC4ED5" w:rsidTr="00224BC5">
        <w:trPr>
          <w:jc w:val="center"/>
        </w:trPr>
        <w:tc>
          <w:tcPr>
            <w:tcW w:w="4876" w:type="dxa"/>
            <w:hideMark/>
          </w:tcPr>
          <w:p w:rsidR="006A2960" w:rsidRPr="00AC4ED5" w:rsidRDefault="006A2960" w:rsidP="00224BC5">
            <w:pPr>
              <w:pStyle w:val="Normal6"/>
              <w:rPr>
                <w:lang w:val="es-ES_tradnl"/>
              </w:rPr>
            </w:pPr>
            <w:r w:rsidRPr="00AC4ED5">
              <w:rPr>
                <w:lang w:val="es-ES_tradnl"/>
              </w:rPr>
              <w:t>__________________</w:t>
            </w:r>
          </w:p>
        </w:tc>
        <w:tc>
          <w:tcPr>
            <w:tcW w:w="4876" w:type="dxa"/>
            <w:hideMark/>
          </w:tcPr>
          <w:p w:rsidR="006A2960" w:rsidRPr="00AC4ED5" w:rsidRDefault="006A2960" w:rsidP="00224BC5">
            <w:pPr>
              <w:pStyle w:val="Normal6"/>
              <w:rPr>
                <w:szCs w:val="24"/>
                <w:lang w:val="es-ES_tradnl"/>
              </w:rPr>
            </w:pPr>
            <w:r w:rsidRPr="00AC4ED5">
              <w:rPr>
                <w:lang w:val="es-ES_tradnl"/>
              </w:rPr>
              <w:t>__________________</w:t>
            </w:r>
          </w:p>
        </w:tc>
      </w:tr>
      <w:tr w:rsidR="006A2960" w:rsidRPr="00AC4ED5" w:rsidTr="00224BC5">
        <w:trPr>
          <w:jc w:val="center"/>
        </w:trPr>
        <w:tc>
          <w:tcPr>
            <w:tcW w:w="4876" w:type="dxa"/>
            <w:hideMark/>
          </w:tcPr>
          <w:p w:rsidR="006A2960" w:rsidRPr="00AC4ED5" w:rsidRDefault="006A2960" w:rsidP="00224BC5">
            <w:pPr>
              <w:pStyle w:val="Normal6"/>
              <w:rPr>
                <w:lang w:val="es-ES_tradnl"/>
              </w:rPr>
            </w:pPr>
            <w:r w:rsidRPr="00AC4ED5">
              <w:rPr>
                <w:vertAlign w:val="superscript"/>
                <w:lang w:val="es-ES_tradnl"/>
              </w:rPr>
              <w:t>12</w:t>
            </w:r>
            <w:r w:rsidRPr="00AC4ED5">
              <w:rPr>
                <w:lang w:val="es-ES_tradnl"/>
              </w:rPr>
              <w:t xml:space="preserve"> Reglamento (CE) n.º 1272/2008 del Parlamento Europeo y del Consejo, de 16 de diciembre de 2008, sobre clasificación, etiquetado y envasado de sustancias y mezclas, y por el que se modifican y se derogan las Directivas 67/548/CEE y 1999/45/CE y se modifica el Reglamento (CE) n.º 1907/2006 (DO L 353 de 31.12.2008, p. 1).</w:t>
            </w:r>
          </w:p>
        </w:tc>
        <w:tc>
          <w:tcPr>
            <w:tcW w:w="4876" w:type="dxa"/>
            <w:hideMark/>
          </w:tcPr>
          <w:p w:rsidR="006A2960" w:rsidRPr="00AC4ED5" w:rsidRDefault="006A2960" w:rsidP="00224BC5">
            <w:pPr>
              <w:pStyle w:val="Normal6"/>
              <w:rPr>
                <w:szCs w:val="24"/>
                <w:lang w:val="es-ES_tradnl"/>
              </w:rPr>
            </w:pPr>
            <w:r w:rsidRPr="00AC4ED5">
              <w:rPr>
                <w:vertAlign w:val="superscript"/>
                <w:lang w:val="es-ES_tradnl"/>
              </w:rPr>
              <w:t>12</w:t>
            </w:r>
            <w:r w:rsidRPr="00AC4ED5">
              <w:rPr>
                <w:lang w:val="es-ES_tradnl"/>
              </w:rPr>
              <w:t xml:space="preserve"> Reglamento (CE) n.º 1272/2008 del Parlamento Europeo y del Consejo, de 16 de diciembre de 2008, sobre clasificación, etiquetado y envasado de sustancias y mezclas, y por el que se modifican y se derogan las Directivas 67/548/CEE y 1999/45/CE y se modifica el Reglamento (CE) n.º 1907/2006 (DO L 353 de 31.12.2008, p. 1).</w:t>
            </w:r>
          </w:p>
        </w:tc>
      </w:tr>
    </w:tbl>
    <w:p w:rsidR="006A2960" w:rsidRPr="00AC4ED5" w:rsidRDefault="006A2960" w:rsidP="006A2960"/>
    <w:p w:rsidR="006A2960" w:rsidRPr="00AC4ED5" w:rsidRDefault="006A2960" w:rsidP="006A2960">
      <w:pPr>
        <w:pStyle w:val="AmNumberTabs"/>
        <w:keepNext/>
      </w:pPr>
      <w:r w:rsidRPr="00AC4ED5">
        <w:t>Enmienda</w:t>
      </w:r>
      <w:r w:rsidRPr="00AC4ED5">
        <w:tab/>
      </w:r>
      <w:r w:rsidRPr="00AC4ED5">
        <w:tab/>
        <w:t>9</w:t>
      </w:r>
    </w:p>
    <w:p w:rsidR="006A2960" w:rsidRPr="00AC4ED5" w:rsidRDefault="006A2960" w:rsidP="006A2960">
      <w:pPr>
        <w:keepNext/>
      </w:pPr>
    </w:p>
    <w:p w:rsidR="006A2960" w:rsidRPr="00AC4ED5" w:rsidRDefault="006A2960" w:rsidP="006A2960">
      <w:pPr>
        <w:pStyle w:val="NormalBold"/>
        <w:keepNext/>
      </w:pPr>
      <w:r w:rsidRPr="00AC4ED5">
        <w:t>Propuesta de Reglamento</w:t>
      </w:r>
    </w:p>
    <w:p w:rsidR="006A2960" w:rsidRPr="00AC4ED5" w:rsidRDefault="006A2960" w:rsidP="006A2960">
      <w:pPr>
        <w:pStyle w:val="NormalBold"/>
      </w:pPr>
      <w:r w:rsidRPr="00AC4ED5">
        <w:t>Artículo 4 – párrafo 1 – punto 2</w:t>
      </w:r>
    </w:p>
    <w:p w:rsidR="006A2960" w:rsidRPr="00AC4ED5" w:rsidRDefault="006A2960" w:rsidP="006A2960">
      <w:pPr>
        <w:keepNext/>
      </w:pPr>
      <w:r w:rsidRPr="00AC4ED5">
        <w:t>Reglamento (UE) 2019/1021</w:t>
      </w:r>
    </w:p>
    <w:p w:rsidR="006A2960" w:rsidRPr="00AC4ED5" w:rsidRDefault="006A2960" w:rsidP="006A2960">
      <w:r w:rsidRPr="00AC4ED5">
        <w:t>Artículo 8 – apartado 1 bis – párrafo 1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960" w:rsidRPr="00AC4ED5" w:rsidTr="00224BC5">
        <w:trPr>
          <w:jc w:val="center"/>
        </w:trPr>
        <w:tc>
          <w:tcPr>
            <w:tcW w:w="9752" w:type="dxa"/>
            <w:gridSpan w:val="2"/>
          </w:tcPr>
          <w:p w:rsidR="006A2960" w:rsidRPr="00AC4ED5" w:rsidRDefault="006A2960" w:rsidP="00224BC5">
            <w:pPr>
              <w:keepNext/>
            </w:pPr>
          </w:p>
        </w:tc>
      </w:tr>
      <w:tr w:rsidR="006A2960" w:rsidRPr="00AC4ED5" w:rsidTr="00224BC5">
        <w:trPr>
          <w:jc w:val="center"/>
        </w:trPr>
        <w:tc>
          <w:tcPr>
            <w:tcW w:w="4876" w:type="dxa"/>
            <w:hideMark/>
          </w:tcPr>
          <w:p w:rsidR="006A2960" w:rsidRPr="00AC4ED5" w:rsidRDefault="006A2960" w:rsidP="00224BC5">
            <w:pPr>
              <w:pStyle w:val="ColumnHeading"/>
              <w:keepNext/>
              <w:rPr>
                <w:lang w:val="es-ES_tradnl"/>
              </w:rPr>
            </w:pPr>
            <w:r w:rsidRPr="00AC4ED5">
              <w:rPr>
                <w:lang w:val="es-ES_tradnl"/>
              </w:rPr>
              <w:t>Texto de la Comisión</w:t>
            </w:r>
          </w:p>
        </w:tc>
        <w:tc>
          <w:tcPr>
            <w:tcW w:w="4876" w:type="dxa"/>
            <w:hideMark/>
          </w:tcPr>
          <w:p w:rsidR="006A2960" w:rsidRPr="00AC4ED5" w:rsidRDefault="006A2960" w:rsidP="00224BC5">
            <w:pPr>
              <w:pStyle w:val="ColumnHeading"/>
              <w:keepNext/>
              <w:rPr>
                <w:lang w:val="es-ES_tradnl"/>
              </w:rPr>
            </w:pPr>
            <w:r w:rsidRPr="00AC4ED5">
              <w:rPr>
                <w:lang w:val="es-ES_tradnl"/>
              </w:rPr>
              <w:t>Enmienda</w:t>
            </w:r>
          </w:p>
        </w:tc>
      </w:tr>
      <w:tr w:rsidR="006A2960" w:rsidRPr="00AC4ED5" w:rsidTr="00224BC5">
        <w:trPr>
          <w:jc w:val="center"/>
        </w:trPr>
        <w:tc>
          <w:tcPr>
            <w:tcW w:w="4876" w:type="dxa"/>
            <w:hideMark/>
          </w:tcPr>
          <w:p w:rsidR="006A2960" w:rsidRPr="00AC4ED5" w:rsidRDefault="006A2960" w:rsidP="00224BC5">
            <w:pPr>
              <w:pStyle w:val="Normal6"/>
              <w:rPr>
                <w:lang w:val="es-ES_tradnl"/>
              </w:rPr>
            </w:pPr>
            <w:r w:rsidRPr="00AC4ED5">
              <w:rPr>
                <w:lang w:val="es-ES_tradnl"/>
              </w:rPr>
              <w:t>a)</w:t>
            </w:r>
            <w:r w:rsidRPr="00AC4ED5">
              <w:rPr>
                <w:lang w:val="es-ES_tradnl"/>
              </w:rPr>
              <w:tab/>
            </w:r>
            <w:r w:rsidRPr="00AC4ED5">
              <w:rPr>
                <w:b/>
                <w:i/>
                <w:lang w:val="es-ES_tradnl"/>
              </w:rPr>
              <w:t>cuando proceda,</w:t>
            </w:r>
            <w:r w:rsidRPr="00AC4ED5">
              <w:rPr>
                <w:lang w:val="es-ES_tradnl"/>
              </w:rPr>
              <w:t xml:space="preserve"> información sobre las repercusiones en la salud humana y el medio ambiente de los residuos consistentes en COP, o que contengan o estén contaminados con ellos, incluidas las repercusiones en la gestión de residuos;</w:t>
            </w:r>
          </w:p>
        </w:tc>
        <w:tc>
          <w:tcPr>
            <w:tcW w:w="4876" w:type="dxa"/>
            <w:hideMark/>
          </w:tcPr>
          <w:p w:rsidR="006A2960" w:rsidRPr="00AC4ED5" w:rsidRDefault="006A2960" w:rsidP="00224BC5">
            <w:pPr>
              <w:pStyle w:val="Normal6"/>
              <w:rPr>
                <w:szCs w:val="24"/>
                <w:lang w:val="es-ES_tradnl"/>
              </w:rPr>
            </w:pPr>
            <w:r w:rsidRPr="00AC4ED5">
              <w:rPr>
                <w:lang w:val="es-ES_tradnl"/>
              </w:rPr>
              <w:t>a)</w:t>
            </w:r>
            <w:r w:rsidRPr="00AC4ED5">
              <w:rPr>
                <w:lang w:val="es-ES_tradnl"/>
              </w:rPr>
              <w:tab/>
              <w:t>información sobre las repercusiones en la salud humana y el medio ambiente de los residuos consistentes en COP, o que contengan o estén contaminados con ellos, incluidas las repercusiones en la gestión de residuos;</w:t>
            </w:r>
          </w:p>
        </w:tc>
      </w:tr>
    </w:tbl>
    <w:p w:rsidR="006A2960" w:rsidRPr="00AC4ED5" w:rsidRDefault="006A2960" w:rsidP="006A2960"/>
    <w:p w:rsidR="006A2960" w:rsidRPr="00AC4ED5" w:rsidRDefault="006A2960" w:rsidP="006A2960">
      <w:pPr>
        <w:pStyle w:val="AmNumberTabs"/>
      </w:pPr>
      <w:r w:rsidRPr="00AC4ED5">
        <w:t>Enmienda</w:t>
      </w:r>
      <w:r w:rsidRPr="00AC4ED5">
        <w:tab/>
      </w:r>
      <w:r w:rsidRPr="00AC4ED5">
        <w:tab/>
        <w:t>10</w:t>
      </w:r>
    </w:p>
    <w:p w:rsidR="006A2960" w:rsidRPr="00AC4ED5" w:rsidRDefault="006A2960" w:rsidP="006A2960"/>
    <w:p w:rsidR="006A2960" w:rsidRPr="00AC4ED5" w:rsidRDefault="006A2960" w:rsidP="006A2960">
      <w:pPr>
        <w:pStyle w:val="NormalBold"/>
        <w:keepNext/>
      </w:pPr>
      <w:r w:rsidRPr="00AC4ED5">
        <w:t>Propuesta de Reglamento</w:t>
      </w:r>
    </w:p>
    <w:p w:rsidR="006A2960" w:rsidRPr="00AC4ED5" w:rsidRDefault="006A2960" w:rsidP="006A2960">
      <w:pPr>
        <w:pStyle w:val="NormalBold"/>
      </w:pPr>
      <w:r w:rsidRPr="00AC4ED5">
        <w:t>Artículo 4 – párrafo 1 – punto 2</w:t>
      </w:r>
    </w:p>
    <w:p w:rsidR="006A2960" w:rsidRPr="00AC4ED5" w:rsidRDefault="006A2960" w:rsidP="006A2960">
      <w:pPr>
        <w:keepNext/>
      </w:pPr>
      <w:r w:rsidRPr="00AC4ED5">
        <w:t>Reglamento (UE) 2019/1021</w:t>
      </w:r>
    </w:p>
    <w:p w:rsidR="006A2960" w:rsidRPr="00AC4ED5" w:rsidRDefault="006A2960" w:rsidP="006A2960">
      <w:r w:rsidRPr="00AC4ED5">
        <w:t>Artículo 8 – apartado 1 bis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960" w:rsidRPr="00AC4ED5" w:rsidTr="00224BC5">
        <w:trPr>
          <w:jc w:val="center"/>
        </w:trPr>
        <w:tc>
          <w:tcPr>
            <w:tcW w:w="9752" w:type="dxa"/>
            <w:gridSpan w:val="2"/>
          </w:tcPr>
          <w:p w:rsidR="006A2960" w:rsidRPr="00AC4ED5" w:rsidRDefault="006A2960" w:rsidP="00224BC5">
            <w:pPr>
              <w:keepNext/>
            </w:pPr>
          </w:p>
        </w:tc>
      </w:tr>
      <w:tr w:rsidR="006A2960" w:rsidRPr="00AC4ED5" w:rsidTr="00224BC5">
        <w:trPr>
          <w:jc w:val="center"/>
        </w:trPr>
        <w:tc>
          <w:tcPr>
            <w:tcW w:w="4876" w:type="dxa"/>
            <w:hideMark/>
          </w:tcPr>
          <w:p w:rsidR="006A2960" w:rsidRPr="00AC4ED5" w:rsidRDefault="006A2960" w:rsidP="00224BC5">
            <w:pPr>
              <w:pStyle w:val="ColumnHeading"/>
              <w:keepNext/>
              <w:rPr>
                <w:lang w:val="es-ES_tradnl"/>
              </w:rPr>
            </w:pPr>
            <w:r w:rsidRPr="00AC4ED5">
              <w:rPr>
                <w:lang w:val="es-ES_tradnl"/>
              </w:rPr>
              <w:t>Texto de la Comisión</w:t>
            </w:r>
          </w:p>
        </w:tc>
        <w:tc>
          <w:tcPr>
            <w:tcW w:w="4876" w:type="dxa"/>
            <w:hideMark/>
          </w:tcPr>
          <w:p w:rsidR="006A2960" w:rsidRPr="00AC4ED5" w:rsidRDefault="006A2960" w:rsidP="00224BC5">
            <w:pPr>
              <w:pStyle w:val="ColumnHeading"/>
              <w:keepNext/>
              <w:rPr>
                <w:lang w:val="es-ES_tradnl"/>
              </w:rPr>
            </w:pPr>
            <w:r w:rsidRPr="00AC4ED5">
              <w:rPr>
                <w:lang w:val="es-ES_tradnl"/>
              </w:rPr>
              <w:t>Enmienda</w:t>
            </w:r>
          </w:p>
        </w:tc>
      </w:tr>
      <w:tr w:rsidR="006A2960" w:rsidRPr="00AC4ED5" w:rsidTr="00224BC5">
        <w:trPr>
          <w:jc w:val="center"/>
        </w:trPr>
        <w:tc>
          <w:tcPr>
            <w:tcW w:w="4876" w:type="dxa"/>
            <w:hideMark/>
          </w:tcPr>
          <w:p w:rsidR="006A2960" w:rsidRPr="00AC4ED5" w:rsidRDefault="006A2960" w:rsidP="00224BC5">
            <w:pPr>
              <w:pStyle w:val="Normal6"/>
              <w:rPr>
                <w:lang w:val="es-ES_tradnl"/>
              </w:rPr>
            </w:pPr>
            <w:r w:rsidRPr="00AC4ED5">
              <w:rPr>
                <w:lang w:val="es-ES_tradnl"/>
              </w:rPr>
              <w:t xml:space="preserve">Tan pronto como reciba la solicitud a que se refiere el </w:t>
            </w:r>
            <w:r w:rsidRPr="00AC4ED5">
              <w:rPr>
                <w:b/>
                <w:i/>
                <w:lang w:val="es-ES_tradnl"/>
              </w:rPr>
              <w:t>párrafo primero</w:t>
            </w:r>
            <w:r w:rsidRPr="00AC4ED5">
              <w:rPr>
                <w:lang w:val="es-ES_tradnl"/>
              </w:rPr>
              <w:t>, letra i), la Agencia publicará en su sitio web un aviso de que se elaborará un informe sobre una posible modificación de los anexos IV o V en el que invitará a todas las partes interesadas, incluidos los operadores de residuos y los usuarios de materiales reciclados, a presentar observaciones en un plazo de ocho semanas. La Agencia publicará esas observaciones en su página web.</w:t>
            </w:r>
          </w:p>
        </w:tc>
        <w:tc>
          <w:tcPr>
            <w:tcW w:w="4876" w:type="dxa"/>
            <w:hideMark/>
          </w:tcPr>
          <w:p w:rsidR="006A2960" w:rsidRPr="00AC4ED5" w:rsidRDefault="006A2960" w:rsidP="00224BC5">
            <w:pPr>
              <w:pStyle w:val="Normal6"/>
              <w:rPr>
                <w:szCs w:val="24"/>
                <w:lang w:val="es-ES_tradnl"/>
              </w:rPr>
            </w:pPr>
            <w:r w:rsidRPr="00AC4ED5">
              <w:rPr>
                <w:lang w:val="es-ES_tradnl"/>
              </w:rPr>
              <w:t xml:space="preserve">Tan pronto como reciba la solicitud a que se refiere el </w:t>
            </w:r>
            <w:r w:rsidRPr="00AC4ED5">
              <w:rPr>
                <w:b/>
                <w:i/>
                <w:lang w:val="es-ES_tradnl"/>
              </w:rPr>
              <w:t>artículo 8, apartado 1</w:t>
            </w:r>
            <w:r w:rsidRPr="00AC4ED5">
              <w:rPr>
                <w:lang w:val="es-ES_tradnl"/>
              </w:rPr>
              <w:t>, letra i), la Agencia publicará en su sitio web un aviso de que se elaborará un informe sobre una posible modificación de los anexos IV o V en el que invitará a todas las partes interesadas, incluidos los operadores de residuos y los usuarios de materiales reciclados, a presentar observaciones en un plazo de ocho semanas. La Agencia publicará esas observaciones en su página web.</w:t>
            </w:r>
          </w:p>
        </w:tc>
      </w:tr>
    </w:tbl>
    <w:p w:rsidR="006A2960" w:rsidRPr="00AC4ED5" w:rsidRDefault="006A2960" w:rsidP="006A2960"/>
    <w:p w:rsidR="006A2960" w:rsidRPr="00AC4ED5" w:rsidRDefault="006A2960" w:rsidP="006A2960">
      <w:pPr>
        <w:pStyle w:val="AmNumberTabs"/>
      </w:pPr>
      <w:r w:rsidRPr="00AC4ED5">
        <w:t>Enmienda</w:t>
      </w:r>
      <w:r w:rsidRPr="00AC4ED5">
        <w:tab/>
      </w:r>
      <w:r w:rsidRPr="00AC4ED5">
        <w:tab/>
        <w:t>11</w:t>
      </w:r>
    </w:p>
    <w:p w:rsidR="006A2960" w:rsidRPr="00AC4ED5" w:rsidRDefault="006A2960" w:rsidP="006A2960"/>
    <w:p w:rsidR="006A2960" w:rsidRPr="00AC4ED5" w:rsidRDefault="006A2960" w:rsidP="006A2960">
      <w:pPr>
        <w:pStyle w:val="NormalBold"/>
        <w:keepNext/>
      </w:pPr>
      <w:r w:rsidRPr="00AC4ED5">
        <w:t>Propuesta de Reglamento</w:t>
      </w:r>
    </w:p>
    <w:p w:rsidR="006A2960" w:rsidRPr="00AC4ED5" w:rsidRDefault="006A2960" w:rsidP="006A2960">
      <w:pPr>
        <w:pStyle w:val="NormalBold"/>
      </w:pPr>
      <w:r w:rsidRPr="00AC4ED5">
        <w:t>Artículo 4 – párrafo 1 – punto 2</w:t>
      </w:r>
    </w:p>
    <w:p w:rsidR="006A2960" w:rsidRPr="00AC4ED5" w:rsidRDefault="006A2960" w:rsidP="006A2960">
      <w:pPr>
        <w:keepNext/>
      </w:pPr>
      <w:r w:rsidRPr="00AC4ED5">
        <w:t>Reglamento (UE) 2019/1021</w:t>
      </w:r>
    </w:p>
    <w:p w:rsidR="006A2960" w:rsidRPr="00AC4ED5" w:rsidRDefault="006A2960" w:rsidP="006A2960">
      <w:r w:rsidRPr="00AC4ED5">
        <w:t>Artículo 8 – apartado 1 bis – párrafo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960" w:rsidRPr="00AC4ED5" w:rsidTr="00224BC5">
        <w:trPr>
          <w:jc w:val="center"/>
        </w:trPr>
        <w:tc>
          <w:tcPr>
            <w:tcW w:w="9752" w:type="dxa"/>
            <w:gridSpan w:val="2"/>
          </w:tcPr>
          <w:p w:rsidR="006A2960" w:rsidRPr="00AC4ED5" w:rsidRDefault="006A2960" w:rsidP="00224BC5">
            <w:pPr>
              <w:keepNext/>
            </w:pPr>
          </w:p>
        </w:tc>
      </w:tr>
      <w:tr w:rsidR="006A2960" w:rsidRPr="00AC4ED5" w:rsidTr="00224BC5">
        <w:trPr>
          <w:jc w:val="center"/>
        </w:trPr>
        <w:tc>
          <w:tcPr>
            <w:tcW w:w="4876" w:type="dxa"/>
            <w:hideMark/>
          </w:tcPr>
          <w:p w:rsidR="006A2960" w:rsidRPr="00AC4ED5" w:rsidRDefault="006A2960" w:rsidP="00224BC5">
            <w:pPr>
              <w:pStyle w:val="ColumnHeading"/>
              <w:keepNext/>
              <w:rPr>
                <w:lang w:val="es-ES_tradnl"/>
              </w:rPr>
            </w:pPr>
            <w:r w:rsidRPr="00AC4ED5">
              <w:rPr>
                <w:lang w:val="es-ES_tradnl"/>
              </w:rPr>
              <w:t>Texto de la Comisión</w:t>
            </w:r>
          </w:p>
        </w:tc>
        <w:tc>
          <w:tcPr>
            <w:tcW w:w="4876" w:type="dxa"/>
            <w:hideMark/>
          </w:tcPr>
          <w:p w:rsidR="006A2960" w:rsidRPr="00AC4ED5" w:rsidRDefault="006A2960" w:rsidP="00224BC5">
            <w:pPr>
              <w:pStyle w:val="ColumnHeading"/>
              <w:keepNext/>
              <w:rPr>
                <w:lang w:val="es-ES_tradnl"/>
              </w:rPr>
            </w:pPr>
            <w:r w:rsidRPr="00AC4ED5">
              <w:rPr>
                <w:lang w:val="es-ES_tradnl"/>
              </w:rPr>
              <w:t>Enmienda</w:t>
            </w:r>
          </w:p>
        </w:tc>
      </w:tr>
      <w:tr w:rsidR="006A2960" w:rsidRPr="00AC4ED5" w:rsidTr="00224BC5">
        <w:trPr>
          <w:jc w:val="center"/>
        </w:trPr>
        <w:tc>
          <w:tcPr>
            <w:tcW w:w="4876" w:type="dxa"/>
            <w:hideMark/>
          </w:tcPr>
          <w:p w:rsidR="006A2960" w:rsidRPr="00AC4ED5" w:rsidRDefault="006A2960" w:rsidP="00224BC5">
            <w:pPr>
              <w:pStyle w:val="Normal6"/>
              <w:rPr>
                <w:lang w:val="es-ES_tradnl"/>
              </w:rPr>
            </w:pPr>
            <w:r w:rsidRPr="00AC4ED5">
              <w:rPr>
                <w:lang w:val="es-ES_tradnl"/>
              </w:rPr>
              <w:t xml:space="preserve">A más tardar nueve meses después de la presentación </w:t>
            </w:r>
            <w:r w:rsidRPr="00AC4ED5">
              <w:rPr>
                <w:b/>
                <w:i/>
                <w:lang w:val="es-ES_tradnl"/>
              </w:rPr>
              <w:t>de dicho</w:t>
            </w:r>
            <w:r w:rsidRPr="00AC4ED5">
              <w:rPr>
                <w:lang w:val="es-ES_tradnl"/>
              </w:rPr>
              <w:t xml:space="preserve"> informe, el Comité de análisis socioeconómico de la Agencia, creado en virtud del artículo 76, apartado 1, letra d), del Reglamento (CE) n.º 1907/2006, adoptará un dictamen sobre el informe y los valores límite de concentración propuestos en el mismo. A efectos de la adopción de un dictamen sobre el informe, se aplicará </w:t>
            </w:r>
            <w:r w:rsidRPr="00AC4ED5">
              <w:rPr>
                <w:i/>
                <w:iCs/>
                <w:lang w:val="es-ES_tradnl"/>
              </w:rPr>
              <w:t>mutatis mutandis</w:t>
            </w:r>
            <w:r w:rsidRPr="00AC4ED5">
              <w:rPr>
                <w:lang w:val="es-ES_tradnl"/>
              </w:rPr>
              <w:t xml:space="preserve"> el artículo 87 del Reglamento (CE) n.º 1907/2006.</w:t>
            </w:r>
          </w:p>
        </w:tc>
        <w:tc>
          <w:tcPr>
            <w:tcW w:w="4876" w:type="dxa"/>
            <w:hideMark/>
          </w:tcPr>
          <w:p w:rsidR="006A2960" w:rsidRPr="00AC4ED5" w:rsidRDefault="006A2960" w:rsidP="00224BC5">
            <w:pPr>
              <w:pStyle w:val="Normal6"/>
              <w:rPr>
                <w:szCs w:val="24"/>
                <w:lang w:val="es-ES_tradnl"/>
              </w:rPr>
            </w:pPr>
            <w:r w:rsidRPr="00AC4ED5">
              <w:rPr>
                <w:lang w:val="es-ES_tradnl"/>
              </w:rPr>
              <w:t xml:space="preserve">A más tardar nueve meses después de la presentación </w:t>
            </w:r>
            <w:r w:rsidRPr="00AC4ED5">
              <w:rPr>
                <w:b/>
                <w:i/>
                <w:lang w:val="es-ES_tradnl"/>
              </w:rPr>
              <w:t>del</w:t>
            </w:r>
            <w:r w:rsidRPr="00AC4ED5">
              <w:rPr>
                <w:lang w:val="es-ES_tradnl"/>
              </w:rPr>
              <w:t xml:space="preserve"> informe </w:t>
            </w:r>
            <w:r w:rsidRPr="00AC4ED5">
              <w:rPr>
                <w:b/>
                <w:i/>
                <w:lang w:val="es-ES_tradnl"/>
              </w:rPr>
              <w:t>a que se refiere el artículo 8, apartado 1, letra i)</w:t>
            </w:r>
            <w:r w:rsidRPr="00AC4ED5">
              <w:rPr>
                <w:lang w:val="es-ES_tradnl"/>
              </w:rPr>
              <w:t xml:space="preserve">, el Comité de análisis socioeconómico de la Agencia, creado en virtud del artículo 76, apartado 1, letra d), del Reglamento (CE) n.º 1907/2006, adoptará un dictamen sobre el informe y los valores límite de concentración propuestos en el mismo. A efectos de la adopción de un dictamen sobre el informe, se aplicará </w:t>
            </w:r>
            <w:r w:rsidRPr="00AC4ED5">
              <w:rPr>
                <w:i/>
                <w:iCs/>
                <w:lang w:val="es-ES_tradnl"/>
              </w:rPr>
              <w:t>mutatis mutandis</w:t>
            </w:r>
            <w:r w:rsidRPr="00AC4ED5">
              <w:rPr>
                <w:lang w:val="es-ES_tradnl"/>
              </w:rPr>
              <w:t xml:space="preserve"> el artículo 87 del Reglamento (CE) n.º 1907/2006.</w:t>
            </w:r>
          </w:p>
        </w:tc>
      </w:tr>
    </w:tbl>
    <w:p w:rsidR="006A2960" w:rsidRPr="00AC4ED5" w:rsidRDefault="006A2960" w:rsidP="006A2960"/>
    <w:p w:rsidR="006A2960" w:rsidRPr="00AC4ED5" w:rsidRDefault="006A2960" w:rsidP="006A2960">
      <w:pPr>
        <w:pStyle w:val="AmNumberTabs"/>
      </w:pPr>
      <w:r w:rsidRPr="00AC4ED5">
        <w:t>Enmienda</w:t>
      </w:r>
      <w:r w:rsidRPr="00AC4ED5">
        <w:tab/>
      </w:r>
      <w:r w:rsidRPr="00AC4ED5">
        <w:tab/>
        <w:t>12</w:t>
      </w:r>
    </w:p>
    <w:p w:rsidR="006A2960" w:rsidRPr="00AC4ED5" w:rsidRDefault="006A2960" w:rsidP="006A2960"/>
    <w:p w:rsidR="006A2960" w:rsidRPr="00AC4ED5" w:rsidRDefault="006A2960" w:rsidP="006A2960">
      <w:pPr>
        <w:pStyle w:val="NormalBold"/>
        <w:keepNext/>
      </w:pPr>
      <w:r w:rsidRPr="00AC4ED5">
        <w:t>Propuesta de Reglamento</w:t>
      </w:r>
    </w:p>
    <w:p w:rsidR="006A2960" w:rsidRPr="00AC4ED5" w:rsidRDefault="006A2960" w:rsidP="006A2960">
      <w:pPr>
        <w:pStyle w:val="NormalBold"/>
      </w:pPr>
      <w:r w:rsidRPr="00AC4ED5">
        <w:t>Artículo 4 – párrafo 1 – punto 4</w:t>
      </w:r>
    </w:p>
    <w:p w:rsidR="006A2960" w:rsidRPr="00AC4ED5" w:rsidRDefault="006A2960" w:rsidP="006A2960">
      <w:pPr>
        <w:keepNext/>
      </w:pPr>
      <w:r w:rsidRPr="00AC4ED5">
        <w:t>Reglamento (UE) 2019/1021</w:t>
      </w:r>
    </w:p>
    <w:p w:rsidR="006A2960" w:rsidRPr="00AC4ED5" w:rsidRDefault="006A2960" w:rsidP="006A2960">
      <w:r w:rsidRPr="00AC4ED5">
        <w:t>Artículo 15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960" w:rsidRPr="00AC4ED5" w:rsidTr="00224BC5">
        <w:trPr>
          <w:jc w:val="center"/>
        </w:trPr>
        <w:tc>
          <w:tcPr>
            <w:tcW w:w="9752" w:type="dxa"/>
            <w:gridSpan w:val="2"/>
          </w:tcPr>
          <w:p w:rsidR="006A2960" w:rsidRPr="00AC4ED5" w:rsidRDefault="006A2960" w:rsidP="00224BC5">
            <w:pPr>
              <w:keepNext/>
            </w:pPr>
          </w:p>
        </w:tc>
      </w:tr>
      <w:tr w:rsidR="006A2960" w:rsidRPr="00AC4ED5" w:rsidTr="00224BC5">
        <w:trPr>
          <w:jc w:val="center"/>
        </w:trPr>
        <w:tc>
          <w:tcPr>
            <w:tcW w:w="4876" w:type="dxa"/>
            <w:hideMark/>
          </w:tcPr>
          <w:p w:rsidR="006A2960" w:rsidRPr="00AC4ED5" w:rsidRDefault="006A2960" w:rsidP="00224BC5">
            <w:pPr>
              <w:pStyle w:val="ColumnHeading"/>
              <w:keepNext/>
              <w:rPr>
                <w:lang w:val="es-ES_tradnl"/>
              </w:rPr>
            </w:pPr>
            <w:r w:rsidRPr="00AC4ED5">
              <w:rPr>
                <w:lang w:val="es-ES_tradnl"/>
              </w:rPr>
              <w:t>Texto de la Comisión</w:t>
            </w:r>
          </w:p>
        </w:tc>
        <w:tc>
          <w:tcPr>
            <w:tcW w:w="4876" w:type="dxa"/>
            <w:hideMark/>
          </w:tcPr>
          <w:p w:rsidR="006A2960" w:rsidRPr="00AC4ED5" w:rsidRDefault="006A2960" w:rsidP="00224BC5">
            <w:pPr>
              <w:pStyle w:val="ColumnHeading"/>
              <w:keepNext/>
              <w:rPr>
                <w:lang w:val="es-ES_tradnl"/>
              </w:rPr>
            </w:pPr>
            <w:r w:rsidRPr="00AC4ED5">
              <w:rPr>
                <w:lang w:val="es-ES_tradnl"/>
              </w:rPr>
              <w:t>Enmienda</w:t>
            </w:r>
          </w:p>
        </w:tc>
      </w:tr>
      <w:tr w:rsidR="006A2960" w:rsidRPr="00AC4ED5" w:rsidTr="00224BC5">
        <w:trPr>
          <w:jc w:val="center"/>
        </w:trPr>
        <w:tc>
          <w:tcPr>
            <w:tcW w:w="4876" w:type="dxa"/>
            <w:hideMark/>
          </w:tcPr>
          <w:p w:rsidR="006A2960" w:rsidRPr="00AC4ED5" w:rsidRDefault="006A2960" w:rsidP="00224BC5">
            <w:pPr>
              <w:pStyle w:val="Normal6"/>
              <w:rPr>
                <w:lang w:val="es-ES_tradnl"/>
              </w:rPr>
            </w:pPr>
            <w:r w:rsidRPr="00AC4ED5">
              <w:rPr>
                <w:lang w:val="es-ES_tradnl"/>
              </w:rPr>
              <w:t>2.</w:t>
            </w:r>
            <w:r w:rsidRPr="00AC4ED5">
              <w:rPr>
                <w:lang w:val="es-ES_tradnl"/>
              </w:rPr>
              <w:tab/>
              <w:t>La Comisión estará facultada para adoptar actos delegados con arreglo al artículo 18, por los que se modifiquen los anexos IV y V para adaptarlos a los cambios en la lista de sustancias que figura en los anexos del Convenio o del Protocolo o para adaptarlos al progreso científico y técnico.</w:t>
            </w:r>
          </w:p>
        </w:tc>
        <w:tc>
          <w:tcPr>
            <w:tcW w:w="4876" w:type="dxa"/>
            <w:hideMark/>
          </w:tcPr>
          <w:p w:rsidR="006A2960" w:rsidRPr="00AC4ED5" w:rsidRDefault="006A2960" w:rsidP="00224BC5">
            <w:pPr>
              <w:pStyle w:val="Normal6"/>
              <w:rPr>
                <w:szCs w:val="24"/>
                <w:lang w:val="es-ES_tradnl"/>
              </w:rPr>
            </w:pPr>
            <w:r w:rsidRPr="00AC4ED5">
              <w:rPr>
                <w:lang w:val="es-ES_tradnl"/>
              </w:rPr>
              <w:t>2.</w:t>
            </w:r>
            <w:r w:rsidRPr="00AC4ED5">
              <w:rPr>
                <w:lang w:val="es-ES_tradnl"/>
              </w:rPr>
              <w:tab/>
              <w:t xml:space="preserve">La Comisión estará facultada para adoptar actos delegados con arreglo al artículo 18, por los que se modifiquen los anexos IV y V para adaptarlos a los cambios en la lista de sustancias que figura </w:t>
            </w:r>
            <w:r w:rsidRPr="00AC4ED5">
              <w:rPr>
                <w:b/>
                <w:i/>
                <w:lang w:val="es-ES_tradnl"/>
              </w:rPr>
              <w:t>en los anexos I, II o III del Reglamento (UE) 2019/1021 o</w:t>
            </w:r>
            <w:r w:rsidRPr="00AC4ED5">
              <w:rPr>
                <w:lang w:val="es-ES_tradnl"/>
              </w:rPr>
              <w:t xml:space="preserve"> en los anexos del Convenio o del Protocolo o para adaptarlos al progreso científico y técnico.</w:t>
            </w:r>
          </w:p>
        </w:tc>
      </w:tr>
    </w:tbl>
    <w:p w:rsidR="006A2960" w:rsidRPr="00AC4ED5" w:rsidRDefault="006A2960" w:rsidP="006A2960"/>
    <w:p w:rsidR="006A2960" w:rsidRPr="00AC4ED5" w:rsidRDefault="006A2960" w:rsidP="006A2960">
      <w:pPr>
        <w:pStyle w:val="AmNumberTabs"/>
      </w:pPr>
      <w:r w:rsidRPr="00AC4ED5">
        <w:t>Enmienda</w:t>
      </w:r>
      <w:r w:rsidRPr="00AC4ED5">
        <w:tab/>
      </w:r>
      <w:r w:rsidRPr="00AC4ED5">
        <w:tab/>
        <w:t>13</w:t>
      </w:r>
    </w:p>
    <w:p w:rsidR="006A2960" w:rsidRPr="00AC4ED5" w:rsidRDefault="006A2960" w:rsidP="006A2960"/>
    <w:p w:rsidR="006A2960" w:rsidRPr="00AC4ED5" w:rsidRDefault="006A2960" w:rsidP="006A2960">
      <w:pPr>
        <w:pStyle w:val="NormalBold"/>
        <w:keepNext/>
      </w:pPr>
      <w:r w:rsidRPr="00AC4ED5">
        <w:t>Propuesta de Reglamento</w:t>
      </w:r>
    </w:p>
    <w:p w:rsidR="006A2960" w:rsidRPr="00AC4ED5" w:rsidRDefault="006A2960" w:rsidP="006A2960">
      <w:pPr>
        <w:pStyle w:val="NormalBold"/>
      </w:pPr>
      <w:r w:rsidRPr="00AC4ED5">
        <w:t>Artículo 4 – párrafo 1 – punto 4 bis (nuevo)</w:t>
      </w:r>
    </w:p>
    <w:p w:rsidR="006A2960" w:rsidRPr="00AC4ED5" w:rsidRDefault="006A2960" w:rsidP="006A2960">
      <w:pPr>
        <w:keepNext/>
      </w:pPr>
      <w:r w:rsidRPr="00AC4ED5">
        <w:t>Reglamento (UE) 2019/1021</w:t>
      </w:r>
    </w:p>
    <w:p w:rsidR="006A2960" w:rsidRPr="00AC4ED5" w:rsidRDefault="006A2960" w:rsidP="006A2960">
      <w:r w:rsidRPr="00AC4ED5">
        <w:t>Artículo 16 – apartado 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960" w:rsidRPr="00AC4ED5" w:rsidTr="00224BC5">
        <w:trPr>
          <w:jc w:val="center"/>
        </w:trPr>
        <w:tc>
          <w:tcPr>
            <w:tcW w:w="9752" w:type="dxa"/>
            <w:gridSpan w:val="2"/>
          </w:tcPr>
          <w:p w:rsidR="006A2960" w:rsidRPr="00AC4ED5" w:rsidRDefault="006A2960" w:rsidP="00224BC5">
            <w:pPr>
              <w:keepNext/>
            </w:pPr>
          </w:p>
        </w:tc>
      </w:tr>
      <w:tr w:rsidR="006A2960" w:rsidRPr="00AC4ED5" w:rsidTr="00224BC5">
        <w:trPr>
          <w:jc w:val="center"/>
        </w:trPr>
        <w:tc>
          <w:tcPr>
            <w:tcW w:w="4876" w:type="dxa"/>
            <w:hideMark/>
          </w:tcPr>
          <w:p w:rsidR="006A2960" w:rsidRPr="00AC4ED5" w:rsidRDefault="006A2960" w:rsidP="00224BC5">
            <w:pPr>
              <w:pStyle w:val="ColumnHeading"/>
              <w:keepNext/>
              <w:rPr>
                <w:lang w:val="es-ES_tradnl"/>
              </w:rPr>
            </w:pPr>
            <w:r w:rsidRPr="00AC4ED5">
              <w:rPr>
                <w:lang w:val="es-ES_tradnl"/>
              </w:rPr>
              <w:t>Texto de la Comisión</w:t>
            </w:r>
          </w:p>
        </w:tc>
        <w:tc>
          <w:tcPr>
            <w:tcW w:w="4876" w:type="dxa"/>
            <w:hideMark/>
          </w:tcPr>
          <w:p w:rsidR="006A2960" w:rsidRPr="00AC4ED5" w:rsidRDefault="006A2960" w:rsidP="00224BC5">
            <w:pPr>
              <w:pStyle w:val="ColumnHeading"/>
              <w:keepNext/>
              <w:rPr>
                <w:lang w:val="es-ES_tradnl"/>
              </w:rPr>
            </w:pPr>
            <w:r w:rsidRPr="00AC4ED5">
              <w:rPr>
                <w:lang w:val="es-ES_tradnl"/>
              </w:rPr>
              <w:t>Enmienda</w:t>
            </w:r>
          </w:p>
        </w:tc>
      </w:tr>
      <w:tr w:rsidR="006A2960" w:rsidRPr="00AC4ED5" w:rsidTr="00224BC5">
        <w:trPr>
          <w:jc w:val="center"/>
        </w:trPr>
        <w:tc>
          <w:tcPr>
            <w:tcW w:w="4876" w:type="dxa"/>
          </w:tcPr>
          <w:p w:rsidR="006A2960" w:rsidRPr="00AC4ED5" w:rsidRDefault="006A2960" w:rsidP="00224BC5">
            <w:pPr>
              <w:pStyle w:val="Normal6"/>
              <w:rPr>
                <w:lang w:val="es-ES_tradnl"/>
              </w:rPr>
            </w:pPr>
          </w:p>
        </w:tc>
        <w:tc>
          <w:tcPr>
            <w:tcW w:w="4876" w:type="dxa"/>
            <w:hideMark/>
          </w:tcPr>
          <w:p w:rsidR="006A2960" w:rsidRPr="00AC4ED5" w:rsidRDefault="006A2960" w:rsidP="00224BC5">
            <w:pPr>
              <w:pStyle w:val="Normal6"/>
              <w:rPr>
                <w:szCs w:val="24"/>
                <w:lang w:val="es-ES_tradnl"/>
              </w:rPr>
            </w:pPr>
            <w:r w:rsidRPr="00AC4ED5">
              <w:rPr>
                <w:b/>
                <w:i/>
                <w:lang w:val="es-ES_tradnl"/>
              </w:rPr>
              <w:t>4 bis)</w:t>
            </w:r>
            <w:r w:rsidRPr="00AC4ED5">
              <w:rPr>
                <w:b/>
                <w:i/>
                <w:lang w:val="es-ES_tradnl"/>
              </w:rPr>
              <w:tab/>
              <w:t>En el artículo 16, se añade el apartado siguiente:</w:t>
            </w:r>
          </w:p>
        </w:tc>
      </w:tr>
      <w:tr w:rsidR="006A2960" w:rsidRPr="00AC4ED5" w:rsidTr="00224BC5">
        <w:trPr>
          <w:jc w:val="center"/>
        </w:trPr>
        <w:tc>
          <w:tcPr>
            <w:tcW w:w="4876" w:type="dxa"/>
          </w:tcPr>
          <w:p w:rsidR="006A2960" w:rsidRPr="00AC4ED5" w:rsidRDefault="006A2960" w:rsidP="00224BC5">
            <w:pPr>
              <w:pStyle w:val="Normal6"/>
              <w:rPr>
                <w:lang w:val="es-ES_tradnl"/>
              </w:rPr>
            </w:pPr>
          </w:p>
        </w:tc>
        <w:tc>
          <w:tcPr>
            <w:tcW w:w="4876" w:type="dxa"/>
            <w:hideMark/>
          </w:tcPr>
          <w:p w:rsidR="006A2960" w:rsidRPr="00AC4ED5" w:rsidRDefault="006A2960" w:rsidP="00224BC5">
            <w:pPr>
              <w:pStyle w:val="Normal6"/>
              <w:rPr>
                <w:szCs w:val="24"/>
                <w:lang w:val="es-ES_tradnl"/>
              </w:rPr>
            </w:pPr>
            <w:r w:rsidRPr="00AC4ED5">
              <w:rPr>
                <w:b/>
                <w:i/>
                <w:lang w:val="es-ES_tradnl"/>
              </w:rPr>
              <w:t>«2 bis.</w:t>
            </w:r>
            <w:r w:rsidRPr="00AC4ED5">
              <w:rPr>
                <w:b/>
                <w:i/>
                <w:lang w:val="es-ES_tradnl"/>
              </w:rPr>
              <w:tab/>
              <w:t>La Comisión hará seguimiento de la situación relativa a los recursos de la Agencia Europea de Sustancias y Mezclas Químicas y a las tareas, la carga de trabajo y el mandato de los comités científicos de la Agencia Europea de Sustancias y Mezclas Químicas y presentará, en caso necesario, una propuesta legislativa para reflejar las necesidades de la Agencia Europea de Sustancias y Mezclas Químicas derivadas de las tareas introducidas por el presente Reglamento y para mejorar la gobernanza de sus comités científicos.».</w:t>
            </w:r>
          </w:p>
        </w:tc>
      </w:tr>
    </w:tbl>
    <w:p w:rsidR="006A2960" w:rsidRPr="00AC4ED5" w:rsidRDefault="006A2960" w:rsidP="006A2960"/>
    <w:p w:rsidR="006A2960" w:rsidRPr="00AC4ED5" w:rsidRDefault="006A2960" w:rsidP="006A2960">
      <w:pPr>
        <w:pStyle w:val="AmNumberTabs"/>
      </w:pPr>
      <w:r w:rsidRPr="00AC4ED5">
        <w:t>Enmienda</w:t>
      </w:r>
      <w:r w:rsidRPr="00AC4ED5">
        <w:tab/>
      </w:r>
      <w:r w:rsidRPr="00AC4ED5">
        <w:tab/>
        <w:t>14</w:t>
      </w:r>
    </w:p>
    <w:p w:rsidR="006A2960" w:rsidRPr="00AC4ED5" w:rsidRDefault="006A2960" w:rsidP="006A2960"/>
    <w:p w:rsidR="006A2960" w:rsidRPr="00AC4ED5" w:rsidRDefault="006A2960" w:rsidP="006A2960">
      <w:pPr>
        <w:pStyle w:val="NormalBold"/>
        <w:keepNext/>
      </w:pPr>
      <w:r w:rsidRPr="00AC4ED5">
        <w:t>Propuesta de Reglamento</w:t>
      </w:r>
    </w:p>
    <w:p w:rsidR="006A2960" w:rsidRPr="00AC4ED5" w:rsidRDefault="006A2960" w:rsidP="006A2960">
      <w:pPr>
        <w:pStyle w:val="NormalBold"/>
      </w:pPr>
      <w:r w:rsidRPr="00AC4ED5">
        <w:t>Artículo 4 – párrafo 1 – punto 5 – letra c</w:t>
      </w:r>
    </w:p>
    <w:p w:rsidR="006A2960" w:rsidRPr="00AC4ED5" w:rsidRDefault="006A2960" w:rsidP="006A2960">
      <w:pPr>
        <w:keepNext/>
      </w:pPr>
      <w:r w:rsidRPr="00AC4ED5">
        <w:t>Reglamento (UE) 2019/1021</w:t>
      </w:r>
    </w:p>
    <w:p w:rsidR="006A2960" w:rsidRPr="00AC4ED5" w:rsidRDefault="006A2960" w:rsidP="006A2960">
      <w:r w:rsidRPr="00AC4ED5">
        <w:t>Artículo 18 – apartado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2960" w:rsidRPr="00AC4ED5" w:rsidTr="00224BC5">
        <w:trPr>
          <w:jc w:val="center"/>
        </w:trPr>
        <w:tc>
          <w:tcPr>
            <w:tcW w:w="9752" w:type="dxa"/>
            <w:gridSpan w:val="2"/>
          </w:tcPr>
          <w:p w:rsidR="006A2960" w:rsidRPr="00AC4ED5" w:rsidRDefault="006A2960" w:rsidP="00224BC5">
            <w:pPr>
              <w:keepNext/>
            </w:pPr>
          </w:p>
        </w:tc>
      </w:tr>
      <w:tr w:rsidR="006A2960" w:rsidRPr="00AC4ED5" w:rsidTr="00224BC5">
        <w:trPr>
          <w:jc w:val="center"/>
        </w:trPr>
        <w:tc>
          <w:tcPr>
            <w:tcW w:w="4876" w:type="dxa"/>
            <w:hideMark/>
          </w:tcPr>
          <w:p w:rsidR="006A2960" w:rsidRPr="00AC4ED5" w:rsidRDefault="006A2960" w:rsidP="00224BC5">
            <w:pPr>
              <w:pStyle w:val="ColumnHeading"/>
              <w:keepNext/>
              <w:rPr>
                <w:lang w:val="es-ES_tradnl"/>
              </w:rPr>
            </w:pPr>
            <w:r w:rsidRPr="00AC4ED5">
              <w:rPr>
                <w:lang w:val="es-ES_tradnl"/>
              </w:rPr>
              <w:t>Texto de la Comisión</w:t>
            </w:r>
          </w:p>
        </w:tc>
        <w:tc>
          <w:tcPr>
            <w:tcW w:w="4876" w:type="dxa"/>
            <w:hideMark/>
          </w:tcPr>
          <w:p w:rsidR="006A2960" w:rsidRPr="00AC4ED5" w:rsidRDefault="006A2960" w:rsidP="00224BC5">
            <w:pPr>
              <w:pStyle w:val="ColumnHeading"/>
              <w:keepNext/>
              <w:rPr>
                <w:lang w:val="es-ES_tradnl"/>
              </w:rPr>
            </w:pPr>
            <w:r w:rsidRPr="00AC4ED5">
              <w:rPr>
                <w:lang w:val="es-ES_tradnl"/>
              </w:rPr>
              <w:t>Enmienda</w:t>
            </w:r>
          </w:p>
        </w:tc>
      </w:tr>
      <w:tr w:rsidR="006A2960" w:rsidRPr="00AC4ED5" w:rsidTr="00224BC5">
        <w:trPr>
          <w:jc w:val="center"/>
        </w:trPr>
        <w:tc>
          <w:tcPr>
            <w:tcW w:w="4876" w:type="dxa"/>
            <w:hideMark/>
          </w:tcPr>
          <w:p w:rsidR="006A2960" w:rsidRPr="00AC4ED5" w:rsidRDefault="006A2960" w:rsidP="00224BC5">
            <w:pPr>
              <w:pStyle w:val="Normal6"/>
              <w:rPr>
                <w:lang w:val="es-ES_tradnl"/>
              </w:rPr>
            </w:pPr>
            <w:r w:rsidRPr="00AC4ED5">
              <w:rPr>
                <w:lang w:val="es-ES_tradnl"/>
              </w:rPr>
              <w:t>6.</w:t>
            </w:r>
            <w:r w:rsidRPr="00AC4ED5">
              <w:rPr>
                <w:lang w:val="es-ES_tradnl"/>
              </w:rPr>
              <w:tab/>
              <w:t>Los actos delegados adoptados en virtud del artículo 4, apartado 3, el artículo 10, apartado 2, y el artículo 15 entrarán en vigor únicamente si, en un plazo de dos meses a partir de su notificación al Parlamento Europeo y al Consejo, ninguna de estas instituciones formula objeciones o si, antes del vencimiento de dicho plazo, ambas informan a la Comisión de que no las formularán.</w:t>
            </w:r>
          </w:p>
        </w:tc>
        <w:tc>
          <w:tcPr>
            <w:tcW w:w="4876" w:type="dxa"/>
            <w:hideMark/>
          </w:tcPr>
          <w:p w:rsidR="006A2960" w:rsidRPr="00AC4ED5" w:rsidRDefault="006A2960" w:rsidP="00224BC5">
            <w:pPr>
              <w:pStyle w:val="Normal6"/>
              <w:rPr>
                <w:szCs w:val="24"/>
                <w:lang w:val="es-ES_tradnl"/>
              </w:rPr>
            </w:pPr>
            <w:r w:rsidRPr="00AC4ED5">
              <w:rPr>
                <w:lang w:val="es-ES_tradnl"/>
              </w:rPr>
              <w:t>6.</w:t>
            </w:r>
            <w:r w:rsidRPr="00AC4ED5">
              <w:rPr>
                <w:lang w:val="es-ES_tradnl"/>
              </w:rPr>
              <w:tab/>
              <w:t xml:space="preserve">Los actos delegados adoptados en virtud del artículo 4, apartado 3, el artículo 10, apartado 2, y el artículo 15 entrarán en vigor únicamente si, en un plazo de dos meses a partir de su notificación al Parlamento Europeo y al Consejo, ninguna de estas instituciones formula objeciones o si, antes del vencimiento de dicho plazo, ambas informan a la Comisión de que no las formularán. </w:t>
            </w:r>
            <w:r w:rsidRPr="00AC4ED5">
              <w:rPr>
                <w:b/>
                <w:i/>
                <w:lang w:val="es-ES_tradnl"/>
              </w:rPr>
              <w:t>El plazo podrá prorrogarse dos meses a iniciativa del Parlamento Europeo o del Consejo.</w:t>
            </w:r>
          </w:p>
        </w:tc>
      </w:tr>
    </w:tbl>
    <w:p w:rsidR="006A2960" w:rsidRPr="00AC4ED5" w:rsidRDefault="006A2960" w:rsidP="006A2960"/>
    <w:p w:rsidR="006A2960" w:rsidRPr="00AC4ED5" w:rsidRDefault="006A2960" w:rsidP="006A2960">
      <w:pPr>
        <w:pStyle w:val="AmNumberTabs"/>
      </w:pPr>
      <w:r w:rsidRPr="00AC4ED5">
        <w:t>Enmienda</w:t>
      </w:r>
      <w:r w:rsidRPr="00AC4ED5">
        <w:tab/>
        <w:t>15</w:t>
      </w:r>
    </w:p>
    <w:p w:rsidR="006A2960" w:rsidRPr="00AC4ED5" w:rsidRDefault="006A2960" w:rsidP="006A2960">
      <w:pPr>
        <w:rPr>
          <w:b/>
        </w:rPr>
      </w:pPr>
      <w:r w:rsidRPr="00AC4ED5">
        <w:t>Propuesta de Reglamento</w:t>
      </w:r>
    </w:p>
    <w:p w:rsidR="006A2960" w:rsidRPr="00AC4ED5" w:rsidRDefault="006A2960" w:rsidP="006A2960">
      <w:pPr>
        <w:pStyle w:val="NormalBold"/>
      </w:pPr>
      <w:r w:rsidRPr="00AC4ED5">
        <w:t>Artículo 4 – párrafo 1 – punto 5 – letra c bis (nueva)</w:t>
      </w:r>
    </w:p>
    <w:p w:rsidR="006A2960" w:rsidRPr="00AC4ED5" w:rsidRDefault="006A2960" w:rsidP="006A2960">
      <w:r w:rsidRPr="00AC4ED5">
        <w:t>Reglamento (UE) 2019/1021</w:t>
      </w:r>
    </w:p>
    <w:p w:rsidR="006A2960" w:rsidRPr="00AC4ED5" w:rsidRDefault="006A2960" w:rsidP="006A2960">
      <w:r w:rsidRPr="00AC4ED5">
        <w:t>Anexo IV - tabla 1 - fila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6A2960" w:rsidRPr="00AC4ED5" w:rsidTr="00224BC5">
        <w:tc>
          <w:tcPr>
            <w:tcW w:w="9060" w:type="dxa"/>
            <w:gridSpan w:val="4"/>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AmColumnHeading"/>
              <w:keepNext/>
            </w:pPr>
            <w:r w:rsidRPr="00AC4ED5">
              <w:t>Texto en vigor</w:t>
            </w:r>
          </w:p>
        </w:tc>
      </w:tr>
      <w:tr w:rsidR="006A2960" w:rsidRPr="00AC4ED5" w:rsidTr="00224BC5">
        <w:tc>
          <w:tcPr>
            <w:tcW w:w="2265"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Alcanos de C10-C13, cloro (parafinas cloradas de cadena corta) (PCCC)</w:t>
            </w:r>
          </w:p>
        </w:tc>
        <w:tc>
          <w:tcPr>
            <w:tcW w:w="1558"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85535-84-8</w:t>
            </w:r>
          </w:p>
        </w:tc>
        <w:tc>
          <w:tcPr>
            <w:tcW w:w="1417"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287-476-5</w:t>
            </w:r>
          </w:p>
        </w:tc>
        <w:tc>
          <w:tcPr>
            <w:tcW w:w="3820"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1 500 mg/kg</w:t>
            </w:r>
          </w:p>
          <w:p w:rsidR="006A2960" w:rsidRPr="00AC4ED5" w:rsidRDefault="006A2960" w:rsidP="00224BC5">
            <w:pPr>
              <w:pStyle w:val="Normal6a"/>
            </w:pPr>
            <w:r w:rsidRPr="00AC4ED5">
              <w:t xml:space="preserve">La Comisión revisará dicho límite de concentración y, cuando proceda, adoptará </w:t>
            </w:r>
            <w:r w:rsidRPr="00AC4ED5">
              <w:rPr>
                <w:b/>
                <w:i/>
              </w:rPr>
              <w:t>una propuesta legislativa</w:t>
            </w:r>
            <w:r w:rsidRPr="00AC4ED5">
              <w:t xml:space="preserve"> para reducir dicho valor </w:t>
            </w:r>
            <w:r w:rsidRPr="00AC4ED5">
              <w:rPr>
                <w:b/>
                <w:i/>
              </w:rPr>
              <w:t>a más tardar el 30 de diciembre de 2027</w:t>
            </w:r>
            <w:r w:rsidRPr="00AC4ED5">
              <w:t>.</w:t>
            </w:r>
          </w:p>
        </w:tc>
      </w:tr>
    </w:tbl>
    <w:p w:rsidR="006A2960" w:rsidRPr="00AC4ED5" w:rsidRDefault="006A2960" w:rsidP="006A296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6A2960" w:rsidRPr="00AC4ED5" w:rsidTr="00224BC5">
        <w:tc>
          <w:tcPr>
            <w:tcW w:w="9060" w:type="dxa"/>
            <w:gridSpan w:val="4"/>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AmColumnHeading"/>
            </w:pPr>
            <w:r w:rsidRPr="00AC4ED5">
              <w:t>Enmienda</w:t>
            </w:r>
          </w:p>
        </w:tc>
      </w:tr>
      <w:tr w:rsidR="006A2960" w:rsidRPr="00AC4ED5" w:rsidTr="00224BC5">
        <w:tc>
          <w:tcPr>
            <w:tcW w:w="9060" w:type="dxa"/>
            <w:gridSpan w:val="4"/>
            <w:tcBorders>
              <w:top w:val="single" w:sz="4" w:space="0" w:color="auto"/>
              <w:left w:val="single" w:sz="4" w:space="0" w:color="auto"/>
              <w:bottom w:val="single" w:sz="4" w:space="0" w:color="auto"/>
              <w:right w:val="single" w:sz="4" w:space="0" w:color="auto"/>
            </w:tcBorders>
          </w:tcPr>
          <w:p w:rsidR="006A2960" w:rsidRPr="00AC4ED5" w:rsidRDefault="006A2960" w:rsidP="00224BC5">
            <w:pPr>
              <w:pStyle w:val="AmColumnHeading"/>
              <w:jc w:val="left"/>
              <w:rPr>
                <w:b/>
              </w:rPr>
            </w:pPr>
            <w:r w:rsidRPr="00AC4ED5">
              <w:rPr>
                <w:b/>
              </w:rPr>
              <w:t>c bis)</w:t>
            </w:r>
            <w:r w:rsidRPr="00AC4ED5">
              <w:rPr>
                <w:b/>
              </w:rPr>
              <w:tab/>
              <w:t>En el anexo IV, cuadro 1, la línea 5 se sustituye por el texto siguiente:</w:t>
            </w:r>
          </w:p>
        </w:tc>
      </w:tr>
      <w:tr w:rsidR="006A2960" w:rsidRPr="00AC4ED5" w:rsidTr="00224BC5">
        <w:tc>
          <w:tcPr>
            <w:tcW w:w="2265"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Alcanos de C10-C13, cloro (parafinas cloradas de cadena corta) (PCCC)</w:t>
            </w:r>
          </w:p>
        </w:tc>
        <w:tc>
          <w:tcPr>
            <w:tcW w:w="1558"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85535-84-8</w:t>
            </w:r>
          </w:p>
        </w:tc>
        <w:tc>
          <w:tcPr>
            <w:tcW w:w="1417"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287-476-5</w:t>
            </w:r>
          </w:p>
        </w:tc>
        <w:tc>
          <w:tcPr>
            <w:tcW w:w="3820"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1 500 mg/kg</w:t>
            </w:r>
          </w:p>
          <w:p w:rsidR="006A2960" w:rsidRPr="00AC4ED5" w:rsidRDefault="006A2960" w:rsidP="00224BC5">
            <w:pPr>
              <w:pStyle w:val="Normal6a"/>
            </w:pPr>
            <w:r w:rsidRPr="00AC4ED5">
              <w:rPr>
                <w:b/>
                <w:i/>
              </w:rPr>
              <w:t>A más tardar el 30 de diciembre de 2027,</w:t>
            </w:r>
            <w:r w:rsidRPr="00AC4ED5">
              <w:t xml:space="preserve"> la Comisión revisará dicho límite de concentración y, cuando proceda, adoptará </w:t>
            </w:r>
            <w:r w:rsidRPr="00AC4ED5">
              <w:rPr>
                <w:b/>
                <w:i/>
              </w:rPr>
              <w:t>un acto delegado de conformidad con el artículo 15, apartado 2,</w:t>
            </w:r>
            <w:r w:rsidRPr="00AC4ED5">
              <w:t xml:space="preserve"> para reducir dicho valor.</w:t>
            </w:r>
          </w:p>
        </w:tc>
      </w:tr>
    </w:tbl>
    <w:p w:rsidR="006A2960" w:rsidRPr="00AC4ED5" w:rsidRDefault="006A2960" w:rsidP="006A2960"/>
    <w:p w:rsidR="006A2960" w:rsidRPr="00AC4ED5" w:rsidRDefault="006A2960" w:rsidP="006A2960">
      <w:pPr>
        <w:pStyle w:val="AmNumberTabs"/>
      </w:pPr>
      <w:r w:rsidRPr="00AC4ED5">
        <w:t>Enmienda</w:t>
      </w:r>
      <w:r w:rsidRPr="00AC4ED5">
        <w:tab/>
        <w:t>16</w:t>
      </w:r>
    </w:p>
    <w:p w:rsidR="006A2960" w:rsidRPr="00AC4ED5" w:rsidRDefault="006A2960" w:rsidP="006A2960">
      <w:pPr>
        <w:pStyle w:val="NormalBold"/>
      </w:pPr>
      <w:r w:rsidRPr="00AC4ED5">
        <w:t>Propuesta de Reglamento</w:t>
      </w:r>
    </w:p>
    <w:p w:rsidR="006A2960" w:rsidRPr="00AC4ED5" w:rsidRDefault="006A2960" w:rsidP="006A2960">
      <w:pPr>
        <w:pStyle w:val="NormalBold"/>
      </w:pPr>
      <w:r w:rsidRPr="00AC4ED5">
        <w:t>Artículo 4 – párrafo 1 – punto 5 – letra c ter (nueva)</w:t>
      </w:r>
    </w:p>
    <w:p w:rsidR="006A2960" w:rsidRPr="00AC4ED5" w:rsidRDefault="006A2960" w:rsidP="006A2960">
      <w:r w:rsidRPr="00AC4ED5">
        <w:t>Reglamento (UE) 2019/1021</w:t>
      </w:r>
    </w:p>
    <w:p w:rsidR="006A2960" w:rsidRPr="00AC4ED5" w:rsidRDefault="006A2960" w:rsidP="006A2960">
      <w:r w:rsidRPr="00AC4ED5">
        <w:t>Anexo IV - tabla 1 - fila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6A2960" w:rsidRPr="00AC4ED5" w:rsidTr="00224BC5">
        <w:tc>
          <w:tcPr>
            <w:tcW w:w="9060" w:type="dxa"/>
            <w:gridSpan w:val="4"/>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AmColumnHeading"/>
            </w:pPr>
            <w:r w:rsidRPr="00AC4ED5">
              <w:t>Texto en vigor</w:t>
            </w:r>
          </w:p>
        </w:tc>
      </w:tr>
      <w:tr w:rsidR="006A2960" w:rsidRPr="00AC4ED5" w:rsidTr="00224BC5">
        <w:tc>
          <w:tcPr>
            <w:tcW w:w="2265"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proofErr w:type="spellStart"/>
            <w:r w:rsidRPr="00AC4ED5">
              <w:t>Dibenzoparadioxinas</w:t>
            </w:r>
            <w:proofErr w:type="spellEnd"/>
            <w:r w:rsidRPr="00AC4ED5">
              <w:t xml:space="preserve"> y </w:t>
            </w:r>
            <w:proofErr w:type="spellStart"/>
            <w:r w:rsidRPr="00AC4ED5">
              <w:t>dibenzofuranos</w:t>
            </w:r>
            <w:proofErr w:type="spellEnd"/>
            <w:r w:rsidRPr="00AC4ED5">
              <w:t xml:space="preserve"> </w:t>
            </w:r>
            <w:proofErr w:type="spellStart"/>
            <w:r w:rsidRPr="00AC4ED5">
              <w:t>policlorados</w:t>
            </w:r>
            <w:proofErr w:type="spellEnd"/>
            <w:r w:rsidRPr="00AC4ED5">
              <w:t xml:space="preserve"> (PCDD/PCDF) y policlorobifenilos similares a las dioxinas (dl-PCB)</w:t>
            </w:r>
          </w:p>
        </w:tc>
        <w:tc>
          <w:tcPr>
            <w:tcW w:w="1558" w:type="dxa"/>
            <w:tcBorders>
              <w:top w:val="single" w:sz="4" w:space="0" w:color="auto"/>
              <w:left w:val="single" w:sz="4" w:space="0" w:color="auto"/>
              <w:bottom w:val="single" w:sz="4" w:space="0" w:color="auto"/>
              <w:right w:val="single" w:sz="4" w:space="0" w:color="auto"/>
            </w:tcBorders>
          </w:tcPr>
          <w:p w:rsidR="006A2960" w:rsidRPr="00AC4ED5" w:rsidRDefault="006A2960" w:rsidP="00224BC5">
            <w:pPr>
              <w:pStyle w:val="Normal6a"/>
            </w:pPr>
          </w:p>
        </w:tc>
        <w:tc>
          <w:tcPr>
            <w:tcW w:w="1417" w:type="dxa"/>
            <w:tcBorders>
              <w:top w:val="single" w:sz="4" w:space="0" w:color="auto"/>
              <w:left w:val="single" w:sz="4" w:space="0" w:color="auto"/>
              <w:bottom w:val="single" w:sz="4" w:space="0" w:color="auto"/>
              <w:right w:val="single" w:sz="4" w:space="0" w:color="auto"/>
            </w:tcBorders>
          </w:tcPr>
          <w:p w:rsidR="006A2960" w:rsidRPr="00AC4ED5" w:rsidRDefault="006A2960" w:rsidP="00224BC5">
            <w:pPr>
              <w:pStyle w:val="Normal6a"/>
            </w:pPr>
          </w:p>
        </w:tc>
        <w:tc>
          <w:tcPr>
            <w:tcW w:w="3820"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5 μg/kg</w:t>
            </w:r>
          </w:p>
          <w:p w:rsidR="006A2960" w:rsidRPr="00AC4ED5" w:rsidRDefault="006A2960" w:rsidP="00224BC5">
            <w:pPr>
              <w:pStyle w:val="Normal6a"/>
            </w:pPr>
            <w:r w:rsidRPr="00AC4ED5">
              <w:t xml:space="preserve">La Comisión revisará dicho límite de concentración y, cuando proceda, adoptará </w:t>
            </w:r>
            <w:r w:rsidRPr="00AC4ED5">
              <w:rPr>
                <w:b/>
                <w:i/>
              </w:rPr>
              <w:t>una propuesta legislativa</w:t>
            </w:r>
            <w:r w:rsidRPr="00AC4ED5">
              <w:t xml:space="preserve"> para reducir dicho valor</w:t>
            </w:r>
            <w:r w:rsidRPr="00AC4ED5">
              <w:rPr>
                <w:b/>
                <w:i/>
              </w:rPr>
              <w:t>, siempre que dicha reducción sea factible con arreglo al progreso científico y técnico, a más tardar el 30 de diciembre de 2027</w:t>
            </w:r>
            <w:r w:rsidRPr="00AC4ED5">
              <w:t>.</w:t>
            </w:r>
          </w:p>
        </w:tc>
      </w:tr>
    </w:tbl>
    <w:p w:rsidR="006A2960" w:rsidRPr="00AC4ED5" w:rsidRDefault="006A2960" w:rsidP="006A296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6A2960" w:rsidRPr="00AC4ED5" w:rsidTr="00224BC5">
        <w:tc>
          <w:tcPr>
            <w:tcW w:w="9060" w:type="dxa"/>
            <w:gridSpan w:val="4"/>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AmColumnHeading"/>
            </w:pPr>
            <w:r w:rsidRPr="00AC4ED5">
              <w:t>Enmienda</w:t>
            </w:r>
          </w:p>
        </w:tc>
      </w:tr>
      <w:tr w:rsidR="006A2960" w:rsidRPr="00AC4ED5" w:rsidTr="00224BC5">
        <w:tc>
          <w:tcPr>
            <w:tcW w:w="9060" w:type="dxa"/>
            <w:gridSpan w:val="4"/>
            <w:tcBorders>
              <w:top w:val="single" w:sz="4" w:space="0" w:color="auto"/>
              <w:left w:val="single" w:sz="4" w:space="0" w:color="auto"/>
              <w:bottom w:val="single" w:sz="4" w:space="0" w:color="auto"/>
              <w:right w:val="single" w:sz="4" w:space="0" w:color="auto"/>
            </w:tcBorders>
          </w:tcPr>
          <w:p w:rsidR="006A2960" w:rsidRPr="00AC4ED5" w:rsidRDefault="006A2960" w:rsidP="00224BC5">
            <w:pPr>
              <w:pStyle w:val="AmColumnHeading"/>
              <w:jc w:val="left"/>
              <w:rPr>
                <w:b/>
              </w:rPr>
            </w:pPr>
            <w:r w:rsidRPr="00AC4ED5">
              <w:rPr>
                <w:b/>
              </w:rPr>
              <w:t>c ter)</w:t>
            </w:r>
            <w:r w:rsidRPr="00AC4ED5">
              <w:rPr>
                <w:b/>
              </w:rPr>
              <w:tab/>
              <w:t>En el anexo IV, cuadro 1, la línea 12 se sustituye por el texto siguiente:</w:t>
            </w:r>
          </w:p>
        </w:tc>
      </w:tr>
      <w:tr w:rsidR="006A2960" w:rsidRPr="00AC4ED5" w:rsidTr="00224BC5">
        <w:tc>
          <w:tcPr>
            <w:tcW w:w="2265"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proofErr w:type="spellStart"/>
            <w:r w:rsidRPr="00AC4ED5">
              <w:t>Dibenzoparadioxinas</w:t>
            </w:r>
            <w:proofErr w:type="spellEnd"/>
            <w:r w:rsidRPr="00AC4ED5">
              <w:t xml:space="preserve"> y </w:t>
            </w:r>
            <w:proofErr w:type="spellStart"/>
            <w:r w:rsidRPr="00AC4ED5">
              <w:t>dibenzofuranos</w:t>
            </w:r>
            <w:proofErr w:type="spellEnd"/>
            <w:r w:rsidRPr="00AC4ED5">
              <w:t xml:space="preserve"> </w:t>
            </w:r>
            <w:proofErr w:type="spellStart"/>
            <w:r w:rsidRPr="00AC4ED5">
              <w:t>policlorados</w:t>
            </w:r>
            <w:proofErr w:type="spellEnd"/>
            <w:r w:rsidRPr="00AC4ED5">
              <w:t xml:space="preserve"> (PCDD/PCDF) y policlorobifenilos similares a las dioxinas (dl-PCB)</w:t>
            </w:r>
          </w:p>
        </w:tc>
        <w:tc>
          <w:tcPr>
            <w:tcW w:w="1558" w:type="dxa"/>
            <w:tcBorders>
              <w:top w:val="single" w:sz="4" w:space="0" w:color="auto"/>
              <w:left w:val="single" w:sz="4" w:space="0" w:color="auto"/>
              <w:bottom w:val="single" w:sz="4" w:space="0" w:color="auto"/>
              <w:right w:val="single" w:sz="4" w:space="0" w:color="auto"/>
            </w:tcBorders>
          </w:tcPr>
          <w:p w:rsidR="006A2960" w:rsidRPr="00AC4ED5" w:rsidRDefault="006A2960" w:rsidP="00224BC5">
            <w:pPr>
              <w:pStyle w:val="Normal6a"/>
            </w:pPr>
          </w:p>
        </w:tc>
        <w:tc>
          <w:tcPr>
            <w:tcW w:w="1417" w:type="dxa"/>
            <w:tcBorders>
              <w:top w:val="single" w:sz="4" w:space="0" w:color="auto"/>
              <w:left w:val="single" w:sz="4" w:space="0" w:color="auto"/>
              <w:bottom w:val="single" w:sz="4" w:space="0" w:color="auto"/>
              <w:right w:val="single" w:sz="4" w:space="0" w:color="auto"/>
            </w:tcBorders>
          </w:tcPr>
          <w:p w:rsidR="006A2960" w:rsidRPr="00AC4ED5" w:rsidRDefault="006A2960" w:rsidP="00224BC5">
            <w:pPr>
              <w:pStyle w:val="Normal6a"/>
            </w:pPr>
          </w:p>
        </w:tc>
        <w:tc>
          <w:tcPr>
            <w:tcW w:w="3820"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5 μg/kg</w:t>
            </w:r>
          </w:p>
          <w:p w:rsidR="006A2960" w:rsidRPr="00AC4ED5" w:rsidRDefault="006A2960" w:rsidP="00224BC5">
            <w:pPr>
              <w:pStyle w:val="Normal6a"/>
            </w:pPr>
            <w:r w:rsidRPr="00AC4ED5">
              <w:rPr>
                <w:b/>
                <w:i/>
              </w:rPr>
              <w:t>A más tardar el 30 de diciembre de 2027,</w:t>
            </w:r>
            <w:r w:rsidRPr="00AC4ED5">
              <w:t xml:space="preserve"> la Comisión revisará dicho límite de concentración y, cuando proceda, adoptará </w:t>
            </w:r>
            <w:r w:rsidRPr="00AC4ED5">
              <w:rPr>
                <w:b/>
                <w:i/>
              </w:rPr>
              <w:t>un acto delegado de conformidad con el artículo 15, apartado 2,</w:t>
            </w:r>
            <w:r w:rsidRPr="00AC4ED5">
              <w:t xml:space="preserve"> para reducir dicho valor.</w:t>
            </w:r>
          </w:p>
        </w:tc>
      </w:tr>
    </w:tbl>
    <w:p w:rsidR="006A2960" w:rsidRPr="00AC4ED5" w:rsidRDefault="006A2960" w:rsidP="006A2960"/>
    <w:p w:rsidR="006A2960" w:rsidRPr="00AC4ED5" w:rsidRDefault="006A2960" w:rsidP="006A2960">
      <w:pPr>
        <w:pStyle w:val="AmNumberTabs"/>
      </w:pPr>
      <w:r w:rsidRPr="00AC4ED5">
        <w:t>Enmienda</w:t>
      </w:r>
      <w:r w:rsidRPr="00AC4ED5">
        <w:tab/>
        <w:t>17</w:t>
      </w:r>
    </w:p>
    <w:p w:rsidR="006A2960" w:rsidRPr="00AC4ED5" w:rsidRDefault="006A2960" w:rsidP="006A2960">
      <w:pPr>
        <w:rPr>
          <w:b/>
        </w:rPr>
      </w:pPr>
      <w:r w:rsidRPr="00AC4ED5">
        <w:t>Propuesta de Reglamento</w:t>
      </w:r>
    </w:p>
    <w:p w:rsidR="006A2960" w:rsidRPr="00AC4ED5" w:rsidRDefault="006A2960" w:rsidP="006A2960">
      <w:pPr>
        <w:pStyle w:val="NormalBold"/>
      </w:pPr>
      <w:r w:rsidRPr="00AC4ED5">
        <w:t>Artículo 4 – párrafo 1 – punto 5 – letra c quater (nueva)</w:t>
      </w:r>
    </w:p>
    <w:p w:rsidR="006A2960" w:rsidRPr="00AC4ED5" w:rsidRDefault="006A2960" w:rsidP="006A2960">
      <w:r w:rsidRPr="00AC4ED5">
        <w:t>Reglamento (UE) 2019/1021</w:t>
      </w:r>
    </w:p>
    <w:p w:rsidR="006A2960" w:rsidRPr="00AC4ED5" w:rsidRDefault="006A2960" w:rsidP="006A2960">
      <w:r w:rsidRPr="00AC4ED5">
        <w:t>Anexo IV - tabla 1 - fila 27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6A2960" w:rsidRPr="00AC4ED5" w:rsidTr="00224BC5">
        <w:tc>
          <w:tcPr>
            <w:tcW w:w="9060" w:type="dxa"/>
            <w:gridSpan w:val="4"/>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AmColumnHeading"/>
            </w:pPr>
            <w:r w:rsidRPr="00AC4ED5">
              <w:t>Texto en vigor</w:t>
            </w:r>
          </w:p>
        </w:tc>
      </w:tr>
      <w:tr w:rsidR="006A2960" w:rsidRPr="00AC4ED5" w:rsidTr="00224BC5">
        <w:tc>
          <w:tcPr>
            <w:tcW w:w="3115"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Hexabromociclododecano</w:t>
            </w:r>
            <w:r w:rsidR="00745B8F" w:rsidRPr="00AC4ED5">
              <w:rPr>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247-148-4</w:t>
            </w:r>
            <w:r w:rsidRPr="00AC4ED5">
              <w:br/>
              <w:t>221-695-9</w:t>
            </w:r>
          </w:p>
        </w:tc>
        <w:tc>
          <w:tcPr>
            <w:tcW w:w="3278"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500 mg/kg</w:t>
            </w:r>
          </w:p>
          <w:p w:rsidR="006A2960" w:rsidRPr="00AC4ED5" w:rsidRDefault="006A2960" w:rsidP="00224BC5">
            <w:pPr>
              <w:pStyle w:val="Normal6a"/>
            </w:pPr>
            <w:r w:rsidRPr="00AC4ED5">
              <w:t xml:space="preserve">La Comisión revisará dicho límite de concentración y, cuando proceda, adoptará </w:t>
            </w:r>
            <w:r w:rsidRPr="00AC4ED5">
              <w:rPr>
                <w:b/>
                <w:i/>
              </w:rPr>
              <w:t>una propuesta legislativa</w:t>
            </w:r>
            <w:r w:rsidRPr="00AC4ED5">
              <w:t xml:space="preserve"> para reducir dicho valor, sin que supere los 200 mg/kg</w:t>
            </w:r>
            <w:r w:rsidRPr="00AC4ED5">
              <w:rPr>
                <w:b/>
                <w:i/>
              </w:rPr>
              <w:t>, a más tardar el 30 de diciembre de 2027</w:t>
            </w:r>
            <w:r w:rsidRPr="00AC4ED5">
              <w:t>.</w:t>
            </w:r>
          </w:p>
        </w:tc>
      </w:tr>
      <w:tr w:rsidR="006A2960" w:rsidRPr="00AC4ED5" w:rsidTr="00224BC5">
        <w:tc>
          <w:tcPr>
            <w:tcW w:w="3115" w:type="dxa"/>
            <w:tcBorders>
              <w:top w:val="single" w:sz="4" w:space="0" w:color="auto"/>
              <w:left w:val="single" w:sz="4" w:space="0" w:color="auto"/>
              <w:bottom w:val="single" w:sz="4" w:space="0" w:color="auto"/>
              <w:right w:val="single" w:sz="4" w:space="0" w:color="auto"/>
            </w:tcBorders>
            <w:hideMark/>
          </w:tcPr>
          <w:p w:rsidR="006A2960" w:rsidRPr="00AC4ED5" w:rsidRDefault="006A2960" w:rsidP="00745B8F">
            <w:pPr>
              <w:pStyle w:val="Normal6a"/>
              <w:tabs>
                <w:tab w:val="left" w:pos="314"/>
              </w:tabs>
              <w:rPr>
                <w:sz w:val="20"/>
              </w:rPr>
            </w:pPr>
            <w:r w:rsidRPr="00AC4ED5">
              <w:rPr>
                <w:sz w:val="20"/>
              </w:rPr>
              <w:t>(</w:t>
            </w:r>
            <w:r w:rsidRPr="00AC4ED5">
              <w:rPr>
                <w:sz w:val="20"/>
                <w:vertAlign w:val="superscript"/>
              </w:rPr>
              <w:t>4</w:t>
            </w:r>
            <w:r w:rsidRPr="00AC4ED5">
              <w:rPr>
                <w:sz w:val="20"/>
              </w:rPr>
              <w:t>)</w:t>
            </w:r>
            <w:r w:rsidRPr="00AC4ED5">
              <w:rPr>
                <w:sz w:val="20"/>
              </w:rPr>
              <w:tab/>
            </w:r>
            <w:r w:rsidR="00745B8F" w:rsidRPr="00AC4ED5">
              <w:rPr>
                <w:sz w:val="20"/>
                <w:shd w:val="clear" w:color="auto" w:fill="FFFFFF"/>
              </w:rPr>
              <w:t>Por «</w:t>
            </w:r>
            <w:proofErr w:type="spellStart"/>
            <w:r w:rsidR="00745B8F" w:rsidRPr="00AC4ED5">
              <w:rPr>
                <w:sz w:val="20"/>
                <w:shd w:val="clear" w:color="auto" w:fill="FFFFFF"/>
              </w:rPr>
              <w:t>hexabromociclododecano</w:t>
            </w:r>
            <w:proofErr w:type="spellEnd"/>
            <w:r w:rsidR="00745B8F" w:rsidRPr="00AC4ED5">
              <w:rPr>
                <w:sz w:val="20"/>
                <w:shd w:val="clear" w:color="auto" w:fill="FFFFFF"/>
              </w:rPr>
              <w:t xml:space="preserve">» se entiende </w:t>
            </w:r>
            <w:proofErr w:type="spellStart"/>
            <w:r w:rsidR="00745B8F" w:rsidRPr="00AC4ED5">
              <w:rPr>
                <w:sz w:val="20"/>
                <w:shd w:val="clear" w:color="auto" w:fill="FFFFFF"/>
              </w:rPr>
              <w:t>hexabromociclododecano</w:t>
            </w:r>
            <w:proofErr w:type="spellEnd"/>
            <w:r w:rsidR="00745B8F" w:rsidRPr="00AC4ED5">
              <w:rPr>
                <w:sz w:val="20"/>
                <w:shd w:val="clear" w:color="auto" w:fill="FFFFFF"/>
              </w:rPr>
              <w:t xml:space="preserve">, 1,2,5,6,9,10-hexabromociclododecano y sus </w:t>
            </w:r>
            <w:proofErr w:type="spellStart"/>
            <w:r w:rsidR="00745B8F" w:rsidRPr="00AC4ED5">
              <w:rPr>
                <w:sz w:val="20"/>
                <w:shd w:val="clear" w:color="auto" w:fill="FFFFFF"/>
              </w:rPr>
              <w:t>diastereoisómeros</w:t>
            </w:r>
            <w:proofErr w:type="spellEnd"/>
            <w:r w:rsidR="00745B8F" w:rsidRPr="00AC4ED5">
              <w:rPr>
                <w:sz w:val="20"/>
                <w:shd w:val="clear" w:color="auto" w:fill="FFFFFF"/>
              </w:rPr>
              <w:t xml:space="preserve"> principales: alfa-</w:t>
            </w:r>
            <w:proofErr w:type="spellStart"/>
            <w:r w:rsidR="00745B8F" w:rsidRPr="00AC4ED5">
              <w:rPr>
                <w:sz w:val="20"/>
                <w:shd w:val="clear" w:color="auto" w:fill="FFFFFF"/>
              </w:rPr>
              <w:t>hexabromociclododecano</w:t>
            </w:r>
            <w:proofErr w:type="spellEnd"/>
            <w:r w:rsidR="00745B8F" w:rsidRPr="00AC4ED5">
              <w:rPr>
                <w:sz w:val="20"/>
                <w:shd w:val="clear" w:color="auto" w:fill="FFFFFF"/>
              </w:rPr>
              <w:t>, beta-</w:t>
            </w:r>
            <w:proofErr w:type="spellStart"/>
            <w:r w:rsidR="00745B8F" w:rsidRPr="00AC4ED5">
              <w:rPr>
                <w:sz w:val="20"/>
                <w:shd w:val="clear" w:color="auto" w:fill="FFFFFF"/>
              </w:rPr>
              <w:t>hexabromociclododecano</w:t>
            </w:r>
            <w:proofErr w:type="spellEnd"/>
            <w:r w:rsidR="00745B8F" w:rsidRPr="00AC4ED5">
              <w:rPr>
                <w:sz w:val="20"/>
                <w:shd w:val="clear" w:color="auto" w:fill="FFFFFF"/>
              </w:rPr>
              <w:t xml:space="preserve"> y gama-</w:t>
            </w:r>
            <w:proofErr w:type="spellStart"/>
            <w:r w:rsidR="00745B8F" w:rsidRPr="00AC4ED5">
              <w:rPr>
                <w:sz w:val="20"/>
                <w:shd w:val="clear" w:color="auto" w:fill="FFFFFF"/>
              </w:rPr>
              <w:t>hexabromociclododecano</w:t>
            </w:r>
            <w:proofErr w:type="spellEnd"/>
            <w:r w:rsidRPr="00AC4ED5">
              <w:rPr>
                <w:sz w:val="20"/>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rsidR="006A2960" w:rsidRPr="00AC4ED5" w:rsidRDefault="006A2960" w:rsidP="00224BC5">
            <w:pPr>
              <w:pStyle w:val="Normal6a"/>
            </w:pPr>
          </w:p>
        </w:tc>
        <w:tc>
          <w:tcPr>
            <w:tcW w:w="1237" w:type="dxa"/>
            <w:tcBorders>
              <w:top w:val="single" w:sz="4" w:space="0" w:color="auto"/>
              <w:left w:val="single" w:sz="4" w:space="0" w:color="auto"/>
              <w:bottom w:val="single" w:sz="4" w:space="0" w:color="auto"/>
              <w:right w:val="single" w:sz="4" w:space="0" w:color="auto"/>
            </w:tcBorders>
          </w:tcPr>
          <w:p w:rsidR="006A2960" w:rsidRPr="00AC4ED5" w:rsidRDefault="006A2960" w:rsidP="00224BC5">
            <w:pPr>
              <w:pStyle w:val="Normal6a"/>
            </w:pPr>
          </w:p>
        </w:tc>
        <w:tc>
          <w:tcPr>
            <w:tcW w:w="3278" w:type="dxa"/>
            <w:tcBorders>
              <w:top w:val="single" w:sz="4" w:space="0" w:color="auto"/>
              <w:left w:val="single" w:sz="4" w:space="0" w:color="auto"/>
              <w:bottom w:val="single" w:sz="4" w:space="0" w:color="auto"/>
              <w:right w:val="single" w:sz="4" w:space="0" w:color="auto"/>
            </w:tcBorders>
          </w:tcPr>
          <w:p w:rsidR="006A2960" w:rsidRPr="00AC4ED5" w:rsidRDefault="006A2960" w:rsidP="00224BC5">
            <w:pPr>
              <w:pStyle w:val="Normal6a"/>
            </w:pPr>
          </w:p>
        </w:tc>
      </w:tr>
    </w:tbl>
    <w:p w:rsidR="006A2960" w:rsidRPr="00AC4ED5" w:rsidRDefault="006A2960" w:rsidP="006A296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6A2960" w:rsidRPr="00AC4ED5" w:rsidTr="00224BC5">
        <w:tc>
          <w:tcPr>
            <w:tcW w:w="9060" w:type="dxa"/>
            <w:gridSpan w:val="4"/>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AmColumnHeading"/>
            </w:pPr>
            <w:r w:rsidRPr="00AC4ED5">
              <w:t>Enmienda</w:t>
            </w:r>
          </w:p>
        </w:tc>
      </w:tr>
      <w:tr w:rsidR="006A2960" w:rsidRPr="00AC4ED5" w:rsidTr="00224BC5">
        <w:tc>
          <w:tcPr>
            <w:tcW w:w="9060" w:type="dxa"/>
            <w:gridSpan w:val="4"/>
            <w:tcBorders>
              <w:top w:val="single" w:sz="4" w:space="0" w:color="auto"/>
              <w:left w:val="single" w:sz="4" w:space="0" w:color="auto"/>
              <w:bottom w:val="single" w:sz="4" w:space="0" w:color="auto"/>
              <w:right w:val="single" w:sz="4" w:space="0" w:color="auto"/>
            </w:tcBorders>
          </w:tcPr>
          <w:p w:rsidR="006A2960" w:rsidRPr="00AC4ED5" w:rsidRDefault="006A2960" w:rsidP="00224BC5">
            <w:pPr>
              <w:pStyle w:val="AmColumnHeading"/>
              <w:jc w:val="left"/>
              <w:rPr>
                <w:b/>
              </w:rPr>
            </w:pPr>
            <w:r w:rsidRPr="00AC4ED5">
              <w:rPr>
                <w:b/>
              </w:rPr>
              <w:t>c quater)</w:t>
            </w:r>
            <w:r w:rsidRPr="00AC4ED5">
              <w:rPr>
                <w:b/>
              </w:rPr>
              <w:tab/>
              <w:t>En el anexo IV, cuadro 1, la línea 27 se sustituye por el texto siguiente:</w:t>
            </w:r>
          </w:p>
        </w:tc>
      </w:tr>
      <w:tr w:rsidR="006A2960" w:rsidRPr="00AC4ED5" w:rsidTr="00224BC5">
        <w:tc>
          <w:tcPr>
            <w:tcW w:w="3115"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Hexabromociclododecano</w:t>
            </w:r>
            <w:r w:rsidR="00745B8F" w:rsidRPr="00AC4ED5">
              <w:rPr>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247-148-4</w:t>
            </w:r>
            <w:r w:rsidRPr="00AC4ED5">
              <w:br/>
              <w:t>221-695-9</w:t>
            </w:r>
          </w:p>
        </w:tc>
        <w:tc>
          <w:tcPr>
            <w:tcW w:w="3278"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500 mg/kg</w:t>
            </w:r>
          </w:p>
          <w:p w:rsidR="006A2960" w:rsidRPr="00AC4ED5" w:rsidRDefault="006A2960" w:rsidP="00224BC5">
            <w:pPr>
              <w:pStyle w:val="Normal6a"/>
            </w:pPr>
            <w:r w:rsidRPr="00AC4ED5">
              <w:rPr>
                <w:b/>
                <w:i/>
              </w:rPr>
              <w:t>A más tardar el 30 de diciembre de 2027,</w:t>
            </w:r>
            <w:r w:rsidRPr="00AC4ED5">
              <w:t xml:space="preserve"> la Comisión revisará dicho límite de concentración y, cuando proceda, adoptará </w:t>
            </w:r>
            <w:r w:rsidRPr="00AC4ED5">
              <w:rPr>
                <w:b/>
                <w:i/>
              </w:rPr>
              <w:t>un acto delegado de conformidad con el artículo 15, apartado 2,</w:t>
            </w:r>
            <w:r w:rsidRPr="00AC4ED5">
              <w:t xml:space="preserve"> para reducir dicho valor, sin que supere los 200 mg/kg.</w:t>
            </w:r>
          </w:p>
        </w:tc>
      </w:tr>
      <w:tr w:rsidR="006A2960" w:rsidRPr="00AC4ED5" w:rsidTr="00224BC5">
        <w:tc>
          <w:tcPr>
            <w:tcW w:w="3115" w:type="dxa"/>
            <w:tcBorders>
              <w:top w:val="single" w:sz="4" w:space="0" w:color="auto"/>
              <w:left w:val="single" w:sz="4" w:space="0" w:color="auto"/>
              <w:bottom w:val="single" w:sz="4" w:space="0" w:color="auto"/>
              <w:right w:val="single" w:sz="4" w:space="0" w:color="auto"/>
            </w:tcBorders>
            <w:hideMark/>
          </w:tcPr>
          <w:p w:rsidR="006A2960" w:rsidRPr="00AC4ED5" w:rsidRDefault="006A2960" w:rsidP="00745B8F">
            <w:pPr>
              <w:pStyle w:val="Normal6a"/>
              <w:tabs>
                <w:tab w:val="left" w:pos="314"/>
              </w:tabs>
              <w:rPr>
                <w:sz w:val="20"/>
              </w:rPr>
            </w:pPr>
            <w:r w:rsidRPr="00AC4ED5">
              <w:rPr>
                <w:sz w:val="20"/>
              </w:rPr>
              <w:t>(</w:t>
            </w:r>
            <w:r w:rsidRPr="00AC4ED5">
              <w:rPr>
                <w:sz w:val="20"/>
                <w:vertAlign w:val="superscript"/>
              </w:rPr>
              <w:t>4</w:t>
            </w:r>
            <w:r w:rsidRPr="00AC4ED5">
              <w:rPr>
                <w:sz w:val="20"/>
              </w:rPr>
              <w:t>)</w:t>
            </w:r>
            <w:r w:rsidRPr="00AC4ED5">
              <w:rPr>
                <w:sz w:val="20"/>
              </w:rPr>
              <w:tab/>
            </w:r>
            <w:r w:rsidR="00745B8F" w:rsidRPr="00AC4ED5">
              <w:rPr>
                <w:sz w:val="20"/>
                <w:shd w:val="clear" w:color="auto" w:fill="FFFFFF"/>
              </w:rPr>
              <w:t>Por «</w:t>
            </w:r>
            <w:proofErr w:type="spellStart"/>
            <w:r w:rsidR="00745B8F" w:rsidRPr="00AC4ED5">
              <w:rPr>
                <w:sz w:val="20"/>
                <w:shd w:val="clear" w:color="auto" w:fill="FFFFFF"/>
              </w:rPr>
              <w:t>hexabromociclododecano</w:t>
            </w:r>
            <w:proofErr w:type="spellEnd"/>
            <w:r w:rsidR="00745B8F" w:rsidRPr="00AC4ED5">
              <w:rPr>
                <w:sz w:val="20"/>
                <w:shd w:val="clear" w:color="auto" w:fill="FFFFFF"/>
              </w:rPr>
              <w:t xml:space="preserve">» se entiende </w:t>
            </w:r>
            <w:proofErr w:type="spellStart"/>
            <w:r w:rsidR="00745B8F" w:rsidRPr="00AC4ED5">
              <w:rPr>
                <w:sz w:val="20"/>
                <w:shd w:val="clear" w:color="auto" w:fill="FFFFFF"/>
              </w:rPr>
              <w:t>hexabromociclododecano</w:t>
            </w:r>
            <w:proofErr w:type="spellEnd"/>
            <w:r w:rsidR="00745B8F" w:rsidRPr="00AC4ED5">
              <w:rPr>
                <w:sz w:val="20"/>
                <w:shd w:val="clear" w:color="auto" w:fill="FFFFFF"/>
              </w:rPr>
              <w:t xml:space="preserve">, 1,2,5,6,9,10-hexabromociclododecano y sus </w:t>
            </w:r>
            <w:proofErr w:type="spellStart"/>
            <w:r w:rsidR="00745B8F" w:rsidRPr="00AC4ED5">
              <w:rPr>
                <w:sz w:val="20"/>
                <w:shd w:val="clear" w:color="auto" w:fill="FFFFFF"/>
              </w:rPr>
              <w:t>diastereoisómeros</w:t>
            </w:r>
            <w:proofErr w:type="spellEnd"/>
            <w:r w:rsidR="00745B8F" w:rsidRPr="00AC4ED5">
              <w:rPr>
                <w:sz w:val="20"/>
                <w:shd w:val="clear" w:color="auto" w:fill="FFFFFF"/>
              </w:rPr>
              <w:t xml:space="preserve"> principales: alfa-</w:t>
            </w:r>
            <w:proofErr w:type="spellStart"/>
            <w:r w:rsidR="00745B8F" w:rsidRPr="00AC4ED5">
              <w:rPr>
                <w:sz w:val="20"/>
                <w:shd w:val="clear" w:color="auto" w:fill="FFFFFF"/>
              </w:rPr>
              <w:t>hexabromociclododecano</w:t>
            </w:r>
            <w:proofErr w:type="spellEnd"/>
            <w:r w:rsidR="00745B8F" w:rsidRPr="00AC4ED5">
              <w:rPr>
                <w:sz w:val="20"/>
                <w:shd w:val="clear" w:color="auto" w:fill="FFFFFF"/>
              </w:rPr>
              <w:t>, beta-</w:t>
            </w:r>
            <w:proofErr w:type="spellStart"/>
            <w:r w:rsidR="00745B8F" w:rsidRPr="00AC4ED5">
              <w:rPr>
                <w:sz w:val="20"/>
                <w:shd w:val="clear" w:color="auto" w:fill="FFFFFF"/>
              </w:rPr>
              <w:t>hexabromociclododecano</w:t>
            </w:r>
            <w:proofErr w:type="spellEnd"/>
            <w:r w:rsidR="00745B8F" w:rsidRPr="00AC4ED5">
              <w:rPr>
                <w:sz w:val="20"/>
                <w:shd w:val="clear" w:color="auto" w:fill="FFFFFF"/>
              </w:rPr>
              <w:t xml:space="preserve"> y gama-</w:t>
            </w:r>
            <w:proofErr w:type="spellStart"/>
            <w:r w:rsidR="00745B8F" w:rsidRPr="00AC4ED5">
              <w:rPr>
                <w:sz w:val="20"/>
                <w:shd w:val="clear" w:color="auto" w:fill="FFFFFF"/>
              </w:rPr>
              <w:t>hexabromociclododecano</w:t>
            </w:r>
            <w:proofErr w:type="spellEnd"/>
            <w:r w:rsidRPr="00AC4ED5">
              <w:rPr>
                <w:sz w:val="20"/>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rsidR="006A2960" w:rsidRPr="00AC4ED5" w:rsidRDefault="006A2960" w:rsidP="00224BC5">
            <w:pPr>
              <w:pStyle w:val="Normal6a"/>
            </w:pPr>
          </w:p>
        </w:tc>
        <w:tc>
          <w:tcPr>
            <w:tcW w:w="1237" w:type="dxa"/>
            <w:tcBorders>
              <w:top w:val="single" w:sz="4" w:space="0" w:color="auto"/>
              <w:left w:val="single" w:sz="4" w:space="0" w:color="auto"/>
              <w:bottom w:val="single" w:sz="4" w:space="0" w:color="auto"/>
              <w:right w:val="single" w:sz="4" w:space="0" w:color="auto"/>
            </w:tcBorders>
          </w:tcPr>
          <w:p w:rsidR="006A2960" w:rsidRPr="00AC4ED5" w:rsidRDefault="006A2960" w:rsidP="00224BC5">
            <w:pPr>
              <w:pStyle w:val="Normal6a"/>
            </w:pPr>
          </w:p>
        </w:tc>
        <w:tc>
          <w:tcPr>
            <w:tcW w:w="3278" w:type="dxa"/>
            <w:tcBorders>
              <w:top w:val="single" w:sz="4" w:space="0" w:color="auto"/>
              <w:left w:val="single" w:sz="4" w:space="0" w:color="auto"/>
              <w:bottom w:val="single" w:sz="4" w:space="0" w:color="auto"/>
              <w:right w:val="single" w:sz="4" w:space="0" w:color="auto"/>
            </w:tcBorders>
          </w:tcPr>
          <w:p w:rsidR="006A2960" w:rsidRPr="00AC4ED5" w:rsidRDefault="006A2960" w:rsidP="00224BC5">
            <w:pPr>
              <w:pStyle w:val="Normal6a"/>
            </w:pPr>
          </w:p>
        </w:tc>
      </w:tr>
    </w:tbl>
    <w:p w:rsidR="006A2960" w:rsidRPr="00AC4ED5" w:rsidRDefault="006A2960" w:rsidP="006A2960"/>
    <w:p w:rsidR="006A2960" w:rsidRPr="00AC4ED5" w:rsidRDefault="006A2960" w:rsidP="006A2960">
      <w:pPr>
        <w:pStyle w:val="AmNumberTabs"/>
      </w:pPr>
      <w:r w:rsidRPr="00AC4ED5">
        <w:t>Enmienda</w:t>
      </w:r>
      <w:r w:rsidRPr="00AC4ED5">
        <w:tab/>
        <w:t>18</w:t>
      </w:r>
    </w:p>
    <w:p w:rsidR="006A2960" w:rsidRPr="00AC4ED5" w:rsidRDefault="006A2960" w:rsidP="006A2960">
      <w:pPr>
        <w:pStyle w:val="NormalBold"/>
      </w:pPr>
      <w:r w:rsidRPr="00AC4ED5">
        <w:t>Propuesta de Reglamento</w:t>
      </w:r>
    </w:p>
    <w:p w:rsidR="006A2960" w:rsidRPr="00AC4ED5" w:rsidRDefault="006A2960" w:rsidP="006A2960">
      <w:pPr>
        <w:pStyle w:val="NormalBold"/>
      </w:pPr>
      <w:r w:rsidRPr="00AC4ED5">
        <w:t>Artículo 4 – párrafo 1 – punto 5 – letra c quinquies (nueva)</w:t>
      </w:r>
    </w:p>
    <w:p w:rsidR="006A2960" w:rsidRPr="00AC4ED5" w:rsidRDefault="006A2960" w:rsidP="006A2960">
      <w:r w:rsidRPr="00AC4ED5">
        <w:t>Reglamento (UE) 2019/1021</w:t>
      </w:r>
    </w:p>
    <w:p w:rsidR="006A2960" w:rsidRPr="00AC4ED5" w:rsidRDefault="006A2960" w:rsidP="006A2960">
      <w:r w:rsidRPr="00AC4ED5">
        <w:t>Anexo IV - tabla 1 - fila 30</w:t>
      </w:r>
    </w:p>
    <w:p w:rsidR="006A2960" w:rsidRPr="00AC4ED5" w:rsidRDefault="006A2960" w:rsidP="006A2960">
      <w:pPr>
        <w:pStyle w:val="Normal0"/>
        <w:rPr>
          <w:rStyle w:val="HideTWBExt"/>
          <w:rFonts w:ascii="Times New Roman" w:hAnsi="Times New Roman"/>
          <w:noProof w:val="0"/>
          <w:vanish w:val="0"/>
          <w:color w:val="auto"/>
          <w:sz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6A2960" w:rsidRPr="00AC4ED5" w:rsidTr="00224BC5">
        <w:tc>
          <w:tcPr>
            <w:tcW w:w="9060" w:type="dxa"/>
            <w:gridSpan w:val="4"/>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AmColumnHeading"/>
            </w:pPr>
            <w:r w:rsidRPr="00AC4ED5">
              <w:t>Texto en vigor</w:t>
            </w:r>
          </w:p>
        </w:tc>
      </w:tr>
      <w:tr w:rsidR="006A2960" w:rsidRPr="00AC4ED5" w:rsidTr="00224BC5">
        <w:tc>
          <w:tcPr>
            <w:tcW w:w="2265"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 xml:space="preserve">Ácido </w:t>
            </w:r>
            <w:proofErr w:type="spellStart"/>
            <w:r w:rsidRPr="00AC4ED5">
              <w:t>perfluorooctanoico</w:t>
            </w:r>
            <w:proofErr w:type="spellEnd"/>
            <w:r w:rsidRPr="00AC4ED5">
              <w:t xml:space="preserve"> (PFOA), sus sales y los compuestos afines al PFOA, tal y como figura en el anexo I</w:t>
            </w:r>
          </w:p>
        </w:tc>
        <w:tc>
          <w:tcPr>
            <w:tcW w:w="1558"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335-67-1 y otros</w:t>
            </w:r>
          </w:p>
        </w:tc>
        <w:tc>
          <w:tcPr>
            <w:tcW w:w="1417"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206-397-9 y otros</w:t>
            </w:r>
          </w:p>
        </w:tc>
        <w:tc>
          <w:tcPr>
            <w:tcW w:w="3820"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1 mg/kg</w:t>
            </w:r>
          </w:p>
          <w:p w:rsidR="006A2960" w:rsidRPr="00AC4ED5" w:rsidRDefault="006A2960" w:rsidP="00224BC5">
            <w:pPr>
              <w:pStyle w:val="Normal6a"/>
            </w:pPr>
            <w:r w:rsidRPr="00AC4ED5">
              <w:t>(PFOA y sus sales)</w:t>
            </w:r>
          </w:p>
          <w:p w:rsidR="006A2960" w:rsidRPr="00AC4ED5" w:rsidRDefault="006A2960" w:rsidP="00224BC5">
            <w:pPr>
              <w:pStyle w:val="Normal6a"/>
            </w:pPr>
            <w:r w:rsidRPr="00AC4ED5">
              <w:t>40 mg/kg</w:t>
            </w:r>
          </w:p>
          <w:p w:rsidR="006A2960" w:rsidRPr="00AC4ED5" w:rsidRDefault="006A2960" w:rsidP="00224BC5">
            <w:pPr>
              <w:pStyle w:val="Normal6a"/>
            </w:pPr>
            <w:r w:rsidRPr="00AC4ED5">
              <w:t>(suma de los compuestos afines al PFOA)</w:t>
            </w:r>
          </w:p>
          <w:p w:rsidR="006A2960" w:rsidRPr="00AC4ED5" w:rsidRDefault="006A2960" w:rsidP="00224BC5">
            <w:pPr>
              <w:pStyle w:val="Normal6a"/>
            </w:pPr>
            <w:r w:rsidRPr="00AC4ED5">
              <w:t xml:space="preserve">La Comisión revisará dicho límite de concentración y, cuando proceda, adoptará </w:t>
            </w:r>
            <w:r w:rsidRPr="00AC4ED5">
              <w:rPr>
                <w:b/>
                <w:i/>
              </w:rPr>
              <w:t>una propuesta legislativa</w:t>
            </w:r>
            <w:r w:rsidRPr="00AC4ED5">
              <w:t xml:space="preserve"> para reducir dicho valor</w:t>
            </w:r>
            <w:r w:rsidRPr="00AC4ED5">
              <w:rPr>
                <w:b/>
                <w:i/>
              </w:rPr>
              <w:t>, siempre que dicha reducción sea factible con arreglo al progreso científico y técnico, a más tardar el 30 de diciembre de 2027</w:t>
            </w:r>
            <w:r w:rsidRPr="00AC4ED5">
              <w:t>.</w:t>
            </w:r>
          </w:p>
        </w:tc>
      </w:tr>
    </w:tbl>
    <w:p w:rsidR="006A2960" w:rsidRPr="00AC4ED5" w:rsidRDefault="006A2960" w:rsidP="006A296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6A2960" w:rsidRPr="00AC4ED5" w:rsidTr="00224BC5">
        <w:tc>
          <w:tcPr>
            <w:tcW w:w="9060" w:type="dxa"/>
            <w:gridSpan w:val="4"/>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AmColumnHeading"/>
            </w:pPr>
            <w:r w:rsidRPr="00AC4ED5">
              <w:t>Enmienda</w:t>
            </w:r>
          </w:p>
        </w:tc>
      </w:tr>
      <w:tr w:rsidR="006A2960" w:rsidRPr="00AC4ED5" w:rsidTr="00224BC5">
        <w:tc>
          <w:tcPr>
            <w:tcW w:w="9060" w:type="dxa"/>
            <w:gridSpan w:val="4"/>
            <w:tcBorders>
              <w:top w:val="single" w:sz="4" w:space="0" w:color="auto"/>
              <w:left w:val="single" w:sz="4" w:space="0" w:color="auto"/>
              <w:bottom w:val="single" w:sz="4" w:space="0" w:color="auto"/>
              <w:right w:val="single" w:sz="4" w:space="0" w:color="auto"/>
            </w:tcBorders>
          </w:tcPr>
          <w:p w:rsidR="006A2960" w:rsidRPr="00AC4ED5" w:rsidRDefault="006A2960" w:rsidP="00224BC5">
            <w:pPr>
              <w:pStyle w:val="AmColumnHeading"/>
              <w:jc w:val="left"/>
              <w:rPr>
                <w:b/>
              </w:rPr>
            </w:pPr>
            <w:r w:rsidRPr="00AC4ED5">
              <w:rPr>
                <w:b/>
              </w:rPr>
              <w:t>c quinquies)</w:t>
            </w:r>
            <w:r w:rsidRPr="00AC4ED5">
              <w:rPr>
                <w:b/>
              </w:rPr>
              <w:tab/>
              <w:t>En el anexo IV, cuadro 1, la línea 30 se sustituye por el texto siguiente:</w:t>
            </w:r>
          </w:p>
        </w:tc>
      </w:tr>
      <w:tr w:rsidR="006A2960" w:rsidRPr="00AC4ED5" w:rsidTr="00224BC5">
        <w:tc>
          <w:tcPr>
            <w:tcW w:w="2265"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 xml:space="preserve">Ácido </w:t>
            </w:r>
            <w:proofErr w:type="spellStart"/>
            <w:r w:rsidRPr="00AC4ED5">
              <w:t>perfluorooctanoico</w:t>
            </w:r>
            <w:proofErr w:type="spellEnd"/>
            <w:r w:rsidRPr="00AC4ED5">
              <w:t xml:space="preserve"> (PFOA), sus sales y los compuestos afines al PFOA, tal y como figura en el anexo I</w:t>
            </w:r>
          </w:p>
        </w:tc>
        <w:tc>
          <w:tcPr>
            <w:tcW w:w="1558"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335-67-1 y otros</w:t>
            </w:r>
          </w:p>
        </w:tc>
        <w:tc>
          <w:tcPr>
            <w:tcW w:w="1417"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206-397-9 y otros</w:t>
            </w:r>
          </w:p>
        </w:tc>
        <w:tc>
          <w:tcPr>
            <w:tcW w:w="3820"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1 mg/kg</w:t>
            </w:r>
          </w:p>
          <w:p w:rsidR="006A2960" w:rsidRPr="00AC4ED5" w:rsidRDefault="006A2960" w:rsidP="00224BC5">
            <w:pPr>
              <w:pStyle w:val="Normal6a"/>
            </w:pPr>
            <w:r w:rsidRPr="00AC4ED5">
              <w:t>(PFOA y sus sales)</w:t>
            </w:r>
          </w:p>
          <w:p w:rsidR="006A2960" w:rsidRPr="00AC4ED5" w:rsidRDefault="006A2960" w:rsidP="00224BC5">
            <w:pPr>
              <w:pStyle w:val="Normal6a"/>
            </w:pPr>
            <w:r w:rsidRPr="00AC4ED5">
              <w:t>40 mg/kg</w:t>
            </w:r>
          </w:p>
          <w:p w:rsidR="006A2960" w:rsidRPr="00AC4ED5" w:rsidRDefault="006A2960" w:rsidP="00224BC5">
            <w:pPr>
              <w:pStyle w:val="Normal6a"/>
            </w:pPr>
            <w:r w:rsidRPr="00AC4ED5">
              <w:t>(suma de los compuestos afines al PFOA)</w:t>
            </w:r>
          </w:p>
          <w:p w:rsidR="006A2960" w:rsidRPr="00AC4ED5" w:rsidRDefault="006A2960" w:rsidP="00224BC5">
            <w:pPr>
              <w:pStyle w:val="Normal6a"/>
            </w:pPr>
            <w:r w:rsidRPr="00AC4ED5">
              <w:rPr>
                <w:b/>
                <w:i/>
              </w:rPr>
              <w:t>A más tardar el 30 de diciembre de 2027,</w:t>
            </w:r>
            <w:r w:rsidRPr="00AC4ED5">
              <w:t xml:space="preserve"> la Comisión revisará dicho límite de concentración y, cuando proceda, adoptará </w:t>
            </w:r>
            <w:r w:rsidRPr="00AC4ED5">
              <w:rPr>
                <w:b/>
                <w:i/>
              </w:rPr>
              <w:t>un acto delegado de conformidad con el artículo 15, apartado 2,</w:t>
            </w:r>
            <w:r w:rsidRPr="00AC4ED5">
              <w:t xml:space="preserve"> para reducir dicho valor.</w:t>
            </w:r>
          </w:p>
        </w:tc>
      </w:tr>
    </w:tbl>
    <w:p w:rsidR="006A2960" w:rsidRPr="00AC4ED5" w:rsidRDefault="006A2960" w:rsidP="006A2960"/>
    <w:p w:rsidR="006A2960" w:rsidRPr="00AC4ED5" w:rsidRDefault="006A2960" w:rsidP="006A2960">
      <w:pPr>
        <w:pStyle w:val="AmNumberTabs"/>
      </w:pPr>
      <w:r w:rsidRPr="00AC4ED5">
        <w:t>Enmienda</w:t>
      </w:r>
      <w:r w:rsidRPr="00AC4ED5">
        <w:tab/>
        <w:t>19</w:t>
      </w:r>
    </w:p>
    <w:p w:rsidR="006A2960" w:rsidRPr="00AC4ED5" w:rsidRDefault="006A2960" w:rsidP="006A2960">
      <w:pPr>
        <w:rPr>
          <w:b/>
        </w:rPr>
      </w:pPr>
      <w:r w:rsidRPr="00AC4ED5">
        <w:t>Propuesta de Reglamento</w:t>
      </w:r>
    </w:p>
    <w:p w:rsidR="006A2960" w:rsidRPr="00AC4ED5" w:rsidRDefault="006A2960" w:rsidP="006A2960">
      <w:pPr>
        <w:pStyle w:val="NormalBold"/>
      </w:pPr>
      <w:r w:rsidRPr="00AC4ED5">
        <w:t>Artículo 4 – párrafo 1 – punto 5 – letra c sexies (nueva)</w:t>
      </w:r>
    </w:p>
    <w:p w:rsidR="006A2960" w:rsidRPr="00AC4ED5" w:rsidRDefault="006A2960" w:rsidP="006A2960">
      <w:r w:rsidRPr="00AC4ED5">
        <w:t>Reglamento (UE) 2019/1021</w:t>
      </w:r>
    </w:p>
    <w:p w:rsidR="006A2960" w:rsidRPr="00AC4ED5" w:rsidRDefault="006A2960" w:rsidP="006A2960">
      <w:r w:rsidRPr="00AC4ED5">
        <w:t>Anexo IV - tabla 1 - fila 31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6A2960" w:rsidRPr="00AC4ED5" w:rsidTr="00224BC5">
        <w:tc>
          <w:tcPr>
            <w:tcW w:w="9060" w:type="dxa"/>
            <w:gridSpan w:val="4"/>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AmColumnHeading"/>
            </w:pPr>
            <w:r w:rsidRPr="00AC4ED5">
              <w:t>Texto en vigor</w:t>
            </w:r>
          </w:p>
        </w:tc>
      </w:tr>
      <w:tr w:rsidR="006A2960" w:rsidRPr="00AC4ED5" w:rsidTr="00224BC5">
        <w:tc>
          <w:tcPr>
            <w:tcW w:w="2265"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 xml:space="preserve">Ácido </w:t>
            </w:r>
            <w:proofErr w:type="spellStart"/>
            <w:r w:rsidRPr="00AC4ED5">
              <w:t>perfluorohexano</w:t>
            </w:r>
            <w:proofErr w:type="spellEnd"/>
            <w:r w:rsidRPr="00AC4ED5">
              <w:t xml:space="preserve"> </w:t>
            </w:r>
            <w:proofErr w:type="spellStart"/>
            <w:r w:rsidRPr="00AC4ED5">
              <w:t>sulfónico</w:t>
            </w:r>
            <w:proofErr w:type="spellEnd"/>
            <w:r w:rsidRPr="00AC4ED5">
              <w:t xml:space="preserve"> (</w:t>
            </w:r>
            <w:proofErr w:type="spellStart"/>
            <w:r w:rsidRPr="00AC4ED5">
              <w:t>PFHxS</w:t>
            </w:r>
            <w:proofErr w:type="spellEnd"/>
            <w:r w:rsidRPr="00AC4ED5">
              <w:t>), sus sales y los compuestos afines al </w:t>
            </w:r>
            <w:proofErr w:type="spellStart"/>
            <w:r w:rsidRPr="00AC4ED5">
              <w:t>PFHxS</w:t>
            </w:r>
            <w:proofErr w:type="spellEnd"/>
          </w:p>
        </w:tc>
        <w:tc>
          <w:tcPr>
            <w:tcW w:w="1558"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355-46-4 y otros</w:t>
            </w:r>
          </w:p>
        </w:tc>
        <w:tc>
          <w:tcPr>
            <w:tcW w:w="1417"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206-587-1 y otros</w:t>
            </w:r>
          </w:p>
        </w:tc>
        <w:tc>
          <w:tcPr>
            <w:tcW w:w="3820"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1 mg/kg</w:t>
            </w:r>
          </w:p>
          <w:p w:rsidR="006A2960" w:rsidRPr="00AC4ED5" w:rsidRDefault="006A2960" w:rsidP="00224BC5">
            <w:pPr>
              <w:pStyle w:val="Normal6a"/>
            </w:pPr>
            <w:r w:rsidRPr="00AC4ED5">
              <w:t>(</w:t>
            </w:r>
            <w:proofErr w:type="spellStart"/>
            <w:r w:rsidRPr="00AC4ED5">
              <w:t>PFHxS</w:t>
            </w:r>
            <w:proofErr w:type="spellEnd"/>
            <w:r w:rsidRPr="00AC4ED5">
              <w:t xml:space="preserve"> y sus sales) 40 mg/kg</w:t>
            </w:r>
          </w:p>
          <w:p w:rsidR="006A2960" w:rsidRPr="00AC4ED5" w:rsidRDefault="006A2960" w:rsidP="00224BC5">
            <w:pPr>
              <w:pStyle w:val="Normal6a"/>
            </w:pPr>
            <w:r w:rsidRPr="00AC4ED5">
              <w:t>(suma de los compuestos afines al </w:t>
            </w:r>
            <w:proofErr w:type="spellStart"/>
            <w:r w:rsidRPr="00AC4ED5">
              <w:t>PFHxS</w:t>
            </w:r>
            <w:proofErr w:type="spellEnd"/>
            <w:r w:rsidRPr="00AC4ED5">
              <w:t>)</w:t>
            </w:r>
          </w:p>
          <w:p w:rsidR="006A2960" w:rsidRPr="00AC4ED5" w:rsidRDefault="006A2960" w:rsidP="00224BC5">
            <w:pPr>
              <w:pStyle w:val="Normal6a"/>
            </w:pPr>
            <w:r w:rsidRPr="00AC4ED5">
              <w:t xml:space="preserve">La Comisión revisará dicho límite de concentración y, cuando proceda, adoptará </w:t>
            </w:r>
            <w:r w:rsidRPr="00AC4ED5">
              <w:rPr>
                <w:b/>
                <w:i/>
              </w:rPr>
              <w:t>una propuesta legislativa</w:t>
            </w:r>
            <w:r w:rsidRPr="00AC4ED5">
              <w:t xml:space="preserve"> para reducir dicho valor</w:t>
            </w:r>
            <w:r w:rsidRPr="00AC4ED5">
              <w:rPr>
                <w:b/>
                <w:i/>
              </w:rPr>
              <w:t>, siempre que dicha reducción sea factible con arreglo al progreso científico y técnico, a más tardar el 30 de diciembre de 2027</w:t>
            </w:r>
            <w:r w:rsidRPr="00AC4ED5">
              <w:t>.</w:t>
            </w:r>
          </w:p>
        </w:tc>
      </w:tr>
    </w:tbl>
    <w:p w:rsidR="006A2960" w:rsidRPr="00AC4ED5" w:rsidRDefault="006A2960" w:rsidP="006A296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6A2960" w:rsidRPr="00AC4ED5" w:rsidTr="00224BC5">
        <w:tc>
          <w:tcPr>
            <w:tcW w:w="9060" w:type="dxa"/>
            <w:gridSpan w:val="4"/>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AmColumnHeading"/>
            </w:pPr>
            <w:r w:rsidRPr="00AC4ED5">
              <w:t>Enmienda</w:t>
            </w:r>
          </w:p>
        </w:tc>
      </w:tr>
      <w:tr w:rsidR="006A2960" w:rsidRPr="00AC4ED5" w:rsidTr="00224BC5">
        <w:tc>
          <w:tcPr>
            <w:tcW w:w="9060" w:type="dxa"/>
            <w:gridSpan w:val="4"/>
            <w:tcBorders>
              <w:top w:val="single" w:sz="4" w:space="0" w:color="auto"/>
              <w:left w:val="single" w:sz="4" w:space="0" w:color="auto"/>
              <w:bottom w:val="single" w:sz="4" w:space="0" w:color="auto"/>
              <w:right w:val="single" w:sz="4" w:space="0" w:color="auto"/>
            </w:tcBorders>
          </w:tcPr>
          <w:p w:rsidR="006A2960" w:rsidRPr="00AC4ED5" w:rsidRDefault="006A2960" w:rsidP="00224BC5">
            <w:pPr>
              <w:pStyle w:val="AmColumnHeading"/>
              <w:jc w:val="left"/>
              <w:rPr>
                <w:b/>
              </w:rPr>
            </w:pPr>
            <w:r w:rsidRPr="00AC4ED5">
              <w:rPr>
                <w:b/>
              </w:rPr>
              <w:t>c sexies)</w:t>
            </w:r>
            <w:r w:rsidRPr="00AC4ED5">
              <w:rPr>
                <w:b/>
              </w:rPr>
              <w:tab/>
              <w:t>En el anexo IV, cuadro 1, la línea 31 se sustituye por el texto siguiente:</w:t>
            </w:r>
          </w:p>
        </w:tc>
      </w:tr>
      <w:tr w:rsidR="006A2960" w:rsidRPr="00AC4ED5" w:rsidTr="00224BC5">
        <w:tc>
          <w:tcPr>
            <w:tcW w:w="2265"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 xml:space="preserve">Ácido </w:t>
            </w:r>
            <w:proofErr w:type="spellStart"/>
            <w:r w:rsidRPr="00AC4ED5">
              <w:t>perfluorohexano</w:t>
            </w:r>
            <w:proofErr w:type="spellEnd"/>
            <w:r w:rsidRPr="00AC4ED5">
              <w:t xml:space="preserve"> </w:t>
            </w:r>
            <w:proofErr w:type="spellStart"/>
            <w:r w:rsidRPr="00AC4ED5">
              <w:t>sulfónico</w:t>
            </w:r>
            <w:proofErr w:type="spellEnd"/>
            <w:r w:rsidRPr="00AC4ED5">
              <w:t xml:space="preserve"> (</w:t>
            </w:r>
            <w:proofErr w:type="spellStart"/>
            <w:r w:rsidRPr="00AC4ED5">
              <w:t>PFHxS</w:t>
            </w:r>
            <w:proofErr w:type="spellEnd"/>
            <w:r w:rsidRPr="00AC4ED5">
              <w:t>), sus sales y los compuestos afines al </w:t>
            </w:r>
            <w:proofErr w:type="spellStart"/>
            <w:r w:rsidRPr="00AC4ED5">
              <w:t>PFHxS</w:t>
            </w:r>
            <w:proofErr w:type="spellEnd"/>
          </w:p>
        </w:tc>
        <w:tc>
          <w:tcPr>
            <w:tcW w:w="1558"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355-46-4 y otros</w:t>
            </w:r>
          </w:p>
        </w:tc>
        <w:tc>
          <w:tcPr>
            <w:tcW w:w="1417"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206-587-1 y otros</w:t>
            </w:r>
          </w:p>
        </w:tc>
        <w:tc>
          <w:tcPr>
            <w:tcW w:w="3820" w:type="dxa"/>
            <w:tcBorders>
              <w:top w:val="single" w:sz="4" w:space="0" w:color="auto"/>
              <w:left w:val="single" w:sz="4" w:space="0" w:color="auto"/>
              <w:bottom w:val="single" w:sz="4" w:space="0" w:color="auto"/>
              <w:right w:val="single" w:sz="4" w:space="0" w:color="auto"/>
            </w:tcBorders>
            <w:hideMark/>
          </w:tcPr>
          <w:p w:rsidR="006A2960" w:rsidRPr="00AC4ED5" w:rsidRDefault="006A2960" w:rsidP="00224BC5">
            <w:pPr>
              <w:pStyle w:val="Normal6a"/>
            </w:pPr>
            <w:r w:rsidRPr="00AC4ED5">
              <w:t>1 mg/kg</w:t>
            </w:r>
          </w:p>
          <w:p w:rsidR="006A2960" w:rsidRPr="00AC4ED5" w:rsidRDefault="006A2960" w:rsidP="00224BC5">
            <w:pPr>
              <w:pStyle w:val="Normal6a"/>
            </w:pPr>
            <w:r w:rsidRPr="00AC4ED5">
              <w:t>(</w:t>
            </w:r>
            <w:proofErr w:type="spellStart"/>
            <w:r w:rsidRPr="00AC4ED5">
              <w:t>PFHxS</w:t>
            </w:r>
            <w:proofErr w:type="spellEnd"/>
            <w:r w:rsidRPr="00AC4ED5">
              <w:t xml:space="preserve"> y sus sales) 40 mg/kg</w:t>
            </w:r>
          </w:p>
          <w:p w:rsidR="006A2960" w:rsidRPr="00AC4ED5" w:rsidRDefault="006A2960" w:rsidP="00224BC5">
            <w:pPr>
              <w:pStyle w:val="Normal6a"/>
            </w:pPr>
            <w:r w:rsidRPr="00AC4ED5">
              <w:t>(suma de los compuestos afines al </w:t>
            </w:r>
            <w:proofErr w:type="spellStart"/>
            <w:r w:rsidRPr="00AC4ED5">
              <w:t>PFHxS</w:t>
            </w:r>
            <w:proofErr w:type="spellEnd"/>
            <w:r w:rsidRPr="00AC4ED5">
              <w:t>)</w:t>
            </w:r>
          </w:p>
          <w:p w:rsidR="006A2960" w:rsidRPr="00AC4ED5" w:rsidRDefault="006A2960" w:rsidP="00224BC5">
            <w:pPr>
              <w:pStyle w:val="Normal6a"/>
            </w:pPr>
            <w:r w:rsidRPr="00AC4ED5">
              <w:rPr>
                <w:b/>
                <w:i/>
              </w:rPr>
              <w:t>A más tardar el 30 de diciembre de 2027,</w:t>
            </w:r>
            <w:r w:rsidRPr="00AC4ED5">
              <w:t xml:space="preserve"> la Comisión revisará dicho límite de concentración y, cuando proceda, adoptará </w:t>
            </w:r>
            <w:r w:rsidRPr="00AC4ED5">
              <w:rPr>
                <w:b/>
                <w:i/>
              </w:rPr>
              <w:t>un acto delegado de conformidad con el artículo 15, apartado 2,</w:t>
            </w:r>
            <w:r w:rsidRPr="00AC4ED5">
              <w:t xml:space="preserve"> para reducir dicho valor.</w:t>
            </w:r>
          </w:p>
        </w:tc>
      </w:tr>
    </w:tbl>
    <w:p w:rsidR="00E365E1" w:rsidRPr="00AC4ED5" w:rsidRDefault="00E365E1" w:rsidP="004F3BAD"/>
    <w:sectPr w:rsidR="00E365E1" w:rsidRPr="00AC4ED5" w:rsidSect="008028D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BAD" w:rsidRPr="008028DF" w:rsidRDefault="004F3BAD">
      <w:r w:rsidRPr="008028DF">
        <w:separator/>
      </w:r>
    </w:p>
  </w:endnote>
  <w:endnote w:type="continuationSeparator" w:id="0">
    <w:p w:rsidR="004F3BAD" w:rsidRPr="008028DF" w:rsidRDefault="004F3BAD">
      <w:r w:rsidRPr="008028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28D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28D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28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BAD" w:rsidRPr="008028DF" w:rsidRDefault="004F3BAD">
      <w:r w:rsidRPr="008028DF">
        <w:separator/>
      </w:r>
    </w:p>
  </w:footnote>
  <w:footnote w:type="continuationSeparator" w:id="0">
    <w:p w:rsidR="004F3BAD" w:rsidRPr="008028DF" w:rsidRDefault="004F3BAD">
      <w:r w:rsidRPr="008028DF">
        <w:continuationSeparator/>
      </w:r>
    </w:p>
  </w:footnote>
  <w:footnote w:id="1">
    <w:p w:rsidR="00683303" w:rsidRPr="00AC4ED5" w:rsidRDefault="00683303" w:rsidP="00AC4ED5">
      <w:pPr>
        <w:pStyle w:val="FootnoteText"/>
        <w:ind w:left="567" w:hanging="567"/>
        <w:rPr>
          <w:lang w:val="es-ES"/>
        </w:rPr>
      </w:pPr>
      <w:r>
        <w:rPr>
          <w:rStyle w:val="FootnoteReference"/>
        </w:rPr>
        <w:footnoteRef/>
      </w:r>
      <w:r w:rsidRPr="00AC4ED5">
        <w:rPr>
          <w:lang w:val="es-ES"/>
        </w:rPr>
        <w:t xml:space="preserve"> </w:t>
      </w:r>
      <w:r w:rsidRPr="00AC4ED5">
        <w:rPr>
          <w:lang w:val="es-ES"/>
        </w:rPr>
        <w:tab/>
      </w:r>
      <w:r w:rsidRPr="00AC4ED5">
        <w:rPr>
          <w:sz w:val="24"/>
          <w:szCs w:val="24"/>
          <w:lang w:val="es-ES_tradnl"/>
        </w:rPr>
        <w:t>De conformidad con el artículo 60, apartado 4, párrafo cuarto, del Reglamento interno, el asunto se devuelve a la comisión competente con vistas a la celebración de negociaciones interinstitucionales (A10-00</w:t>
      </w:r>
      <w:r>
        <w:rPr>
          <w:sz w:val="24"/>
          <w:szCs w:val="24"/>
          <w:lang w:val="es-ES_tradnl"/>
        </w:rPr>
        <w:t>20</w:t>
      </w:r>
      <w:r w:rsidRPr="00AC4ED5">
        <w:rPr>
          <w:sz w:val="24"/>
          <w:szCs w:val="24"/>
          <w:lang w:val="es-ES_tradnl"/>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28D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28D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28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5"/>
    <w:docVar w:name="dvlangue" w:val="ES"/>
    <w:docVar w:name="dvnumam" w:val="19"/>
    <w:docVar w:name="dvpe" w:val="763.253"/>
    <w:docVar w:name="dvrapporteur" w:val="Ponente: "/>
    <w:docVar w:name="dvstar" w:val="***I"/>
    <w:docVar w:name="dvtitre" w:val="Resolución legislativa del Parlamento Europeo, de 1 de abril de 2025, sobre la propuesta de Reglamento del Parlamento Europeo y del Consejo por el que se modifican los Reglamentos (CE) n.º 178/2002, (CE) n.º 401/2009, (UE) 2017/745 y (UE) 2019/1021 del Parlamento Europeo y del Consejo en lo que respecta a la reasignación de tareas científicas y técnicas y a la mejora de la cooperación entre las agencias de la Unión en el ámbito de las sustancias químicas(COM(2023)0783 – C9-0447/2023 – 2023/0455(COD))"/>
  </w:docVars>
  <w:rsids>
    <w:rsidRoot w:val="004F3BA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3BAD"/>
    <w:rsid w:val="0050519A"/>
    <w:rsid w:val="005072A1"/>
    <w:rsid w:val="00514517"/>
    <w:rsid w:val="00545827"/>
    <w:rsid w:val="00560270"/>
    <w:rsid w:val="005C2568"/>
    <w:rsid w:val="005F1B17"/>
    <w:rsid w:val="006037C0"/>
    <w:rsid w:val="006631B6"/>
    <w:rsid w:val="00680577"/>
    <w:rsid w:val="00683303"/>
    <w:rsid w:val="006A2960"/>
    <w:rsid w:val="006F74FA"/>
    <w:rsid w:val="00731ADD"/>
    <w:rsid w:val="00734777"/>
    <w:rsid w:val="00745B8F"/>
    <w:rsid w:val="00747932"/>
    <w:rsid w:val="00751A4A"/>
    <w:rsid w:val="00756632"/>
    <w:rsid w:val="00762C74"/>
    <w:rsid w:val="00786EC0"/>
    <w:rsid w:val="007D1690"/>
    <w:rsid w:val="007E22AD"/>
    <w:rsid w:val="008028DF"/>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4ED5"/>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3974C13-BAE5-439F-A7F1-06F54B8DC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6A2960"/>
    <w:pPr>
      <w:spacing w:after="120"/>
    </w:pPr>
  </w:style>
  <w:style w:type="paragraph" w:customStyle="1" w:styleId="NormalBold">
    <w:name w:val="NormalBold"/>
    <w:basedOn w:val="Normal"/>
    <w:link w:val="NormalBoldChar"/>
    <w:rsid w:val="006A2960"/>
    <w:rPr>
      <w:b/>
    </w:rPr>
  </w:style>
  <w:style w:type="paragraph" w:customStyle="1" w:styleId="NormalHanging12a">
    <w:name w:val="NormalHanging12a"/>
    <w:basedOn w:val="Normal"/>
    <w:rsid w:val="006A2960"/>
    <w:pPr>
      <w:spacing w:after="240"/>
      <w:ind w:left="567" w:hanging="567"/>
    </w:pPr>
  </w:style>
  <w:style w:type="paragraph" w:customStyle="1" w:styleId="AmColumnHeading">
    <w:name w:val="AmColumnHeading"/>
    <w:basedOn w:val="Normal"/>
    <w:rsid w:val="006A2960"/>
    <w:pPr>
      <w:spacing w:after="240"/>
      <w:jc w:val="center"/>
    </w:pPr>
    <w:rPr>
      <w:i/>
    </w:rPr>
  </w:style>
  <w:style w:type="paragraph" w:customStyle="1" w:styleId="AmNumberTabs">
    <w:name w:val="AmNumberTabs"/>
    <w:basedOn w:val="Normal"/>
    <w:rsid w:val="006A296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6A2960"/>
    <w:pPr>
      <w:spacing w:before="480" w:after="240"/>
    </w:pPr>
  </w:style>
  <w:style w:type="character" w:customStyle="1" w:styleId="NormalBoldChar">
    <w:name w:val="NormalBold Char"/>
    <w:basedOn w:val="DefaultParagraphFont"/>
    <w:link w:val="NormalBold"/>
    <w:locked/>
    <w:rsid w:val="006A2960"/>
    <w:rPr>
      <w:b/>
      <w:sz w:val="24"/>
      <w:lang w:val="es-ES_tradnl"/>
    </w:rPr>
  </w:style>
  <w:style w:type="character" w:customStyle="1" w:styleId="Normal6Char">
    <w:name w:val="Normal6 Char"/>
    <w:basedOn w:val="DefaultParagraphFont"/>
    <w:link w:val="Normal6"/>
    <w:locked/>
    <w:rsid w:val="006A2960"/>
    <w:rPr>
      <w:sz w:val="24"/>
      <w:lang w:val="es-ES"/>
    </w:rPr>
  </w:style>
  <w:style w:type="paragraph" w:customStyle="1" w:styleId="Normal6">
    <w:name w:val="Normal6"/>
    <w:basedOn w:val="Normal"/>
    <w:link w:val="Normal6Char"/>
    <w:rsid w:val="006A2960"/>
    <w:pPr>
      <w:spacing w:after="120"/>
    </w:pPr>
    <w:rPr>
      <w:lang w:val="es-ES"/>
    </w:rPr>
  </w:style>
  <w:style w:type="paragraph" w:customStyle="1" w:styleId="ColumnHeading">
    <w:name w:val="ColumnHeading"/>
    <w:basedOn w:val="Normal"/>
    <w:rsid w:val="006A2960"/>
    <w:pPr>
      <w:spacing w:after="240"/>
      <w:jc w:val="center"/>
    </w:pPr>
    <w:rPr>
      <w:i/>
      <w:lang w:val="es-ES"/>
    </w:rPr>
  </w:style>
  <w:style w:type="paragraph" w:customStyle="1" w:styleId="Normal0">
    <w:name w:val="Normal0"/>
    <w:basedOn w:val="Normal"/>
    <w:rsid w:val="006A2960"/>
    <w:rPr>
      <w:sz w:val="2"/>
      <w:szCs w:val="24"/>
      <w:lang w:eastAsia="en-US"/>
    </w:rPr>
  </w:style>
  <w:style w:type="character" w:styleId="Hyperlink">
    <w:name w:val="Hyperlink"/>
    <w:basedOn w:val="DefaultParagraphFont"/>
    <w:rsid w:val="00745B8F"/>
    <w:rPr>
      <w:color w:val="0563C1" w:themeColor="hyperlink"/>
      <w:u w:val="single"/>
    </w:rPr>
  </w:style>
  <w:style w:type="paragraph" w:styleId="BalloonText">
    <w:name w:val="Balloon Text"/>
    <w:basedOn w:val="Normal"/>
    <w:link w:val="BalloonTextChar"/>
    <w:rsid w:val="00745B8F"/>
    <w:rPr>
      <w:rFonts w:ascii="Segoe UI" w:hAnsi="Segoe UI" w:cs="Segoe UI"/>
      <w:sz w:val="18"/>
      <w:szCs w:val="18"/>
    </w:rPr>
  </w:style>
  <w:style w:type="character" w:customStyle="1" w:styleId="BalloonTextChar">
    <w:name w:val="Balloon Text Char"/>
    <w:basedOn w:val="DefaultParagraphFont"/>
    <w:link w:val="BalloonText"/>
    <w:rsid w:val="00745B8F"/>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04D24-D11C-4ECA-A1D9-EB048F37F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3488</Words>
  <Characters>18987</Characters>
  <Application>Microsoft Office Word</Application>
  <DocSecurity>0</DocSecurity>
  <Lines>1054</Lines>
  <Paragraphs>702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2025-04-01T14:24:00Z</dcterms:created>
  <dcterms:modified xsi:type="dcterms:W3CDTF">2025-04-01T14:24:00Z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A10-0020/2025</vt:lpwstr>
  </property>
  <property fmtid="{D5CDD505-2E9C-101B-9397-08002B2CF9AE}" pid="4" name="&lt;Type&gt;">
    <vt:lpwstr>RR</vt:lpwstr>
  </property>
</Properties>
</file>