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524" w:rsidTr="0010095E">
        <w:trPr>
          <w:trHeight w:hRule="exact" w:val="1418"/>
        </w:trPr>
        <w:tc>
          <w:tcPr>
            <w:tcW w:w="6804" w:type="dxa"/>
            <w:shd w:val="clear" w:color="auto" w:fill="auto"/>
            <w:vAlign w:val="center"/>
          </w:tcPr>
          <w:p w:rsidR="00751A4A" w:rsidRPr="00E42524" w:rsidRDefault="00A403D5" w:rsidP="0010095E">
            <w:pPr>
              <w:pStyle w:val="EPName"/>
            </w:pPr>
            <w:r w:rsidRPr="00E42524">
              <w:t>Euroopan parlamentti</w:t>
            </w:r>
          </w:p>
          <w:p w:rsidR="00751A4A" w:rsidRPr="00E42524" w:rsidRDefault="005F1B17" w:rsidP="005F1B17">
            <w:pPr>
              <w:pStyle w:val="EPTerm"/>
              <w:rPr>
                <w:rStyle w:val="HideTWBExt"/>
                <w:noProof w:val="0"/>
                <w:vanish w:val="0"/>
                <w:color w:val="auto"/>
              </w:rPr>
            </w:pPr>
            <w:r w:rsidRPr="00E42524">
              <w:t>2024</w:t>
            </w:r>
            <w:r w:rsidR="00817416" w:rsidRPr="00E42524">
              <w:t>-202</w:t>
            </w:r>
            <w:r w:rsidRPr="00E42524">
              <w:t>9</w:t>
            </w:r>
          </w:p>
        </w:tc>
        <w:tc>
          <w:tcPr>
            <w:tcW w:w="2268" w:type="dxa"/>
            <w:shd w:val="clear" w:color="auto" w:fill="auto"/>
          </w:tcPr>
          <w:p w:rsidR="00751A4A" w:rsidRPr="00E42524" w:rsidRDefault="00187494" w:rsidP="0010095E">
            <w:pPr>
              <w:pStyle w:val="EPLogo"/>
            </w:pPr>
            <w:r w:rsidRPr="00E42524">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2524" w:rsidRDefault="00D058B8" w:rsidP="004C5D52">
      <w:pPr>
        <w:pStyle w:val="LineTop"/>
      </w:pPr>
    </w:p>
    <w:p w:rsidR="00680577" w:rsidRPr="00E42524" w:rsidRDefault="00A403D5" w:rsidP="00680577">
      <w:pPr>
        <w:pStyle w:val="EPBodyTA1"/>
      </w:pPr>
      <w:r w:rsidRPr="00E42524">
        <w:t>HYVÄKSYTYT TEKSTIT</w:t>
      </w:r>
    </w:p>
    <w:p w:rsidR="00D058B8" w:rsidRPr="00E42524" w:rsidRDefault="00D058B8" w:rsidP="00D058B8">
      <w:pPr>
        <w:pStyle w:val="LineBottom"/>
      </w:pPr>
    </w:p>
    <w:p w:rsidR="00A403D5" w:rsidRPr="00E42524" w:rsidRDefault="00A403D5" w:rsidP="00A403D5">
      <w:pPr>
        <w:pStyle w:val="ATHeading1"/>
      </w:pPr>
      <w:bookmarkStart w:id="0" w:name="TANumber"/>
      <w:r w:rsidRPr="00E42524">
        <w:t>P10_</w:t>
      </w:r>
      <w:proofErr w:type="gramStart"/>
      <w:r w:rsidRPr="00E42524">
        <w:t>TA(</w:t>
      </w:r>
      <w:proofErr w:type="gramEnd"/>
      <w:r w:rsidRPr="00E42524">
        <w:t>2025)00</w:t>
      </w:r>
      <w:r w:rsidR="001D1404" w:rsidRPr="00E42524">
        <w:t>47</w:t>
      </w:r>
      <w:bookmarkEnd w:id="0"/>
    </w:p>
    <w:p w:rsidR="00A403D5" w:rsidRPr="00E42524" w:rsidRDefault="009E7DC4" w:rsidP="00A403D5">
      <w:pPr>
        <w:pStyle w:val="ATHeading2"/>
      </w:pPr>
      <w:bookmarkStart w:id="1" w:name="title"/>
      <w:r w:rsidRPr="00E42524">
        <w:t>T</w:t>
      </w:r>
      <w:r w:rsidR="00A403D5" w:rsidRPr="00E42524">
        <w:t>ieteellisten ja teknisten tehtävien siirtämi</w:t>
      </w:r>
      <w:r w:rsidRPr="00E42524">
        <w:t>nen</w:t>
      </w:r>
      <w:r w:rsidR="00A403D5" w:rsidRPr="00E42524">
        <w:t xml:space="preserve"> ja yhteistyön parantami</w:t>
      </w:r>
      <w:r w:rsidRPr="00E42524">
        <w:t>nen</w:t>
      </w:r>
      <w:r w:rsidR="00A403D5" w:rsidRPr="00E42524">
        <w:t xml:space="preserve"> unionin virastojen välillä kemikaalialalla</w:t>
      </w:r>
      <w:bookmarkEnd w:id="1"/>
    </w:p>
    <w:p w:rsidR="00A403D5" w:rsidRPr="00E42524" w:rsidRDefault="00A403D5" w:rsidP="00A403D5">
      <w:pPr>
        <w:rPr>
          <w:i/>
          <w:vanish/>
        </w:rPr>
      </w:pPr>
      <w:r w:rsidRPr="00E42524">
        <w:rPr>
          <w:i/>
        </w:rPr>
        <w:fldChar w:fldCharType="begin"/>
      </w:r>
      <w:r w:rsidRPr="00E42524">
        <w:rPr>
          <w:i/>
        </w:rPr>
        <w:instrText xml:space="preserve"> TC"(</w:instrText>
      </w:r>
      <w:bookmarkStart w:id="2" w:name="DocNumber"/>
      <w:r w:rsidRPr="00E42524">
        <w:rPr>
          <w:i/>
        </w:rPr>
        <w:instrText>A10-0020/2025</w:instrText>
      </w:r>
      <w:bookmarkEnd w:id="2"/>
      <w:r w:rsidRPr="00E42524">
        <w:rPr>
          <w:i/>
        </w:rPr>
        <w:instrText xml:space="preserve"> - Esittelijä: Dimitris Tsiodras)"\l3 \n&gt; \* MERGEFORMAT </w:instrText>
      </w:r>
      <w:r w:rsidRPr="00E42524">
        <w:rPr>
          <w:i/>
        </w:rPr>
        <w:fldChar w:fldCharType="end"/>
      </w:r>
    </w:p>
    <w:p w:rsidR="00A403D5" w:rsidRPr="00E42524" w:rsidRDefault="00A403D5" w:rsidP="00A403D5">
      <w:pPr>
        <w:rPr>
          <w:vanish/>
        </w:rPr>
      </w:pPr>
      <w:bookmarkStart w:id="3" w:name="Commission"/>
      <w:r w:rsidRPr="00E42524">
        <w:rPr>
          <w:vanish/>
        </w:rPr>
        <w:t>Ympäristön, ilmaston ja elintarvikkeiden turvallisuuden valiokunta</w:t>
      </w:r>
      <w:bookmarkEnd w:id="3"/>
    </w:p>
    <w:p w:rsidR="00A403D5" w:rsidRPr="00E42524" w:rsidRDefault="00A403D5" w:rsidP="00A403D5">
      <w:pPr>
        <w:rPr>
          <w:vanish/>
        </w:rPr>
      </w:pPr>
      <w:bookmarkStart w:id="4" w:name="PE"/>
      <w:r w:rsidRPr="00E42524">
        <w:rPr>
          <w:vanish/>
        </w:rPr>
        <w:t>PE763.253</w:t>
      </w:r>
      <w:bookmarkEnd w:id="4"/>
    </w:p>
    <w:p w:rsidR="00A403D5" w:rsidRPr="00E42524" w:rsidRDefault="00A403D5" w:rsidP="00A403D5">
      <w:pPr>
        <w:pStyle w:val="ATHeading3"/>
      </w:pPr>
      <w:bookmarkStart w:id="5" w:name="Sujet"/>
      <w:r w:rsidRPr="00E42524">
        <w:t xml:space="preserve">Euroopan parlamentin </w:t>
      </w:r>
      <w:r w:rsidR="005B7BD9" w:rsidRPr="00E42524">
        <w:t>tarkistukset</w:t>
      </w:r>
      <w:r w:rsidRPr="00E42524">
        <w:t xml:space="preserve"> 1. huhtikuuta 2025 ehdotukse</w:t>
      </w:r>
      <w:r w:rsidR="00021058" w:rsidRPr="00E42524">
        <w:t>en</w:t>
      </w:r>
      <w:r w:rsidRPr="00E42524">
        <w:t xml:space="preserve"> Euroopan parlamentin ja neuvoston asetukseksi Euroopa</w:t>
      </w:r>
      <w:bookmarkStart w:id="6" w:name="_GoBack"/>
      <w:bookmarkEnd w:id="6"/>
      <w:r w:rsidRPr="00E42524">
        <w:t>n parlamentin ja neuvoston asetusten (EY) N:o 178/2002, (EY) N:o 401/2009, (EU) 2017/745 ja (EU) 2019/1021 muuttamisesta tieteellisten ja teknisten tehtävien siirtämiseksi ja yhteistyön parantamiseksi unionin virastojen välillä kemikaalialalla</w:t>
      </w:r>
      <w:bookmarkEnd w:id="5"/>
      <w:r w:rsidRPr="00E42524">
        <w:t xml:space="preserve"> </w:t>
      </w:r>
      <w:bookmarkStart w:id="7" w:name="References"/>
      <w:r w:rsidRPr="00E42524">
        <w:t>(COM(2023)0783 – C9-0447/2023 – 2023/0455(COD)</w:t>
      </w:r>
      <w:r w:rsidR="005B7BD9" w:rsidRPr="00E42524">
        <w:t>)</w:t>
      </w:r>
      <w:r w:rsidR="005B7BD9" w:rsidRPr="00E42524">
        <w:rPr>
          <w:rStyle w:val="FootnoteReference"/>
          <w:szCs w:val="24"/>
        </w:rPr>
        <w:footnoteReference w:id="1"/>
      </w:r>
      <w:bookmarkEnd w:id="7"/>
    </w:p>
    <w:p w:rsidR="00012C52" w:rsidRPr="00E42524" w:rsidRDefault="00012C52" w:rsidP="00012C52">
      <w:pPr>
        <w:pStyle w:val="NormalBold"/>
      </w:pPr>
      <w:r w:rsidRPr="00E42524">
        <w:t>(Tavallinen lainsäätämisjärjestys: ensimmäinen käsittely)</w:t>
      </w:r>
    </w:p>
    <w:p w:rsidR="00990FAE" w:rsidRPr="00E42524" w:rsidRDefault="00990FAE" w:rsidP="00012C52">
      <w:pPr>
        <w:pStyle w:val="NormalHanging12a"/>
      </w:pPr>
    </w:p>
    <w:p w:rsidR="00990FAE" w:rsidRPr="00E42524" w:rsidRDefault="00990FAE">
      <w:pPr>
        <w:widowControl/>
      </w:pPr>
      <w:r w:rsidRPr="00E42524">
        <w:br w:type="page"/>
      </w:r>
    </w:p>
    <w:p w:rsidR="00012C52" w:rsidRPr="00E42524" w:rsidRDefault="00012C52" w:rsidP="00012C52"/>
    <w:p w:rsidR="00012C52" w:rsidRPr="00E42524" w:rsidRDefault="00012C52" w:rsidP="009E7DC4">
      <w:pPr>
        <w:pStyle w:val="AmNumberTabs"/>
        <w:keepLines/>
      </w:pPr>
      <w:r w:rsidRPr="00E42524">
        <w:t>Tarkistus</w:t>
      </w:r>
      <w:r w:rsidR="009E7DC4" w:rsidRPr="00E42524">
        <w:t xml:space="preserve"> </w:t>
      </w:r>
      <w:r w:rsidRPr="00E42524">
        <w:t>1</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keepNext/>
        <w:keepLines/>
      </w:pPr>
      <w:r w:rsidRPr="00E42524">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keepLines/>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(8)</w:t>
            </w:r>
            <w:r w:rsidRPr="00E42524">
              <w:tab/>
              <w:t>Näin ollen tällä asetuksella pyritään puuttumaan Euroopan elintarviketurvallisuusviranomaisen ja muiden unionin virastojen tieteellisten lausuntojen mahdollisiin eroavuuksiin. Euroopan parlamentin ja neuvoston asetus (EY) </w:t>
            </w:r>
            <w:proofErr w:type="gramStart"/>
            <w:r w:rsidRPr="00E42524">
              <w:t>N:o</w:t>
            </w:r>
            <w:proofErr w:type="gramEnd"/>
            <w:r w:rsidRPr="00E42524">
              <w:t> 178/2002 sisältää jo säännöksiä, joissa vahvistetaan menettely tieteellisten lausuntojen eroavuuksien ratkaisemiseksi. Näitä ratkaisumenettelyjä olisi vahvistettava siten, että Euroopan elintarviketurvallisuusviranomaisella ja eriävän lausunnon antaneella virastolla olisi velvollisuus pyrkiä parhaansa mukaan ratkaisemaan yleisiin tieteellisiin kysymyksiin liittyvät eroavuudet itse</w:t>
            </w:r>
            <w:r w:rsidRPr="00E42524">
              <w:rPr>
                <w:b/>
                <w:i/>
              </w:rPr>
              <w:t>, ja</w:t>
            </w:r>
            <w:r w:rsidRPr="00E42524">
              <w:t xml:space="preserve"> niiden pitäisi kääntyä riskinhallinnasta vastaavien tahojen puoleen ainoastaan silloin, jos ne eivät itse pysty ratkaisemaan eroja.</w:t>
            </w:r>
          </w:p>
        </w:tc>
        <w:tc>
          <w:tcPr>
            <w:tcW w:w="4876" w:type="dxa"/>
            <w:hideMark/>
          </w:tcPr>
          <w:p w:rsidR="00012C52" w:rsidRPr="00E42524" w:rsidRDefault="00012C52" w:rsidP="003D0EBC">
            <w:pPr>
              <w:pStyle w:val="Normal6"/>
              <w:rPr>
                <w:szCs w:val="24"/>
              </w:rPr>
            </w:pPr>
            <w:r w:rsidRPr="00E42524">
              <w:t>(8)</w:t>
            </w:r>
            <w:r w:rsidRPr="00E42524">
              <w:tab/>
              <w:t>Näin ollen tällä asetuksella pyritään puuttumaan Euroopan elintarviketurvallisuusviranomaisen ja muiden unionin virastojen tieteellisten lausuntojen mahdollisiin eroavuuksiin. Euroopan parlamentin ja neuvoston asetus (EY) </w:t>
            </w:r>
            <w:proofErr w:type="gramStart"/>
            <w:r w:rsidRPr="00E42524">
              <w:t>N:o</w:t>
            </w:r>
            <w:proofErr w:type="gramEnd"/>
            <w:r w:rsidRPr="00E42524">
              <w:t> 178/2002 sisältää jo säännöksiä, joissa vahvistetaan menettely tieteellisten lausuntojen eroavuuksien ratkaisemiseksi. Näitä ratkaisumenettelyjä olisi vahvistettava siten, että Euroopan elintarviketurvallisuusviranomaisella ja eriävän lausunnon antaneella virastolla olisi velvollisuus pyrkiä parhaansa mukaan ratkaisemaan yleisiin tieteellisiin kysymyksiin liittyvät eroavuudet itse.</w:t>
            </w:r>
            <w:r w:rsidRPr="00E42524">
              <w:rPr>
                <w:b/>
                <w:i/>
              </w:rPr>
              <w:t xml:space="preserve"> Arviointimenetelmien erot, jotka johtavat eriäviin lausuntoihin, olisi perusteltava asianmukaisesti, erityisesti kun on kyse haavoittuvassa asemassa olevien ryhmien suojelusta. Tällöin etusijalle olisi asetettava suojelevin lausunto, jotta voidaan suojella haavoittuvassa asemassa olevia ryhmiä.</w:t>
            </w:r>
            <w:r w:rsidRPr="00E42524">
              <w:t xml:space="preserve"> Niiden pitäisi kääntyä riskinhallinnasta vastaavien tahojen puoleen ainoastaan silloin, jos ne eivät itse pysty ratkaisemaan eroja.</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2</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Johdanto-osan 9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(9)</w:t>
            </w:r>
            <w:r w:rsidRPr="00E42524">
              <w:tab/>
              <w:t xml:space="preserve">Kemiallisten aineiden vaarojen tunnistamiseen liittyvää erityistapausta varten olisi otettava käyttöön uusi menettely tällaisiin tapauksiin liittyvien tieteellisten eroavuuksien ratkaisemiseksi. Tässä menettelyssä komission olisi voitava pyytää Euroopan kemikaalivirastoa </w:t>
            </w:r>
            <w:r w:rsidRPr="00E42524">
              <w:lastRenderedPageBreak/>
              <w:t>(unionin virasto, jolla on eniten vaarojen arviointiin liittyvää asiantuntemusta ja parhaat valmiudet tähän sekä pitkäaikainen kokemus yhdenmukaistetusta luokitus- ja merkintäprosessista) laatimaan yhdenmukaistettua luokitusta ja merkintöjä koskevan ehdotuksen Euroopan parlamentin ja neuvoston asetuksen (EY) </w:t>
            </w:r>
            <w:proofErr w:type="gramStart"/>
            <w:r w:rsidRPr="00E42524">
              <w:t>N:o</w:t>
            </w:r>
            <w:proofErr w:type="gramEnd"/>
            <w:r w:rsidRPr="00E42524">
              <w:t> 1272/2008 mukaisesti. Näin parannettaisiin kemikaalien vaarojen arvioinnin johdonmukaisuutta unionissa siirtyen siten lähemmäs ”yksi aine, yksi arviointi” -vision toteutumista. Tämä vaihtoehto olisi otettava huomioon asetuksen (EY) N:o 178/2002 asiaa koskevassa säännöksessä, jossa säädetään tieteellisten lausuntojen eroavuuksien ratkaisemisesta.</w:t>
            </w:r>
          </w:p>
        </w:tc>
        <w:tc>
          <w:tcPr>
            <w:tcW w:w="4876" w:type="dxa"/>
            <w:hideMark/>
          </w:tcPr>
          <w:p w:rsidR="00012C52" w:rsidRPr="00E42524" w:rsidRDefault="00012C52" w:rsidP="003D0EBC">
            <w:pPr>
              <w:pStyle w:val="Normal6"/>
              <w:rPr>
                <w:szCs w:val="24"/>
              </w:rPr>
            </w:pPr>
            <w:r w:rsidRPr="00E42524">
              <w:lastRenderedPageBreak/>
              <w:t>(9)</w:t>
            </w:r>
            <w:r w:rsidRPr="00E42524">
              <w:tab/>
              <w:t xml:space="preserve">Kemiallisten aineiden vaarojen tunnistamiseen liittyvää erityistapausta varten olisi otettava käyttöön uusi menettely tällaisiin tapauksiin liittyvien tieteellisten eroavuuksien ratkaisemiseksi. Tässä menettelyssä komission olisi voitava pyytää Euroopan kemikaalivirastoa </w:t>
            </w:r>
            <w:r w:rsidRPr="00E42524">
              <w:lastRenderedPageBreak/>
              <w:t>(unionin virasto, jolla on eniten vaarojen arviointiin liittyvää asiantuntemusta ja parhaat valmiudet tähän sekä pitkäaikainen kokemus yhdenmukaistetusta luokitus- ja merkintäprosessista) laatimaan yhdenmukaistettua luokitusta ja merkintöjä koskevan ehdotuksen Euroopan parlamentin ja neuvoston asetuksen (EY) </w:t>
            </w:r>
            <w:proofErr w:type="gramStart"/>
            <w:r w:rsidRPr="00E42524">
              <w:t>N:o</w:t>
            </w:r>
            <w:proofErr w:type="gramEnd"/>
            <w:r w:rsidRPr="00E42524">
              <w:t xml:space="preserve"> 1272/2008 mukaisesti. Näin parannettaisiin kemikaalien vaarojen arvioinnin johdonmukaisuutta unionissa siirtyen siten lähemmäs ”yksi aine, yksi arviointi” -vision toteutumista </w:t>
            </w:r>
            <w:r w:rsidRPr="00E42524">
              <w:rPr>
                <w:b/>
                <w:i/>
              </w:rPr>
              <w:t>ja vahvistettaisiin terveyden ja ympäristön suojelua</w:t>
            </w:r>
            <w:r w:rsidRPr="00E42524">
              <w:t>. Tämä vaihtoehto olisi otettava huomioon asetuksen (EY) N:o 178/2002 asiaa koskevassa säännöksessä, jossa säädetään tieteellisten lausuntojen eroavuuksien ratkaisemisesta.</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3</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Johdanto-osan 14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tcPr>
          <w:p w:rsidR="00012C52" w:rsidRPr="00E42524" w:rsidRDefault="00012C52" w:rsidP="003D0EBC">
            <w:pPr>
              <w:pStyle w:val="Normal6"/>
            </w:pPr>
          </w:p>
        </w:tc>
        <w:tc>
          <w:tcPr>
            <w:tcW w:w="4876" w:type="dxa"/>
            <w:hideMark/>
          </w:tcPr>
          <w:p w:rsidR="00012C52" w:rsidRPr="00E42524" w:rsidRDefault="00012C52" w:rsidP="003D0EBC">
            <w:pPr>
              <w:pStyle w:val="Normal6"/>
              <w:rPr>
                <w:szCs w:val="24"/>
              </w:rPr>
            </w:pPr>
            <w:r w:rsidRPr="00E42524">
              <w:rPr>
                <w:b/>
                <w:i/>
              </w:rPr>
              <w:t>(14 a)</w:t>
            </w:r>
            <w:r w:rsidRPr="00E42524">
              <w:rPr>
                <w:b/>
                <w:i/>
              </w:rPr>
              <w:tab/>
              <w:t>Tämä asetus laajentaa Euroopan kemikaaliviraston tiedekomiteoiden tehtävänkuvaa ja toimialaa ja lisää sen työmäärää. Jotta voidaan taata riittävä asiantuntijuus, tuki ja tieteellisten arvioiden perusteellisuus, on huolehdittava siitä, että tiedekomiteoilla on käytössään asianmukaiset ja vakaat resurssit, valmiudet ja hallinto. Tältä osin Euroopan komission olisi seurattava säännöllisesti Euroopan kemikaaliviraston tarpeita, jotka perustuvat tähän asetukseen, ja tarjottava virastolle riittävät ja vakaat resurssit.</w:t>
            </w:r>
          </w:p>
        </w:tc>
      </w:tr>
    </w:tbl>
    <w:p w:rsidR="00012C52" w:rsidRPr="00E42524" w:rsidRDefault="00012C52" w:rsidP="00012C52"/>
    <w:p w:rsidR="00012C52" w:rsidRPr="00E42524" w:rsidRDefault="00012C52" w:rsidP="00990FAE">
      <w:pPr>
        <w:pStyle w:val="AmNumberTabs"/>
        <w:keepLines/>
      </w:pPr>
      <w:r w:rsidRPr="00E42524">
        <w:lastRenderedPageBreak/>
        <w:t>Tarkistus</w:t>
      </w:r>
      <w:r w:rsidR="009E7DC4" w:rsidRPr="00E42524">
        <w:t xml:space="preserve"> </w:t>
      </w:r>
      <w:r w:rsidRPr="00E42524">
        <w:t>4</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keepNext/>
        <w:keepLines/>
      </w:pPr>
      <w:r w:rsidRPr="00E42524">
        <w:t>1 artikla – 1 kohta – 2 alakohta</w:t>
      </w:r>
    </w:p>
    <w:p w:rsidR="00012C52" w:rsidRPr="00E42524" w:rsidRDefault="00012C52" w:rsidP="00012C52">
      <w:pPr>
        <w:keepNext/>
        <w:keepLines/>
      </w:pPr>
      <w:r w:rsidRPr="00E42524">
        <w:t xml:space="preserve">Asetus (EY) </w:t>
      </w:r>
      <w:proofErr w:type="gramStart"/>
      <w:r w:rsidRPr="00E42524">
        <w:t>N:o</w:t>
      </w:r>
      <w:proofErr w:type="gramEnd"/>
      <w:r w:rsidRPr="00E42524">
        <w:t xml:space="preserve"> 178/2002</w:t>
      </w:r>
    </w:p>
    <w:p w:rsidR="00012C52" w:rsidRPr="00E42524" w:rsidRDefault="00012C52" w:rsidP="00012C52">
      <w:pPr>
        <w:keepNext/>
        <w:keepLines/>
      </w:pPr>
      <w:r w:rsidRPr="00E42524">
        <w:t>30 artikla – 2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keepLines/>
            </w:pPr>
          </w:p>
        </w:tc>
      </w:tr>
      <w:tr w:rsidR="00012C52" w:rsidRPr="00E42524" w:rsidTr="003D0EBC">
        <w:trPr>
          <w:jc w:val="center"/>
        </w:trPr>
        <w:tc>
          <w:tcPr>
            <w:tcW w:w="4876" w:type="dxa"/>
            <w:hideMark/>
          </w:tcPr>
          <w:p w:rsidR="00012C52" w:rsidRPr="00E42524" w:rsidRDefault="00012C52" w:rsidP="003D0EBC">
            <w:pPr>
              <w:pStyle w:val="ColumnHeading"/>
              <w:keepNext/>
              <w:keepLines/>
            </w:pPr>
            <w:r w:rsidRPr="00E42524">
              <w:t>Komission teksti</w:t>
            </w:r>
          </w:p>
        </w:tc>
        <w:tc>
          <w:tcPr>
            <w:tcW w:w="4876" w:type="dxa"/>
            <w:hideMark/>
          </w:tcPr>
          <w:p w:rsidR="00012C52" w:rsidRPr="00E42524" w:rsidRDefault="00012C52" w:rsidP="003D0EBC">
            <w:pPr>
              <w:pStyle w:val="ColumnHeading"/>
              <w:keepNext/>
              <w:keepLines/>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Jos elintarviketurvallisuusviranomainen havaitsee seikan, joka voi aiheuttaa eroavuuksia, sen on otettava yhteyttä asianomaiseen elimeen varmistaakseen, että kaikki merkitykselliset tieteelliset tai tekniset tiedot ovat molempien käytössä, ja saadakseen selville mahdolliset erimielisyyttä aiheuttavat tieteelliset tai tekniset kysymykset.</w:t>
            </w:r>
          </w:p>
        </w:tc>
        <w:tc>
          <w:tcPr>
            <w:tcW w:w="4876" w:type="dxa"/>
            <w:hideMark/>
          </w:tcPr>
          <w:p w:rsidR="00012C52" w:rsidRPr="00E42524" w:rsidRDefault="00012C52" w:rsidP="003D0EBC">
            <w:pPr>
              <w:pStyle w:val="Normal6"/>
              <w:rPr>
                <w:szCs w:val="24"/>
              </w:rPr>
            </w:pPr>
            <w:r w:rsidRPr="00E42524">
              <w:t xml:space="preserve">Jos elintarviketurvallisuusviranomainen havaitsee seikan, joka voi aiheuttaa eroavuuksia, sen on otettava yhteyttä asianomaiseen elimeen varmistaakseen, että kaikki merkitykselliset tieteelliset tai tekniset tiedot ovat molempien käytössä, ja saadakseen selville mahdolliset erimielisyyttä aiheuttavat tieteelliset tai tekniset kysymykset. </w:t>
            </w:r>
            <w:r w:rsidRPr="00E42524">
              <w:rPr>
                <w:b/>
                <w:i/>
              </w:rPr>
              <w:t>Arviointimenetelmien erot, jotka johtavat eriäviin lausuntoihin, on perusteltava asianmukaisesti, erityisesti kun on kyse haavoittuvassa asemassa olevien ryhmien suojelusta.</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5</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1 artikla – 1 kohta – 2 alakohta</w:t>
      </w:r>
    </w:p>
    <w:p w:rsidR="00012C52" w:rsidRPr="00E42524" w:rsidRDefault="00012C52" w:rsidP="00012C52">
      <w:pPr>
        <w:keepNext/>
      </w:pPr>
      <w:r w:rsidRPr="00E42524">
        <w:t xml:space="preserve">Asetus (EY) </w:t>
      </w:r>
      <w:proofErr w:type="gramStart"/>
      <w:r w:rsidRPr="00E42524">
        <w:t>N:o</w:t>
      </w:r>
      <w:proofErr w:type="gramEnd"/>
      <w:r w:rsidRPr="00E42524">
        <w:t xml:space="preserve"> 178/2002</w:t>
      </w:r>
    </w:p>
    <w:p w:rsidR="00012C52" w:rsidRPr="00E42524" w:rsidRDefault="00012C52" w:rsidP="00012C52">
      <w:r w:rsidRPr="00E42524">
        <w:t>30 artikla – 2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 xml:space="preserve">Elintarviketurvallisuusviranomaisen ja asianomaisen elimen on toimittava yhteistyössä eroavuuden ratkaisemiseksi. Jos elintarviketurvallisuusviranomainen ja asianomainen elin eivät pysty ratkaisemaan eroavuutta, ne laativat yhteisen raportin. Raportissa on esitettävä selkeästi erimielisyyttä aiheuttavat tieteelliset kysymykset </w:t>
            </w:r>
            <w:r w:rsidRPr="00E42524">
              <w:rPr>
                <w:b/>
                <w:i/>
              </w:rPr>
              <w:t>ja</w:t>
            </w:r>
            <w:r w:rsidRPr="00E42524">
              <w:t xml:space="preserve"> yksilöitävä niihin liittyvät tiedoissa olevat epävarmuustekijät, ja raportti on asetettava julkisesti saataville.</w:t>
            </w:r>
          </w:p>
        </w:tc>
        <w:tc>
          <w:tcPr>
            <w:tcW w:w="4876" w:type="dxa"/>
            <w:hideMark/>
          </w:tcPr>
          <w:p w:rsidR="00012C52" w:rsidRPr="00E42524" w:rsidRDefault="00012C52" w:rsidP="003D0EBC">
            <w:pPr>
              <w:pStyle w:val="Normal6"/>
              <w:rPr>
                <w:szCs w:val="24"/>
              </w:rPr>
            </w:pPr>
            <w:r w:rsidRPr="00E42524">
              <w:t xml:space="preserve">Elintarviketurvallisuusviranomaisen ja asianomaisen elimen on toimittava yhteistyössä eroavuuden ratkaisemiseksi </w:t>
            </w:r>
            <w:r w:rsidRPr="00E42524">
              <w:rPr>
                <w:b/>
                <w:i/>
              </w:rPr>
              <w:t>ja pyrittävä näin varmistamaan terveyden ja ympäristön suojelun mahdollisemman korkea taso</w:t>
            </w:r>
            <w:r w:rsidRPr="00E42524">
              <w:t>.</w:t>
            </w:r>
            <w:r w:rsidRPr="00E42524">
              <w:rPr>
                <w:b/>
                <w:i/>
              </w:rPr>
              <w:t xml:space="preserve"> Etusijalle on asetettava lausunto, joka takaa korkeimman suojelun tason, jotta voidaan suojella haavoittuvimmassa asemassa olevia ryhmiä.</w:t>
            </w:r>
            <w:r w:rsidRPr="00E42524">
              <w:t xml:space="preserve"> Jos elintarviketurvallisuusviranomainen ja asianomainen elin eivät pysty ratkaisemaan eroavuutta, ne laativat yhteisen raportin. Raportissa on esitettävä selkeästi erimielisyyttä aiheuttavat tieteelliset kysymykset</w:t>
            </w:r>
            <w:r w:rsidRPr="00E42524">
              <w:rPr>
                <w:b/>
                <w:i/>
              </w:rPr>
              <w:t>,</w:t>
            </w:r>
            <w:r w:rsidRPr="00E42524">
              <w:t xml:space="preserve"> yksilöitävä niihin liittyvät tiedoissa olevat epävarmuustekijät </w:t>
            </w:r>
            <w:r w:rsidRPr="00E42524">
              <w:rPr>
                <w:b/>
                <w:i/>
              </w:rPr>
              <w:t xml:space="preserve">ja </w:t>
            </w:r>
            <w:r w:rsidRPr="00E42524">
              <w:rPr>
                <w:b/>
                <w:i/>
              </w:rPr>
              <w:lastRenderedPageBreak/>
              <w:t>eriävien lausuntojen mahdolliset syyt, mukaan lukien menetelmäerot</w:t>
            </w:r>
            <w:r w:rsidRPr="00E42524">
              <w:t>, ja raportti on asetettava julkisesti saataville.</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6</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1 artikla – 1 kohta – 2 alakohta</w:t>
      </w:r>
    </w:p>
    <w:p w:rsidR="00012C52" w:rsidRPr="00E42524" w:rsidRDefault="00012C52" w:rsidP="00012C52">
      <w:pPr>
        <w:keepNext/>
      </w:pPr>
      <w:r w:rsidRPr="00E42524">
        <w:t xml:space="preserve">Asetus (EY) </w:t>
      </w:r>
      <w:proofErr w:type="gramStart"/>
      <w:r w:rsidRPr="00E42524">
        <w:t>N:o</w:t>
      </w:r>
      <w:proofErr w:type="gramEnd"/>
      <w:r w:rsidRPr="00E42524">
        <w:t xml:space="preserve"> 178/2002</w:t>
      </w:r>
    </w:p>
    <w:p w:rsidR="00012C52" w:rsidRPr="00E42524" w:rsidRDefault="00012C52" w:rsidP="00012C52">
      <w:r w:rsidRPr="00E42524">
        <w:t>30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tcPr>
          <w:p w:rsidR="00012C52" w:rsidRPr="00E42524" w:rsidRDefault="00012C52" w:rsidP="003D0EBC">
            <w:pPr>
              <w:pStyle w:val="Normal6"/>
            </w:pPr>
          </w:p>
        </w:tc>
        <w:tc>
          <w:tcPr>
            <w:tcW w:w="4876" w:type="dxa"/>
            <w:hideMark/>
          </w:tcPr>
          <w:p w:rsidR="00012C52" w:rsidRPr="00E42524" w:rsidRDefault="00012C52" w:rsidP="003D0EBC">
            <w:pPr>
              <w:pStyle w:val="Normal6"/>
              <w:rPr>
                <w:szCs w:val="24"/>
              </w:rPr>
            </w:pPr>
            <w:r w:rsidRPr="00E42524">
              <w:rPr>
                <w:b/>
                <w:i/>
              </w:rPr>
              <w:t>3 a.</w:t>
            </w:r>
            <w:r w:rsidRPr="00E42524">
              <w:rPr>
                <w:b/>
                <w:i/>
              </w:rPr>
              <w:tab/>
              <w:t>Jos on havaittu huomattava tieteellisiä kysymyksiä koskeva eroavuus ja jos kyseinen elin on jäsenvaltion elin, elintarviketurvallisuusviranomaisen ja kansallisen elimen on yhdessä joko ratkaistava eroavuus tai laadittava yhteinen asiakirja, jossa selvitetään erimielisyyttä aiheuttavat tieteelliset kysymykset ja osoitetaan tiedoissa olevat asiaa koskevat epävarmuudet. Kyseinen asiakirja on julkaistava.</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7</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1 artikla – 1 kohta – 2 alakohta</w:t>
      </w:r>
    </w:p>
    <w:p w:rsidR="00012C52" w:rsidRPr="00E42524" w:rsidRDefault="00012C52" w:rsidP="00012C52">
      <w:pPr>
        <w:keepNext/>
      </w:pPr>
      <w:r w:rsidRPr="00E42524">
        <w:t xml:space="preserve">Asetus (EY) </w:t>
      </w:r>
      <w:proofErr w:type="gramStart"/>
      <w:r w:rsidRPr="00E42524">
        <w:t>N:o</w:t>
      </w:r>
      <w:proofErr w:type="gramEnd"/>
      <w:r w:rsidRPr="00E42524">
        <w:t xml:space="preserve"> 178/2002</w:t>
      </w:r>
    </w:p>
    <w:p w:rsidR="00012C52" w:rsidRPr="00E42524" w:rsidRDefault="00012C52" w:rsidP="00012C52">
      <w:r w:rsidRPr="00E42524">
        <w:t>3 artikla – 3 b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tcPr>
          <w:p w:rsidR="00012C52" w:rsidRPr="00E42524" w:rsidRDefault="00012C52" w:rsidP="003D0EBC">
            <w:pPr>
              <w:pStyle w:val="Normal6"/>
            </w:pPr>
          </w:p>
        </w:tc>
        <w:tc>
          <w:tcPr>
            <w:tcW w:w="4876" w:type="dxa"/>
            <w:hideMark/>
          </w:tcPr>
          <w:p w:rsidR="00012C52" w:rsidRPr="00E42524" w:rsidRDefault="00012C52" w:rsidP="003D0EBC">
            <w:pPr>
              <w:pStyle w:val="Normal6"/>
              <w:rPr>
                <w:szCs w:val="24"/>
              </w:rPr>
            </w:pPr>
            <w:r w:rsidRPr="00E42524">
              <w:rPr>
                <w:b/>
                <w:i/>
              </w:rPr>
              <w:t>3 b.</w:t>
            </w:r>
            <w:r w:rsidRPr="00E42524">
              <w:rPr>
                <w:b/>
                <w:i/>
              </w:rPr>
              <w:tab/>
              <w:t xml:space="preserve">Jos havaitaan eroavuus ja jos elintarviketurvallisuusviranomainen pyytää lisätietoja toiselta unionin tai jäsenvaltion virastolta, viranomaisen laatiman selvityksen tai 2 kohdassa tarkoitetun yhteisen selvityksen laatimisen määräaikaa voidaan pidentää. Elintarviketurvallisuusviranomainen vahvistaa asiaankuuluvaa elintä kuultuaan määräajan, jonka kuluessa kyseiset tiedot on toimitettava, ja ilmoittaa komissiolle tarvittavasta määräajan jatkamisesta. Komissio ilmoittaa alan toimijoille tai asiaankuuluville alan toimijoille ja jäsenvaltioille määräajan </w:t>
            </w:r>
            <w:r w:rsidRPr="00E42524">
              <w:rPr>
                <w:b/>
                <w:i/>
              </w:rPr>
              <w:lastRenderedPageBreak/>
              <w:t>jatkamisesta.</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8</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3 artikla – 1 kohta – 1 alakohta</w:t>
      </w:r>
    </w:p>
    <w:p w:rsidR="00012C52" w:rsidRPr="00E42524" w:rsidRDefault="00012C52" w:rsidP="00012C52">
      <w:pPr>
        <w:keepNext/>
      </w:pPr>
      <w:r w:rsidRPr="00E42524">
        <w:t>Asetus (EU) 2017/745</w:t>
      </w:r>
    </w:p>
    <w:p w:rsidR="00012C52" w:rsidRPr="00E42524" w:rsidRDefault="00012C52" w:rsidP="00012C52">
      <w:r w:rsidRPr="00E42524">
        <w:t>Liite I – 10.4.1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”b)</w:t>
            </w:r>
            <w:r w:rsidRPr="00E42524">
              <w:tab/>
              <w:t xml:space="preserve">aineita, jotka on </w:t>
            </w:r>
            <w:r w:rsidRPr="00E42524">
              <w:rPr>
                <w:b/>
                <w:i/>
              </w:rPr>
              <w:t>yksilöity</w:t>
            </w:r>
            <w:r w:rsidRPr="00E42524">
              <w:t xml:space="preserve"> Euroopan parlamentin ja neuvoston asetuksen (EY) N:o 1272/2008</w:t>
            </w:r>
            <w:r w:rsidRPr="00E42524">
              <w:rPr>
                <w:vertAlign w:val="superscript"/>
              </w:rPr>
              <w:t>12</w:t>
            </w:r>
            <w:r w:rsidRPr="00E42524">
              <w:t xml:space="preserve"> liitteessä VI olevan 3 osan mukaisesti ihmisen hormonitoimintaa häiritseviksi aineiksi ja jotka kuuluvat kategoriaan 1, tai aineita, joilla on hormonitoimintaa häiritseviä ominaisuuksia ja joiden osalta on tieteellistä näyttöä todennäköisistä vakavista vaikutuksista ihmisten terveyteen ja jotka on yksilöity Euroopan parlamentin ja neuvoston asetuksen (EY) N:o 1907/2006 59 artiklassa säädetyn menettelyn mukaisesti, taikka asetuksen (EU) N:o 528/2012 mukaisesti yksilöityjä aineita, joilla on ihmisten terveyteen vaikuttavia hormonitoimintaa häiritseviä ominaisuuksia.”</w:t>
            </w:r>
          </w:p>
        </w:tc>
        <w:tc>
          <w:tcPr>
            <w:tcW w:w="4876" w:type="dxa"/>
            <w:hideMark/>
          </w:tcPr>
          <w:p w:rsidR="00012C52" w:rsidRPr="00E42524" w:rsidRDefault="00012C52" w:rsidP="003D0EBC">
            <w:pPr>
              <w:pStyle w:val="Normal6"/>
              <w:rPr>
                <w:szCs w:val="24"/>
              </w:rPr>
            </w:pPr>
            <w:r w:rsidRPr="00E42524">
              <w:t>”b)</w:t>
            </w:r>
            <w:r w:rsidRPr="00E42524">
              <w:tab/>
              <w:t xml:space="preserve">aineita, jotka on </w:t>
            </w:r>
            <w:r w:rsidRPr="00E42524">
              <w:rPr>
                <w:b/>
                <w:i/>
              </w:rPr>
              <w:t>luokiteltu</w:t>
            </w:r>
            <w:r w:rsidRPr="00E42524">
              <w:t xml:space="preserve"> Euroopan parlamentin ja neuvoston asetuksen (EY) N:o 1272/2008</w:t>
            </w:r>
            <w:r w:rsidRPr="00E42524">
              <w:rPr>
                <w:vertAlign w:val="superscript"/>
              </w:rPr>
              <w:t>12</w:t>
            </w:r>
            <w:r w:rsidRPr="00E42524">
              <w:t xml:space="preserve"> liitteessä VI olevan 3 osan mukaisesti ihmisen hormonitoimintaa häiritseviksi aineiksi ja jotka kuuluvat kategoriaan 1, tai aineita, joilla on hormonitoimintaa häiritseviä ominaisuuksia ja joiden osalta on tieteellistä näyttöä todennäköisistä vakavista vaikutuksista ihmisten terveyteen ja jotka on yksilöity Euroopan parlamentin ja neuvoston asetuksen (EY) N:o 1907/2006 59 artiklassa säädetyn menettelyn mukaisesti, taikka asetuksen (EU) N:o 528/2012 mukaisesti yksilöityjä aineita, joilla on ihmisten terveyteen vaikuttavia hormonitoimintaa häiritseviä ominaisuuksia.</w:t>
            </w:r>
          </w:p>
        </w:tc>
      </w:tr>
      <w:tr w:rsidR="00012C52" w:rsidRPr="00E42524" w:rsidTr="003D0EBC">
        <w:trPr>
          <w:jc w:val="center"/>
        </w:trPr>
        <w:tc>
          <w:tcPr>
            <w:tcW w:w="4876" w:type="dxa"/>
            <w:hideMark/>
          </w:tcPr>
          <w:p w:rsidR="00012C52" w:rsidRPr="00E42524" w:rsidRDefault="00012C52" w:rsidP="003D0EBC">
            <w:pPr>
              <w:pStyle w:val="Normal6"/>
            </w:pPr>
            <w:r w:rsidRPr="00E42524">
              <w:t>__________________</w:t>
            </w:r>
          </w:p>
        </w:tc>
        <w:tc>
          <w:tcPr>
            <w:tcW w:w="4876" w:type="dxa"/>
            <w:hideMark/>
          </w:tcPr>
          <w:p w:rsidR="00012C52" w:rsidRPr="00E42524" w:rsidRDefault="00012C52" w:rsidP="003D0EBC">
            <w:pPr>
              <w:pStyle w:val="Normal6"/>
              <w:rPr>
                <w:szCs w:val="24"/>
              </w:rPr>
            </w:pPr>
            <w:r w:rsidRPr="00E42524">
              <w:t>__________________</w:t>
            </w:r>
          </w:p>
        </w:tc>
      </w:tr>
      <w:tr w:rsidR="00012C52" w:rsidRPr="00E42524" w:rsidTr="003D0EBC">
        <w:trPr>
          <w:jc w:val="center"/>
        </w:trPr>
        <w:tc>
          <w:tcPr>
            <w:tcW w:w="4876" w:type="dxa"/>
            <w:hideMark/>
          </w:tcPr>
          <w:p w:rsidR="00012C52" w:rsidRPr="00E42524" w:rsidRDefault="00012C52" w:rsidP="003D0EBC">
            <w:pPr>
              <w:pStyle w:val="Normal6"/>
            </w:pPr>
            <w:r w:rsidRPr="00E42524">
              <w:rPr>
                <w:vertAlign w:val="superscript"/>
              </w:rPr>
              <w:t>12</w:t>
            </w:r>
            <w:r w:rsidRPr="00E42524">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tc>
        <w:tc>
          <w:tcPr>
            <w:tcW w:w="4876" w:type="dxa"/>
            <w:hideMark/>
          </w:tcPr>
          <w:p w:rsidR="00012C52" w:rsidRPr="00E42524" w:rsidRDefault="00012C52" w:rsidP="003D0EBC">
            <w:pPr>
              <w:pStyle w:val="Normal6"/>
              <w:rPr>
                <w:szCs w:val="24"/>
              </w:rPr>
            </w:pPr>
            <w:r w:rsidRPr="00E42524">
              <w:rPr>
                <w:vertAlign w:val="superscript"/>
              </w:rPr>
              <w:t>12</w:t>
            </w:r>
            <w:r w:rsidRPr="00E42524">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9</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2 alakohta</w:t>
      </w:r>
    </w:p>
    <w:p w:rsidR="00012C52" w:rsidRPr="00E42524" w:rsidRDefault="00012C52" w:rsidP="00012C52">
      <w:pPr>
        <w:keepNext/>
      </w:pPr>
      <w:r w:rsidRPr="00E42524">
        <w:t>Asetus (EU) 2019/1021</w:t>
      </w:r>
    </w:p>
    <w:p w:rsidR="00012C52" w:rsidRPr="00E42524" w:rsidRDefault="00012C52" w:rsidP="00012C52">
      <w:r w:rsidRPr="00E42524">
        <w:t>8 artikla – 1 a kohta – 1 alakohta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a)</w:t>
            </w:r>
            <w:r w:rsidRPr="00E42524">
              <w:tab/>
            </w:r>
            <w:r w:rsidRPr="00E42524">
              <w:rPr>
                <w:b/>
                <w:i/>
              </w:rPr>
              <w:t>soveltuvin osin</w:t>
            </w:r>
            <w:r w:rsidRPr="00E42524">
              <w:t xml:space="preserve"> tiedot POP-yhdisteistä koostuvan, niitä sisältävän tai niiden saastuttaman jätteen vaikutuksista ihmisten terveyteen ja ympäristöön, mukaan lukien vaikutukset jätehuoltoon;</w:t>
            </w:r>
          </w:p>
        </w:tc>
        <w:tc>
          <w:tcPr>
            <w:tcW w:w="4876" w:type="dxa"/>
            <w:hideMark/>
          </w:tcPr>
          <w:p w:rsidR="00012C52" w:rsidRPr="00E42524" w:rsidRDefault="00012C52" w:rsidP="003D0EBC">
            <w:pPr>
              <w:pStyle w:val="Normal6"/>
              <w:rPr>
                <w:szCs w:val="24"/>
              </w:rPr>
            </w:pPr>
            <w:r w:rsidRPr="00E42524">
              <w:t>a)</w:t>
            </w:r>
            <w:r w:rsidRPr="00E42524">
              <w:tab/>
              <w:t>tiedot POP-yhdisteistä koostuvan, niitä sisältävän tai niiden saastuttaman jätteen vaikutuksista ihmisten terveyteen ja ympäristöön, mukaan lukien vaikutukset jätehuoltoon;</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10</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2 alakohta</w:t>
      </w:r>
    </w:p>
    <w:p w:rsidR="00012C52" w:rsidRPr="00E42524" w:rsidRDefault="00012C52" w:rsidP="00012C52">
      <w:pPr>
        <w:keepNext/>
      </w:pPr>
      <w:r w:rsidRPr="00E42524">
        <w:t>Asetus (EU) 2019/1021</w:t>
      </w:r>
    </w:p>
    <w:p w:rsidR="00012C52" w:rsidRPr="00E42524" w:rsidRDefault="00012C52" w:rsidP="00012C52">
      <w:r w:rsidRPr="00E42524">
        <w:t>8 artikla – 1 a kohta – 2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Kemikaalivirasto julkaisee heti 1 kohdan i alakohdassa tarkoitetun pyynnön saatuaan verkkosivustollaan ilmoituksen liitteen IV tai V mahdollista muuttamista koskevan raportin laatimisesta ja kehottaa ilmoituksessa kaikkia asianomaisia osapuolia, muun muassa jätealan toimijoita ja kierrätettyjen materiaalien käyttäjiä, esittämään huomautuksensa kahdeksan viikon kuluessa. Kemikaalivirasto julkaisee esitetyt huomautukset verkkosivustollaan.</w:t>
            </w:r>
          </w:p>
        </w:tc>
        <w:tc>
          <w:tcPr>
            <w:tcW w:w="4876" w:type="dxa"/>
            <w:hideMark/>
          </w:tcPr>
          <w:p w:rsidR="00012C52" w:rsidRPr="00E42524" w:rsidRDefault="00012C52" w:rsidP="003D0EBC">
            <w:pPr>
              <w:pStyle w:val="Normal6"/>
              <w:rPr>
                <w:szCs w:val="24"/>
              </w:rPr>
            </w:pPr>
            <w:r w:rsidRPr="00E42524">
              <w:t xml:space="preserve">Kemikaalivirasto julkaisee heti </w:t>
            </w:r>
            <w:r w:rsidRPr="00E42524">
              <w:rPr>
                <w:b/>
                <w:i/>
              </w:rPr>
              <w:t>8 artiklan</w:t>
            </w:r>
            <w:r w:rsidRPr="00E42524">
              <w:t xml:space="preserve"> 1 kohdan i alakohdassa tarkoitetun pyynnön saatuaan verkkosivustollaan ilmoituksen liitteen IV tai V mahdollista muuttamista koskevan raportin laatimisesta ja kehottaa ilmoituksessa kaikkia asianomaisia osapuolia, muun muassa jätealan toimijoita ja kierrätettyjen materiaalien käyttäjiä, esittämään huomautuksensa kahdeksan viikon kuluessa. Kemikaalivirasto julkaisee esitetyt huomautukset verkkosivustollaan.</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11</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2 alakohta</w:t>
      </w:r>
    </w:p>
    <w:p w:rsidR="00012C52" w:rsidRPr="00E42524" w:rsidRDefault="00012C52" w:rsidP="00012C52">
      <w:pPr>
        <w:keepNext/>
      </w:pPr>
      <w:r w:rsidRPr="00E42524">
        <w:t>Asetus (EU) 2019/1021</w:t>
      </w:r>
    </w:p>
    <w:p w:rsidR="00012C52" w:rsidRPr="00E42524" w:rsidRDefault="00012C52" w:rsidP="00012C52">
      <w:r w:rsidRPr="00E42524">
        <w:t>8 artikla – 1 a kohta – 3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Asetuksen (EY) </w:t>
            </w:r>
            <w:proofErr w:type="gramStart"/>
            <w:r w:rsidRPr="00E42524">
              <w:t>N:o</w:t>
            </w:r>
            <w:proofErr w:type="gramEnd"/>
            <w:r w:rsidRPr="00E42524">
              <w:t xml:space="preserve"> 1907/2006 76 artiklan 1 kohdan d alakohdan nojalla perustettu kemikaaliviraston sosioekonomisesta analyysista vastaava komitea antaa viimeistään yhdeksän kuukauden kuluttua </w:t>
            </w:r>
            <w:r w:rsidRPr="00E42524">
              <w:rPr>
                <w:b/>
                <w:i/>
              </w:rPr>
              <w:t>kyseisen</w:t>
            </w:r>
            <w:r w:rsidRPr="00E42524">
              <w:t xml:space="preserve"> raportin toimittamisesta lausunnon raportista ja siinä ehdotetuista pitoisuuden raja-arvoista. Raporttia koskevaa lausuntoa laadittaessa sovelletaan </w:t>
            </w:r>
            <w:r w:rsidRPr="00E42524">
              <w:lastRenderedPageBreak/>
              <w:t>soveltuvin osin asetuksen (EY) N:o 1907/2006 87 artiklaa.</w:t>
            </w:r>
          </w:p>
        </w:tc>
        <w:tc>
          <w:tcPr>
            <w:tcW w:w="4876" w:type="dxa"/>
            <w:hideMark/>
          </w:tcPr>
          <w:p w:rsidR="00012C52" w:rsidRPr="00E42524" w:rsidRDefault="00012C52" w:rsidP="003D0EBC">
            <w:pPr>
              <w:pStyle w:val="Normal6"/>
              <w:rPr>
                <w:szCs w:val="24"/>
              </w:rPr>
            </w:pPr>
            <w:r w:rsidRPr="00E42524">
              <w:lastRenderedPageBreak/>
              <w:t>Asetuksen (EY) </w:t>
            </w:r>
            <w:proofErr w:type="gramStart"/>
            <w:r w:rsidRPr="00E42524">
              <w:t>N:o</w:t>
            </w:r>
            <w:proofErr w:type="gramEnd"/>
            <w:r w:rsidRPr="00E42524">
              <w:t xml:space="preserve"> 1907/2006 76 artiklan 1 kohdan d alakohdan nojalla perustettu kemikaaliviraston sosioekonomisesta analyysista vastaava komitea antaa viimeistään yhdeksän kuukauden kuluttua </w:t>
            </w:r>
            <w:r w:rsidRPr="00E42524">
              <w:rPr>
                <w:b/>
                <w:i/>
              </w:rPr>
              <w:t>8 artiklan 1 kohdan i alakohdassa tarkoitetun</w:t>
            </w:r>
            <w:r w:rsidRPr="00E42524">
              <w:t xml:space="preserve"> raportin toimittamisesta lausunnon raportista ja siinä ehdotetuista pitoisuuden raja-arvoista. Raporttia </w:t>
            </w:r>
            <w:r w:rsidRPr="00E42524">
              <w:lastRenderedPageBreak/>
              <w:t>koskevaa lausuntoa laadittaessa sovelletaan soveltuvin osin asetuksen (EY) N:o 1907/2006 87 artiklaa.</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12</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4 alakohta</w:t>
      </w:r>
    </w:p>
    <w:p w:rsidR="00012C52" w:rsidRPr="00E42524" w:rsidRDefault="00012C52" w:rsidP="00012C52">
      <w:pPr>
        <w:keepNext/>
      </w:pPr>
      <w:r w:rsidRPr="00E42524">
        <w:t>Asetus (EU) 2019/1021</w:t>
      </w:r>
    </w:p>
    <w:p w:rsidR="00012C52" w:rsidRPr="00E42524" w:rsidRDefault="00012C52" w:rsidP="00012C52">
      <w:r w:rsidRPr="00E42524">
        <w:t>15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2.</w:t>
            </w:r>
            <w:r w:rsidRPr="00E42524">
              <w:tab/>
              <w:t>Siirretään komissiolle valta antaa 18 artiklan mukaisesti delegoituja säädöksiä, joilla muutetaan liitteitä IV ja V niiden mukauttamiseksi yleissopimuksen tai pöytäkirjan liitteissä esitetyn aineiden luettelon muutoksiin tai tieteen ja tekniikan kehitykseen.”</w:t>
            </w:r>
          </w:p>
        </w:tc>
        <w:tc>
          <w:tcPr>
            <w:tcW w:w="4876" w:type="dxa"/>
            <w:hideMark/>
          </w:tcPr>
          <w:p w:rsidR="00012C52" w:rsidRPr="00E42524" w:rsidRDefault="00012C52" w:rsidP="003D0EBC">
            <w:pPr>
              <w:pStyle w:val="Normal6"/>
              <w:rPr>
                <w:szCs w:val="24"/>
              </w:rPr>
            </w:pPr>
            <w:r w:rsidRPr="00E42524">
              <w:t>2.</w:t>
            </w:r>
            <w:r w:rsidRPr="00E42524">
              <w:tab/>
              <w:t xml:space="preserve">Siirretään komissiolle valta antaa 18 artiklan mukaisesti delegoituja säädöksiä, joilla muutetaan liitteitä IV ja V niiden mukauttamiseksi </w:t>
            </w:r>
            <w:r w:rsidRPr="00E42524">
              <w:rPr>
                <w:b/>
                <w:bCs/>
                <w:i/>
                <w:iCs/>
              </w:rPr>
              <w:t>asetuksen</w:t>
            </w:r>
            <w:r w:rsidRPr="00E42524">
              <w:t xml:space="preserve"> </w:t>
            </w:r>
            <w:r w:rsidRPr="00E42524">
              <w:rPr>
                <w:b/>
                <w:i/>
              </w:rPr>
              <w:t>(EU) 2019/1021 liitteissä I, II tai III tai</w:t>
            </w:r>
            <w:r w:rsidRPr="00E42524">
              <w:t xml:space="preserve"> yleissopimuksen tai pöytäkirjan liitteissä esitetyn aineiden luettelon muutoksiin tai tieteen ja tekniikan kehitykseen.”</w:t>
            </w:r>
          </w:p>
        </w:tc>
      </w:tr>
    </w:tbl>
    <w:p w:rsidR="00012C52" w:rsidRPr="00E42524" w:rsidRDefault="00012C52" w:rsidP="00012C52"/>
    <w:p w:rsidR="00012C52" w:rsidRPr="00E42524" w:rsidRDefault="00012C52" w:rsidP="00990FAE">
      <w:pPr>
        <w:pStyle w:val="AmNumberTabs"/>
      </w:pPr>
      <w:r w:rsidRPr="00E42524">
        <w:t>Tarkistus</w:t>
      </w:r>
      <w:r w:rsidR="009E7DC4" w:rsidRPr="00E42524">
        <w:t xml:space="preserve"> </w:t>
      </w:r>
      <w:r w:rsidRPr="00E42524">
        <w:t>13</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4 a alakohta (uusi)</w:t>
      </w:r>
    </w:p>
    <w:p w:rsidR="00012C52" w:rsidRPr="00E42524" w:rsidRDefault="00012C52" w:rsidP="00012C52">
      <w:pPr>
        <w:keepNext/>
      </w:pPr>
      <w:r w:rsidRPr="00E42524">
        <w:t>Asetus (EU) 2019/1021</w:t>
      </w:r>
    </w:p>
    <w:p w:rsidR="00012C52" w:rsidRPr="00E42524" w:rsidRDefault="00012C52" w:rsidP="00012C52">
      <w:r w:rsidRPr="00E42524">
        <w:t>16 artikla – 2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tcPr>
          <w:p w:rsidR="00012C52" w:rsidRPr="00E42524" w:rsidRDefault="00012C52" w:rsidP="003D0EBC">
            <w:pPr>
              <w:pStyle w:val="Normal6"/>
            </w:pPr>
          </w:p>
        </w:tc>
        <w:tc>
          <w:tcPr>
            <w:tcW w:w="4876" w:type="dxa"/>
            <w:hideMark/>
          </w:tcPr>
          <w:p w:rsidR="00012C52" w:rsidRPr="00E42524" w:rsidRDefault="00012C52" w:rsidP="003D0EBC">
            <w:pPr>
              <w:pStyle w:val="Normal6"/>
              <w:rPr>
                <w:szCs w:val="24"/>
              </w:rPr>
            </w:pPr>
            <w:r w:rsidRPr="00E42524">
              <w:rPr>
                <w:b/>
                <w:i/>
              </w:rPr>
              <w:t>4 a)</w:t>
            </w:r>
            <w:r w:rsidRPr="00E42524">
              <w:rPr>
                <w:b/>
                <w:i/>
              </w:rPr>
              <w:tab/>
              <w:t>Lisätään 16 artiklaan kohta seuraavasti:</w:t>
            </w:r>
          </w:p>
        </w:tc>
      </w:tr>
      <w:tr w:rsidR="00012C52" w:rsidRPr="00E42524" w:rsidTr="003D0EBC">
        <w:trPr>
          <w:jc w:val="center"/>
        </w:trPr>
        <w:tc>
          <w:tcPr>
            <w:tcW w:w="4876" w:type="dxa"/>
          </w:tcPr>
          <w:p w:rsidR="00012C52" w:rsidRPr="00E42524" w:rsidRDefault="00012C52" w:rsidP="003D0EBC">
            <w:pPr>
              <w:pStyle w:val="Normal6"/>
            </w:pPr>
          </w:p>
        </w:tc>
        <w:tc>
          <w:tcPr>
            <w:tcW w:w="4876" w:type="dxa"/>
            <w:hideMark/>
          </w:tcPr>
          <w:p w:rsidR="00012C52" w:rsidRPr="00E42524" w:rsidRDefault="00012C52" w:rsidP="003D0EBC">
            <w:pPr>
              <w:pStyle w:val="Normal6"/>
              <w:rPr>
                <w:szCs w:val="24"/>
              </w:rPr>
            </w:pPr>
            <w:r w:rsidRPr="00E42524">
              <w:rPr>
                <w:b/>
                <w:i/>
              </w:rPr>
              <w:t>”2 a.</w:t>
            </w:r>
            <w:r w:rsidRPr="00E42524">
              <w:rPr>
                <w:b/>
                <w:i/>
              </w:rPr>
              <w:tab/>
              <w:t>Komissio seuraa Euroopan kemikaaliviraston resurssien ja tehtävien tilannetta ja Euroopan kemikaaliviraston tiedekomiteoiden tehtäviä, työmäärää ja toimivaltaa ja tekee tarvittaessa lainsäädäntöehdotuksia, joilla vastataan tässä asetuksessa säädettyihin tehtäviin perustuviin Euroopan kemikaaliviraston tarpeisiin ja joilla kehitetään tiedekomiteoiden hallintoa.”</w:t>
            </w:r>
          </w:p>
        </w:tc>
      </w:tr>
    </w:tbl>
    <w:p w:rsidR="00012C52" w:rsidRPr="00E42524" w:rsidRDefault="00012C52" w:rsidP="00012C52"/>
    <w:p w:rsidR="00012C52" w:rsidRPr="00E42524" w:rsidRDefault="00012C52" w:rsidP="009E7DC4">
      <w:pPr>
        <w:pStyle w:val="AmNumberTabs"/>
      </w:pPr>
      <w:r w:rsidRPr="00E42524">
        <w:t>Tarkistus</w:t>
      </w:r>
      <w:r w:rsidR="009E7DC4" w:rsidRPr="00E42524">
        <w:t xml:space="preserve"> </w:t>
      </w:r>
      <w:r w:rsidRPr="00E42524">
        <w:t>14</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5 alakohta – c alakohta</w:t>
      </w:r>
    </w:p>
    <w:p w:rsidR="00012C52" w:rsidRPr="00E42524" w:rsidRDefault="00012C52" w:rsidP="00012C52">
      <w:pPr>
        <w:keepNext/>
      </w:pPr>
      <w:r w:rsidRPr="00E42524">
        <w:lastRenderedPageBreak/>
        <w:t>Asetus (EU) 2019/1021</w:t>
      </w:r>
    </w:p>
    <w:p w:rsidR="00012C52" w:rsidRPr="00E42524" w:rsidRDefault="00012C52" w:rsidP="00012C52">
      <w:r w:rsidRPr="00E42524">
        <w:t>18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2C52" w:rsidRPr="00E42524" w:rsidTr="003D0EBC">
        <w:trPr>
          <w:jc w:val="center"/>
        </w:trPr>
        <w:tc>
          <w:tcPr>
            <w:tcW w:w="9752" w:type="dxa"/>
            <w:gridSpan w:val="2"/>
          </w:tcPr>
          <w:p w:rsidR="00012C52" w:rsidRPr="00E42524" w:rsidRDefault="00012C52" w:rsidP="003D0EBC">
            <w:pPr>
              <w:keepNext/>
            </w:pPr>
          </w:p>
        </w:tc>
      </w:tr>
      <w:tr w:rsidR="00012C52" w:rsidRPr="00E42524" w:rsidTr="003D0EBC">
        <w:trPr>
          <w:jc w:val="center"/>
        </w:trPr>
        <w:tc>
          <w:tcPr>
            <w:tcW w:w="4876" w:type="dxa"/>
            <w:hideMark/>
          </w:tcPr>
          <w:p w:rsidR="00012C52" w:rsidRPr="00E42524" w:rsidRDefault="00012C52" w:rsidP="003D0EBC">
            <w:pPr>
              <w:pStyle w:val="ColumnHeading"/>
              <w:keepNext/>
            </w:pPr>
            <w:r w:rsidRPr="00E42524">
              <w:t>Komission teksti</w:t>
            </w:r>
          </w:p>
        </w:tc>
        <w:tc>
          <w:tcPr>
            <w:tcW w:w="4876" w:type="dxa"/>
            <w:hideMark/>
          </w:tcPr>
          <w:p w:rsidR="00012C52" w:rsidRPr="00E42524" w:rsidRDefault="00012C52" w:rsidP="003D0EBC">
            <w:pPr>
              <w:pStyle w:val="ColumnHeading"/>
              <w:keepNext/>
            </w:pPr>
            <w:r w:rsidRPr="00E42524">
              <w:t>Tarkistus</w:t>
            </w:r>
          </w:p>
        </w:tc>
      </w:tr>
      <w:tr w:rsidR="00012C52" w:rsidRPr="00E42524" w:rsidTr="003D0EBC">
        <w:trPr>
          <w:jc w:val="center"/>
        </w:trPr>
        <w:tc>
          <w:tcPr>
            <w:tcW w:w="4876" w:type="dxa"/>
            <w:hideMark/>
          </w:tcPr>
          <w:p w:rsidR="00012C52" w:rsidRPr="00E42524" w:rsidRDefault="00012C52" w:rsidP="003D0EBC">
            <w:pPr>
              <w:pStyle w:val="Normal6"/>
            </w:pPr>
            <w:r w:rsidRPr="00E42524">
              <w:t>6.</w:t>
            </w:r>
            <w:r w:rsidRPr="00E42524">
              <w:tab/>
              <w:t>Edellä olevien 4 artiklan 3 kohdan, 10 artiklan 2 kohdan ja 15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w:t>
            </w:r>
          </w:p>
        </w:tc>
        <w:tc>
          <w:tcPr>
            <w:tcW w:w="4876" w:type="dxa"/>
            <w:hideMark/>
          </w:tcPr>
          <w:p w:rsidR="00012C52" w:rsidRPr="00E42524" w:rsidRDefault="00012C52" w:rsidP="003D0EBC">
            <w:pPr>
              <w:pStyle w:val="Normal6"/>
              <w:rPr>
                <w:szCs w:val="24"/>
              </w:rPr>
            </w:pPr>
            <w:r w:rsidRPr="00E42524">
              <w:t>6.</w:t>
            </w:r>
            <w:r w:rsidRPr="00E42524">
              <w:tab/>
              <w:t xml:space="preserve">Edellä olevien 4 artiklan 3 kohdan, 10 artiklan 2 kohdan ja 15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E42524">
              <w:t>parlamentti</w:t>
            </w:r>
            <w:proofErr w:type="gramEnd"/>
            <w:r w:rsidRPr="00E42524">
              <w:t xml:space="preserve"> että neuvosto ovat ennen mainitun määräajan päättymistä ilmoittaneet komissiolle, että ne eivät vastusta säädöstä. </w:t>
            </w:r>
            <w:r w:rsidRPr="00E42524">
              <w:rPr>
                <w:b/>
                <w:i/>
              </w:rPr>
              <w:t>Euroopan parlamentin tai neuvoston aloitteesta tätä määräaikaa voidaan jatkaa kahdella kuukaudella.</w:t>
            </w:r>
            <w:r w:rsidRPr="00E42524">
              <w:t>”</w:t>
            </w:r>
          </w:p>
        </w:tc>
      </w:tr>
    </w:tbl>
    <w:p w:rsidR="00012C52" w:rsidRPr="00E42524" w:rsidRDefault="00012C52" w:rsidP="00012C52"/>
    <w:p w:rsidR="00012C52" w:rsidRPr="00E42524" w:rsidRDefault="00012C52" w:rsidP="00012C52">
      <w:pPr>
        <w:pStyle w:val="AmNumberTabs"/>
      </w:pPr>
      <w:r w:rsidRPr="00E42524">
        <w:t>Tarkistus</w:t>
      </w:r>
      <w:r w:rsidR="009E7DC4" w:rsidRPr="00E42524">
        <w:t xml:space="preserve"> </w:t>
      </w:r>
      <w:r w:rsidRPr="00E42524">
        <w:t>15</w:t>
      </w:r>
    </w:p>
    <w:p w:rsidR="00012C52" w:rsidRPr="00E42524" w:rsidRDefault="00012C52" w:rsidP="009E7DC4">
      <w:pPr>
        <w:pStyle w:val="NormalBold"/>
        <w:keepNext/>
        <w:spacing w:before="240"/>
        <w:rPr>
          <w:b w:val="0"/>
        </w:rPr>
      </w:pPr>
      <w:r w:rsidRPr="00E42524">
        <w:t>Ehdotus asetukseksi</w:t>
      </w:r>
    </w:p>
    <w:p w:rsidR="00012C52" w:rsidRPr="00E42524" w:rsidRDefault="00012C52" w:rsidP="00012C52">
      <w:pPr>
        <w:pStyle w:val="NormalBold"/>
      </w:pPr>
      <w:r w:rsidRPr="00E42524">
        <w:t>4 artikla – 1 kohta – 5 alakohta – c a alakohta (uusi)</w:t>
      </w:r>
    </w:p>
    <w:p w:rsidR="00012C52" w:rsidRPr="00E42524" w:rsidRDefault="00012C52" w:rsidP="00012C52">
      <w:r w:rsidRPr="00E42524">
        <w:t>Asetus (EU) 2019/1021</w:t>
      </w:r>
    </w:p>
    <w:p w:rsidR="00012C52" w:rsidRPr="00E42524" w:rsidRDefault="00012C52" w:rsidP="00012C52">
      <w:r w:rsidRPr="00E42524">
        <w:t>Liite IV – 1 taulukko – 5 rivi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Nykyinen teksti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Alkaanit</w:t>
            </w:r>
            <w:proofErr w:type="spellEnd"/>
            <w:r w:rsidRPr="00E42524">
              <w:t xml:space="preserve"> C10–C13, kloori- (lyhytketjuiset klooratut parafiinit – SCCP)</w:t>
            </w:r>
          </w:p>
        </w:tc>
        <w:tc>
          <w:tcPr>
            <w:tcW w:w="155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85535-84-8</w:t>
            </w:r>
          </w:p>
        </w:tc>
        <w:tc>
          <w:tcPr>
            <w:tcW w:w="141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287-476-5</w:t>
            </w: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1 500 mg/kg</w:t>
            </w:r>
          </w:p>
          <w:p w:rsidR="00012C52" w:rsidRPr="00E42524" w:rsidRDefault="00012C52" w:rsidP="003D0EBC">
            <w:pPr>
              <w:pStyle w:val="Normal6a"/>
            </w:pPr>
            <w:r w:rsidRPr="00E42524">
              <w:t xml:space="preserve">Komissio tarkastelee kyseistä pitoisuusrajaa uudelleen ja antaa tarvittaessa </w:t>
            </w:r>
            <w:r w:rsidRPr="00E42524">
              <w:rPr>
                <w:b/>
                <w:i/>
              </w:rPr>
              <w:t>lainsäädäntöehdotuksen</w:t>
            </w:r>
            <w:r w:rsidRPr="00E42524">
              <w:t xml:space="preserve"> kyseisen arvon alentamiseksi </w:t>
            </w:r>
            <w:r w:rsidRPr="00E42524">
              <w:rPr>
                <w:b/>
                <w:i/>
              </w:rPr>
              <w:t>viimeistään 30 päivänä joulukuuta 2027</w:t>
            </w:r>
            <w:r w:rsidRPr="00E42524">
              <w:t>.</w:t>
            </w:r>
          </w:p>
        </w:tc>
      </w:tr>
    </w:tbl>
    <w:p w:rsidR="00012C52" w:rsidRPr="00E42524" w:rsidRDefault="00012C52" w:rsidP="00012C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Tarkistus</w:t>
            </w:r>
          </w:p>
        </w:tc>
      </w:tr>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AmColumnHeading"/>
              <w:jc w:val="left"/>
              <w:rPr>
                <w:b/>
              </w:rPr>
            </w:pPr>
            <w:r w:rsidRPr="00E42524">
              <w:rPr>
                <w:b/>
              </w:rPr>
              <w:t>c a)</w:t>
            </w:r>
            <w:r w:rsidRPr="00E42524">
              <w:rPr>
                <w:b/>
              </w:rPr>
              <w:tab/>
              <w:t>Korvataan liitteessä IV olevan taulukon 1 rivi 5 seuraavasti: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Alkaanit</w:t>
            </w:r>
            <w:proofErr w:type="spellEnd"/>
            <w:r w:rsidRPr="00E42524">
              <w:t xml:space="preserve"> C10–C13, kloori- (lyhytketjuiset klooratut parafiinit – SCCP)</w:t>
            </w:r>
          </w:p>
        </w:tc>
        <w:tc>
          <w:tcPr>
            <w:tcW w:w="155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85535-84-8</w:t>
            </w:r>
          </w:p>
        </w:tc>
        <w:tc>
          <w:tcPr>
            <w:tcW w:w="141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287-476-5</w:t>
            </w: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1 500 mg/kg</w:t>
            </w:r>
          </w:p>
          <w:p w:rsidR="00012C52" w:rsidRPr="00E42524" w:rsidRDefault="00012C52" w:rsidP="003D0EBC">
            <w:pPr>
              <w:pStyle w:val="Normal6a"/>
            </w:pPr>
            <w:r w:rsidRPr="00E42524">
              <w:t>Komissio tarkastelee kyseistä pitoisuusrajaa uudelleen</w:t>
            </w:r>
            <w:r w:rsidRPr="00E42524">
              <w:rPr>
                <w:b/>
              </w:rPr>
              <w:t xml:space="preserve"> </w:t>
            </w:r>
            <w:r w:rsidRPr="00E42524">
              <w:rPr>
                <w:b/>
                <w:bCs/>
                <w:i/>
                <w:iCs/>
              </w:rPr>
              <w:t>viimeistään 30 päivänä joulukuuta 2027</w:t>
            </w:r>
            <w:r w:rsidRPr="00E42524">
              <w:t xml:space="preserve"> ja antaa tarvittaessa </w:t>
            </w:r>
            <w:r w:rsidRPr="00E42524">
              <w:rPr>
                <w:b/>
                <w:bCs/>
                <w:i/>
                <w:iCs/>
              </w:rPr>
              <w:t>delegoidun säädöksen 15 artiklan 2 kohdan mukaisesti</w:t>
            </w:r>
            <w:r w:rsidRPr="00E42524">
              <w:t xml:space="preserve"> kyseisen arvon alentamiseksi.</w:t>
            </w:r>
          </w:p>
        </w:tc>
      </w:tr>
    </w:tbl>
    <w:p w:rsidR="00012C52" w:rsidRPr="00E42524" w:rsidRDefault="00012C52" w:rsidP="00012C52"/>
    <w:p w:rsidR="00012C52" w:rsidRPr="00E42524" w:rsidRDefault="00012C52" w:rsidP="00012C52">
      <w:pPr>
        <w:pStyle w:val="AmNumberTabs"/>
      </w:pPr>
      <w:r w:rsidRPr="00E42524">
        <w:lastRenderedPageBreak/>
        <w:t>Tarkistus</w:t>
      </w:r>
      <w:r w:rsidR="009E7DC4" w:rsidRPr="00E42524">
        <w:t xml:space="preserve"> </w:t>
      </w:r>
      <w:r w:rsidRPr="00E42524">
        <w:t>16</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5 alakohta – c b alakohta (uusi)</w:t>
      </w:r>
    </w:p>
    <w:p w:rsidR="00012C52" w:rsidRPr="00E42524" w:rsidRDefault="00012C52" w:rsidP="00012C52">
      <w:r w:rsidRPr="00E42524">
        <w:t>Asetus (EU) 2019/1021</w:t>
      </w:r>
    </w:p>
    <w:p w:rsidR="00012C52" w:rsidRPr="00E42524" w:rsidRDefault="00012C52" w:rsidP="00012C52">
      <w:r w:rsidRPr="00E42524">
        <w:t>Liite IV – 1 taulukko – 12 rivi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Nykyinen teksti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Polyklooratut</w:t>
            </w:r>
            <w:proofErr w:type="spellEnd"/>
            <w:r w:rsidRPr="00E42524">
              <w:t xml:space="preserve"> </w:t>
            </w:r>
            <w:proofErr w:type="spellStart"/>
            <w:r w:rsidRPr="00E42524">
              <w:t>dibentso</w:t>
            </w:r>
            <w:proofErr w:type="spellEnd"/>
            <w:r w:rsidRPr="00E42524">
              <w:t>-</w:t>
            </w:r>
            <w:proofErr w:type="spellStart"/>
            <w:r w:rsidRPr="00E42524">
              <w:t>para</w:t>
            </w:r>
            <w:proofErr w:type="spellEnd"/>
            <w:r w:rsidRPr="00E42524">
              <w:t xml:space="preserve">-dioksiinit ja </w:t>
            </w:r>
            <w:proofErr w:type="spellStart"/>
            <w:r w:rsidRPr="00E42524">
              <w:t>dibentsofuraanit</w:t>
            </w:r>
            <w:proofErr w:type="spellEnd"/>
            <w:r w:rsidRPr="00E42524">
              <w:t xml:space="preserve"> (PCDD/PCDF) ja dioksiinien kaltaiset </w:t>
            </w:r>
            <w:proofErr w:type="spellStart"/>
            <w:r w:rsidRPr="00E42524">
              <w:t>polyklooratut</w:t>
            </w:r>
            <w:proofErr w:type="spellEnd"/>
            <w:r w:rsidRPr="00E42524">
              <w:t xml:space="preserve"> </w:t>
            </w:r>
            <w:proofErr w:type="spellStart"/>
            <w:r w:rsidRPr="00E42524">
              <w:t>bifenyylit</w:t>
            </w:r>
            <w:proofErr w:type="spellEnd"/>
            <w:r w:rsidRPr="00E42524">
              <w:t xml:space="preserve"> (</w:t>
            </w:r>
            <w:proofErr w:type="spellStart"/>
            <w:r w:rsidRPr="00E42524">
              <w:t>dl-PCB:t</w:t>
            </w:r>
            <w:proofErr w:type="spellEnd"/>
            <w:r w:rsidRPr="00E42524">
              <w:t>)</w:t>
            </w:r>
          </w:p>
        </w:tc>
        <w:tc>
          <w:tcPr>
            <w:tcW w:w="1558"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1417"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 xml:space="preserve">5 </w:t>
            </w:r>
            <w:proofErr w:type="spellStart"/>
            <w:r w:rsidRPr="00E42524">
              <w:t>μg</w:t>
            </w:r>
            <w:proofErr w:type="spellEnd"/>
            <w:r w:rsidRPr="00E42524">
              <w:t>/kg</w:t>
            </w:r>
          </w:p>
          <w:p w:rsidR="00012C52" w:rsidRPr="00E42524" w:rsidRDefault="00012C52" w:rsidP="003D0EBC">
            <w:pPr>
              <w:pStyle w:val="Normal6a"/>
            </w:pPr>
            <w:r w:rsidRPr="00E42524">
              <w:t xml:space="preserve">Komissio tarkastelee kyseistä pitoisuusrajaa uudelleen ja antaa tarvittaessa </w:t>
            </w:r>
            <w:r w:rsidRPr="00E42524">
              <w:rPr>
                <w:b/>
                <w:bCs/>
                <w:i/>
              </w:rPr>
              <w:t>lainsäädäntöehdotuksen</w:t>
            </w:r>
            <w:r w:rsidRPr="00E42524">
              <w:t xml:space="preserve"> kyseisen arvon alentamiseksi</w:t>
            </w:r>
            <w:r w:rsidRPr="00E42524">
              <w:rPr>
                <w:b/>
                <w:i/>
                <w:iCs/>
              </w:rPr>
              <w:t>, jos tällainen alentaminen on mahdollista tieteen ja tekniikan kehityksen mukaisesti, viimeistään 30 päivänä joulukuuta 2027</w:t>
            </w:r>
            <w:r w:rsidRPr="00E42524">
              <w:t>.</w:t>
            </w:r>
          </w:p>
        </w:tc>
      </w:tr>
    </w:tbl>
    <w:p w:rsidR="00012C52" w:rsidRPr="00E42524" w:rsidRDefault="00012C52" w:rsidP="00012C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Tarkistus</w:t>
            </w:r>
          </w:p>
        </w:tc>
      </w:tr>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AmColumnHeading"/>
              <w:jc w:val="left"/>
              <w:rPr>
                <w:b/>
              </w:rPr>
            </w:pPr>
            <w:r w:rsidRPr="00E42524">
              <w:rPr>
                <w:b/>
              </w:rPr>
              <w:t>c b)</w:t>
            </w:r>
            <w:r w:rsidRPr="00E42524">
              <w:rPr>
                <w:b/>
              </w:rPr>
              <w:tab/>
              <w:t>Korvataan liitteessä IV olevan taulukon 1 rivi 12 seuraavasti: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Polyklooratut</w:t>
            </w:r>
            <w:proofErr w:type="spellEnd"/>
            <w:r w:rsidRPr="00E42524">
              <w:t xml:space="preserve"> </w:t>
            </w:r>
            <w:proofErr w:type="spellStart"/>
            <w:r w:rsidRPr="00E42524">
              <w:t>dibentso</w:t>
            </w:r>
            <w:proofErr w:type="spellEnd"/>
            <w:r w:rsidRPr="00E42524">
              <w:t>-</w:t>
            </w:r>
            <w:proofErr w:type="spellStart"/>
            <w:r w:rsidRPr="00E42524">
              <w:t>para</w:t>
            </w:r>
            <w:proofErr w:type="spellEnd"/>
            <w:r w:rsidRPr="00E42524">
              <w:t xml:space="preserve">-dioksiinit ja </w:t>
            </w:r>
            <w:proofErr w:type="spellStart"/>
            <w:r w:rsidRPr="00E42524">
              <w:t>dibentsofuraanit</w:t>
            </w:r>
            <w:proofErr w:type="spellEnd"/>
            <w:r w:rsidRPr="00E42524">
              <w:t xml:space="preserve"> (PCDD/PCDF) ja dioksiinien kaltaiset </w:t>
            </w:r>
            <w:proofErr w:type="spellStart"/>
            <w:r w:rsidRPr="00E42524">
              <w:t>polyklooratut</w:t>
            </w:r>
            <w:proofErr w:type="spellEnd"/>
            <w:r w:rsidRPr="00E42524">
              <w:t xml:space="preserve"> </w:t>
            </w:r>
            <w:proofErr w:type="spellStart"/>
            <w:r w:rsidRPr="00E42524">
              <w:t>bifenyylit</w:t>
            </w:r>
            <w:proofErr w:type="spellEnd"/>
            <w:r w:rsidRPr="00E42524">
              <w:t xml:space="preserve"> (</w:t>
            </w:r>
            <w:proofErr w:type="spellStart"/>
            <w:r w:rsidRPr="00E42524">
              <w:t>dl-PCB:t</w:t>
            </w:r>
            <w:proofErr w:type="spellEnd"/>
            <w:r w:rsidRPr="00E42524">
              <w:t>)</w:t>
            </w:r>
          </w:p>
        </w:tc>
        <w:tc>
          <w:tcPr>
            <w:tcW w:w="1558"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1417"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 xml:space="preserve">5 </w:t>
            </w:r>
            <w:proofErr w:type="spellStart"/>
            <w:r w:rsidRPr="00E42524">
              <w:t>μg</w:t>
            </w:r>
            <w:proofErr w:type="spellEnd"/>
            <w:r w:rsidRPr="00E42524">
              <w:t>/kg</w:t>
            </w:r>
          </w:p>
          <w:p w:rsidR="00012C52" w:rsidRPr="00E42524" w:rsidRDefault="00012C52" w:rsidP="003D0EBC">
            <w:pPr>
              <w:pStyle w:val="Normal6a"/>
            </w:pPr>
            <w:r w:rsidRPr="00E42524">
              <w:t xml:space="preserve">Komissio tarkastelee kyseistä pitoisuusrajaa uudelleen </w:t>
            </w:r>
            <w:r w:rsidRPr="00E42524">
              <w:rPr>
                <w:b/>
                <w:bCs/>
                <w:i/>
                <w:iCs/>
              </w:rPr>
              <w:t>viimeistään 30 päivänä joulukuuta 2027</w:t>
            </w:r>
            <w:r w:rsidRPr="00E42524">
              <w:t xml:space="preserve"> ja antaa tarvittaessa </w:t>
            </w:r>
            <w:r w:rsidRPr="00E42524">
              <w:rPr>
                <w:b/>
                <w:bCs/>
                <w:i/>
                <w:iCs/>
              </w:rPr>
              <w:t>delegoidun säädöksen 15 artiklan 2 kohdan mukaisesti</w:t>
            </w:r>
            <w:r w:rsidRPr="00E42524">
              <w:t xml:space="preserve"> kyseisen arvon alentamiseksi.</w:t>
            </w:r>
          </w:p>
        </w:tc>
      </w:tr>
    </w:tbl>
    <w:p w:rsidR="00012C52" w:rsidRPr="00E42524" w:rsidRDefault="00012C52" w:rsidP="00012C52"/>
    <w:p w:rsidR="00012C52" w:rsidRPr="00E42524" w:rsidRDefault="00012C52" w:rsidP="00012C52">
      <w:pPr>
        <w:pStyle w:val="AmNumberTabs"/>
      </w:pPr>
      <w:r w:rsidRPr="00E42524">
        <w:t>Tarkistus</w:t>
      </w:r>
      <w:r w:rsidR="009E7DC4" w:rsidRPr="00E42524">
        <w:t xml:space="preserve"> </w:t>
      </w:r>
      <w:r w:rsidRPr="00E42524">
        <w:t>17</w:t>
      </w:r>
    </w:p>
    <w:p w:rsidR="00012C52" w:rsidRPr="00E42524" w:rsidRDefault="00012C52" w:rsidP="009E7DC4">
      <w:pPr>
        <w:pStyle w:val="NormalBold"/>
        <w:keepNext/>
        <w:spacing w:before="240"/>
        <w:rPr>
          <w:b w:val="0"/>
        </w:rPr>
      </w:pPr>
      <w:r w:rsidRPr="00E42524">
        <w:t>Ehdotus asetukseksi</w:t>
      </w:r>
    </w:p>
    <w:p w:rsidR="00012C52" w:rsidRPr="00E42524" w:rsidRDefault="00012C52" w:rsidP="00012C52">
      <w:pPr>
        <w:pStyle w:val="NormalBold"/>
      </w:pPr>
      <w:r w:rsidRPr="00E42524">
        <w:t xml:space="preserve">4 artikla – 1 kohta – 5 alakohta – c </w:t>
      </w:r>
      <w:proofErr w:type="spellStart"/>
      <w:r w:rsidRPr="00E42524">
        <w:t>c</w:t>
      </w:r>
      <w:proofErr w:type="spellEnd"/>
      <w:r w:rsidRPr="00E42524">
        <w:t xml:space="preserve"> alakohta (uusi)</w:t>
      </w:r>
    </w:p>
    <w:p w:rsidR="00012C52" w:rsidRPr="00E42524" w:rsidRDefault="00012C52" w:rsidP="00012C52">
      <w:r w:rsidRPr="00E42524">
        <w:t>Asetus (EU) 2019/1021</w:t>
      </w:r>
    </w:p>
    <w:p w:rsidR="00012C52" w:rsidRPr="00E42524" w:rsidRDefault="00012C52" w:rsidP="00012C52">
      <w:r w:rsidRPr="00E42524">
        <w:t>Liite IV – 1 taulukko – 27 rivi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Nykyinen teksti</w:t>
            </w:r>
          </w:p>
        </w:tc>
      </w:tr>
      <w:tr w:rsidR="00012C52" w:rsidRPr="00E42524" w:rsidTr="003D0EBC">
        <w:tc>
          <w:tcPr>
            <w:tcW w:w="311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Heksabromisyklododekaani</w:t>
            </w:r>
            <w:r w:rsidR="00990FAE" w:rsidRPr="00E42524">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247-148-4</w:t>
            </w:r>
            <w:r w:rsidRPr="00E42524">
              <w:br/>
              <w:t>221-695-9</w:t>
            </w:r>
          </w:p>
        </w:tc>
        <w:tc>
          <w:tcPr>
            <w:tcW w:w="327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500 mg/kg</w:t>
            </w:r>
          </w:p>
          <w:p w:rsidR="00012C52" w:rsidRPr="00E42524" w:rsidRDefault="00012C52" w:rsidP="003D0EBC">
            <w:pPr>
              <w:pStyle w:val="Normal6a"/>
            </w:pPr>
            <w:r w:rsidRPr="00E42524">
              <w:t xml:space="preserve">Komissio tarkastelee kyseistä pitoisuusrajaa uudelleen ja antaa tarvittaessa </w:t>
            </w:r>
            <w:r w:rsidRPr="00E42524">
              <w:rPr>
                <w:b/>
                <w:i/>
              </w:rPr>
              <w:t>lainsäädäntöehdotuksen</w:t>
            </w:r>
            <w:r w:rsidRPr="00E42524">
              <w:t xml:space="preserve"> kyseisen arvon alentamiseksi siten, että arvo on enintään 200 mg/kg</w:t>
            </w:r>
            <w:r w:rsidRPr="00E42524">
              <w:rPr>
                <w:b/>
                <w:i/>
              </w:rPr>
              <w:t>, viimeistään 30 päivänä joulukuuta 2027</w:t>
            </w:r>
            <w:r w:rsidRPr="00E42524">
              <w:t>.</w:t>
            </w:r>
          </w:p>
        </w:tc>
      </w:tr>
      <w:tr w:rsidR="00012C52" w:rsidRPr="00E42524" w:rsidTr="003D0EBC">
        <w:tc>
          <w:tcPr>
            <w:tcW w:w="3115" w:type="dxa"/>
            <w:tcBorders>
              <w:top w:val="single" w:sz="4" w:space="0" w:color="auto"/>
              <w:left w:val="single" w:sz="4" w:space="0" w:color="auto"/>
              <w:bottom w:val="single" w:sz="4" w:space="0" w:color="auto"/>
              <w:right w:val="single" w:sz="4" w:space="0" w:color="auto"/>
            </w:tcBorders>
            <w:hideMark/>
          </w:tcPr>
          <w:p w:rsidR="00012C52" w:rsidRPr="00E42524" w:rsidRDefault="00012C52">
            <w:pPr>
              <w:pStyle w:val="Normal6a"/>
              <w:tabs>
                <w:tab w:val="left" w:pos="314"/>
              </w:tabs>
              <w:rPr>
                <w:sz w:val="20"/>
              </w:rPr>
            </w:pPr>
            <w:r w:rsidRPr="00E42524">
              <w:rPr>
                <w:sz w:val="20"/>
                <w:vertAlign w:val="superscript"/>
              </w:rPr>
              <w:lastRenderedPageBreak/>
              <w:t>4</w:t>
            </w:r>
            <w:r w:rsidRPr="00E42524">
              <w:rPr>
                <w:sz w:val="20"/>
                <w:shd w:val="clear" w:color="auto" w:fill="FFFFFF"/>
              </w:rPr>
              <w:t> </w:t>
            </w:r>
            <w:r w:rsidR="00990FAE" w:rsidRPr="00E42524">
              <w:rPr>
                <w:sz w:val="20"/>
                <w:shd w:val="clear" w:color="auto" w:fill="FFFFFF"/>
              </w:rPr>
              <w:t>’</w:t>
            </w:r>
            <w:proofErr w:type="spellStart"/>
            <w:r w:rsidR="00990FAE" w:rsidRPr="00E42524">
              <w:rPr>
                <w:sz w:val="20"/>
                <w:shd w:val="clear" w:color="auto" w:fill="FFFFFF"/>
              </w:rPr>
              <w:t>Heksabromisyklododekaanilla</w:t>
            </w:r>
            <w:proofErr w:type="spellEnd"/>
            <w:r w:rsidR="00990FAE" w:rsidRPr="00E42524">
              <w:rPr>
                <w:sz w:val="20"/>
                <w:shd w:val="clear" w:color="auto" w:fill="FFFFFF"/>
              </w:rPr>
              <w:t xml:space="preserve">’ tarkoitetaan </w:t>
            </w:r>
            <w:proofErr w:type="spellStart"/>
            <w:r w:rsidR="00990FAE" w:rsidRPr="00E42524">
              <w:rPr>
                <w:sz w:val="20"/>
                <w:shd w:val="clear" w:color="auto" w:fill="FFFFFF"/>
              </w:rPr>
              <w:t>heksabromisyklododekaania</w:t>
            </w:r>
            <w:proofErr w:type="spellEnd"/>
            <w:r w:rsidR="00990FAE" w:rsidRPr="00E42524">
              <w:rPr>
                <w:sz w:val="20"/>
                <w:shd w:val="clear" w:color="auto" w:fill="FFFFFF"/>
              </w:rPr>
              <w:t>, 1,2,5,6,9,10-heksabromisyklododekaania ja sen tärkeimpiä diastereoisomeerejä; alfa-</w:t>
            </w:r>
            <w:proofErr w:type="spellStart"/>
            <w:r w:rsidR="00990FAE" w:rsidRPr="00E42524">
              <w:rPr>
                <w:sz w:val="20"/>
                <w:shd w:val="clear" w:color="auto" w:fill="FFFFFF"/>
              </w:rPr>
              <w:t>heksabromisyklododekaania</w:t>
            </w:r>
            <w:proofErr w:type="spellEnd"/>
            <w:r w:rsidR="00990FAE" w:rsidRPr="00E42524">
              <w:rPr>
                <w:sz w:val="20"/>
                <w:shd w:val="clear" w:color="auto" w:fill="FFFFFF"/>
              </w:rPr>
              <w:t xml:space="preserve">, </w:t>
            </w:r>
            <w:proofErr w:type="spellStart"/>
            <w:r w:rsidR="00990FAE" w:rsidRPr="00E42524">
              <w:rPr>
                <w:sz w:val="20"/>
                <w:shd w:val="clear" w:color="auto" w:fill="FFFFFF"/>
              </w:rPr>
              <w:t>beta-heksabromisyklododekaania</w:t>
            </w:r>
            <w:proofErr w:type="spellEnd"/>
            <w:r w:rsidR="00990FAE" w:rsidRPr="00E42524">
              <w:rPr>
                <w:sz w:val="20"/>
                <w:shd w:val="clear" w:color="auto" w:fill="FFFFFF"/>
              </w:rPr>
              <w:t xml:space="preserve"> ja gamma-</w:t>
            </w:r>
            <w:proofErr w:type="spellStart"/>
            <w:r w:rsidR="00990FAE" w:rsidRPr="00E42524">
              <w:rPr>
                <w:sz w:val="20"/>
                <w:shd w:val="clear" w:color="auto" w:fill="FFFFFF"/>
              </w:rPr>
              <w:t>heksabromisyklododekaania</w:t>
            </w:r>
            <w:proofErr w:type="spellEnd"/>
            <w:r w:rsidR="00990FAE" w:rsidRPr="00E42524">
              <w:rPr>
                <w:sz w:val="20"/>
                <w:shd w:val="clear" w:color="auto" w:fill="FFFFFF"/>
              </w:rPr>
              <w:t>.</w:t>
            </w:r>
            <w:r w:rsidRPr="00E42524">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1237"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3278"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r>
    </w:tbl>
    <w:p w:rsidR="00012C52" w:rsidRPr="00E42524" w:rsidRDefault="00012C52" w:rsidP="00012C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Tarkistus</w:t>
            </w:r>
          </w:p>
        </w:tc>
      </w:tr>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AmColumnHeading"/>
              <w:jc w:val="left"/>
              <w:rPr>
                <w:b/>
              </w:rPr>
            </w:pPr>
            <w:r w:rsidRPr="00E42524">
              <w:rPr>
                <w:b/>
              </w:rPr>
              <w:t>c c)</w:t>
            </w:r>
            <w:r w:rsidRPr="00E42524">
              <w:rPr>
                <w:b/>
              </w:rPr>
              <w:tab/>
              <w:t>Korvataan liitteessä IV olevan taulukon 1 rivi 27 seuraavasti:</w:t>
            </w:r>
          </w:p>
        </w:tc>
      </w:tr>
      <w:tr w:rsidR="00012C52" w:rsidRPr="00E42524" w:rsidTr="003D0EBC">
        <w:tc>
          <w:tcPr>
            <w:tcW w:w="311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Heksabromisyklododekaani</w:t>
            </w:r>
            <w:r w:rsidR="00990FAE" w:rsidRPr="00E42524">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247-148-4</w:t>
            </w:r>
            <w:r w:rsidRPr="00E42524">
              <w:br/>
              <w:t>221-695-9</w:t>
            </w:r>
          </w:p>
        </w:tc>
        <w:tc>
          <w:tcPr>
            <w:tcW w:w="327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500 mg/kg</w:t>
            </w:r>
          </w:p>
          <w:p w:rsidR="00012C52" w:rsidRPr="00E42524" w:rsidRDefault="00012C52" w:rsidP="003D0EBC">
            <w:pPr>
              <w:pStyle w:val="Normal6a"/>
            </w:pPr>
            <w:r w:rsidRPr="00E42524">
              <w:t xml:space="preserve">Komissio tarkastelee kyseistä pitoisuusrajaa uudelleen </w:t>
            </w:r>
            <w:r w:rsidRPr="00E42524">
              <w:rPr>
                <w:b/>
                <w:bCs/>
                <w:i/>
                <w:iCs/>
              </w:rPr>
              <w:t>viimeistään 30 päivänä joulukuuta 2027</w:t>
            </w:r>
            <w:r w:rsidRPr="00E42524">
              <w:t xml:space="preserve"> ja antaa tarvittaessa </w:t>
            </w:r>
            <w:r w:rsidRPr="00E42524">
              <w:rPr>
                <w:b/>
                <w:bCs/>
                <w:i/>
                <w:iCs/>
              </w:rPr>
              <w:t>delegoidun säädöksen 15 artiklan 2 kohdan mukaisesti</w:t>
            </w:r>
            <w:r w:rsidRPr="00E42524">
              <w:t xml:space="preserve"> kyseisen arvon alentamiseksi siten, että arvo on enintään 200 mg/kg.</w:t>
            </w:r>
          </w:p>
        </w:tc>
      </w:tr>
      <w:tr w:rsidR="00012C52" w:rsidRPr="00E42524" w:rsidTr="003D0EBC">
        <w:tc>
          <w:tcPr>
            <w:tcW w:w="3115" w:type="dxa"/>
            <w:tcBorders>
              <w:top w:val="single" w:sz="4" w:space="0" w:color="auto"/>
              <w:left w:val="single" w:sz="4" w:space="0" w:color="auto"/>
              <w:bottom w:val="single" w:sz="4" w:space="0" w:color="auto"/>
              <w:right w:val="single" w:sz="4" w:space="0" w:color="auto"/>
            </w:tcBorders>
            <w:hideMark/>
          </w:tcPr>
          <w:p w:rsidR="00012C52" w:rsidRPr="00E42524" w:rsidRDefault="00012C52">
            <w:pPr>
              <w:pStyle w:val="Normal6a"/>
              <w:tabs>
                <w:tab w:val="left" w:pos="314"/>
              </w:tabs>
              <w:rPr>
                <w:sz w:val="20"/>
              </w:rPr>
            </w:pPr>
            <w:r w:rsidRPr="00E42524">
              <w:rPr>
                <w:sz w:val="20"/>
                <w:vertAlign w:val="superscript"/>
              </w:rPr>
              <w:t>4</w:t>
            </w:r>
            <w:r w:rsidRPr="00E42524">
              <w:rPr>
                <w:sz w:val="20"/>
                <w:shd w:val="clear" w:color="auto" w:fill="FFFFFF"/>
              </w:rPr>
              <w:t> </w:t>
            </w:r>
            <w:r w:rsidR="00990FAE" w:rsidRPr="00E42524">
              <w:rPr>
                <w:sz w:val="20"/>
                <w:shd w:val="clear" w:color="auto" w:fill="FFFFFF"/>
              </w:rPr>
              <w:t>’</w:t>
            </w:r>
            <w:proofErr w:type="spellStart"/>
            <w:r w:rsidR="00990FAE" w:rsidRPr="00E42524">
              <w:rPr>
                <w:sz w:val="20"/>
                <w:shd w:val="clear" w:color="auto" w:fill="FFFFFF"/>
              </w:rPr>
              <w:t>Heksabromisyklododekaanilla</w:t>
            </w:r>
            <w:proofErr w:type="spellEnd"/>
            <w:r w:rsidR="00990FAE" w:rsidRPr="00E42524">
              <w:rPr>
                <w:sz w:val="20"/>
                <w:shd w:val="clear" w:color="auto" w:fill="FFFFFF"/>
              </w:rPr>
              <w:t xml:space="preserve">’ tarkoitetaan </w:t>
            </w:r>
            <w:proofErr w:type="spellStart"/>
            <w:r w:rsidR="00990FAE" w:rsidRPr="00E42524">
              <w:rPr>
                <w:sz w:val="20"/>
                <w:shd w:val="clear" w:color="auto" w:fill="FFFFFF"/>
              </w:rPr>
              <w:t>heksabromisyklododekaania</w:t>
            </w:r>
            <w:proofErr w:type="spellEnd"/>
            <w:r w:rsidR="00990FAE" w:rsidRPr="00E42524">
              <w:rPr>
                <w:sz w:val="20"/>
                <w:shd w:val="clear" w:color="auto" w:fill="FFFFFF"/>
              </w:rPr>
              <w:t>, 1,2,5,6,9,10-heksabromisyklododekaania ja sen tärkeimpiä diastereoisomeerejä; alfa-</w:t>
            </w:r>
            <w:proofErr w:type="spellStart"/>
            <w:r w:rsidR="00990FAE" w:rsidRPr="00E42524">
              <w:rPr>
                <w:sz w:val="20"/>
                <w:shd w:val="clear" w:color="auto" w:fill="FFFFFF"/>
              </w:rPr>
              <w:t>heksabromisyklododekaania</w:t>
            </w:r>
            <w:proofErr w:type="spellEnd"/>
            <w:r w:rsidR="00990FAE" w:rsidRPr="00E42524">
              <w:rPr>
                <w:sz w:val="20"/>
                <w:shd w:val="clear" w:color="auto" w:fill="FFFFFF"/>
              </w:rPr>
              <w:t xml:space="preserve">, </w:t>
            </w:r>
            <w:proofErr w:type="spellStart"/>
            <w:r w:rsidR="00990FAE" w:rsidRPr="00E42524">
              <w:rPr>
                <w:sz w:val="20"/>
                <w:shd w:val="clear" w:color="auto" w:fill="FFFFFF"/>
              </w:rPr>
              <w:t>beta-heksabromisyklododekaania</w:t>
            </w:r>
            <w:proofErr w:type="spellEnd"/>
            <w:r w:rsidR="00990FAE" w:rsidRPr="00E42524">
              <w:rPr>
                <w:sz w:val="20"/>
                <w:shd w:val="clear" w:color="auto" w:fill="FFFFFF"/>
              </w:rPr>
              <w:t xml:space="preserve"> ja gamma-</w:t>
            </w:r>
            <w:proofErr w:type="spellStart"/>
            <w:r w:rsidR="00990FAE" w:rsidRPr="00E42524">
              <w:rPr>
                <w:sz w:val="20"/>
                <w:shd w:val="clear" w:color="auto" w:fill="FFFFFF"/>
              </w:rPr>
              <w:t>heksabromisyklododekaania</w:t>
            </w:r>
            <w:proofErr w:type="spellEnd"/>
            <w:r w:rsidR="00990FAE" w:rsidRPr="00E42524">
              <w:rPr>
                <w:sz w:val="20"/>
                <w:shd w:val="clear" w:color="auto" w:fill="FFFFFF"/>
              </w:rPr>
              <w:t>.</w:t>
            </w:r>
            <w:r w:rsidRPr="00E42524">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1237"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c>
          <w:tcPr>
            <w:tcW w:w="3278" w:type="dxa"/>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Normal6a"/>
            </w:pPr>
          </w:p>
        </w:tc>
      </w:tr>
    </w:tbl>
    <w:p w:rsidR="00012C52" w:rsidRPr="00E42524" w:rsidRDefault="00012C52" w:rsidP="00012C52"/>
    <w:p w:rsidR="00012C52" w:rsidRPr="00E42524" w:rsidRDefault="00012C52" w:rsidP="00012C52">
      <w:pPr>
        <w:pStyle w:val="AmNumberTabs"/>
      </w:pPr>
      <w:r w:rsidRPr="00E42524">
        <w:t>Tarkistus</w:t>
      </w:r>
      <w:r w:rsidR="009E7DC4" w:rsidRPr="00E42524">
        <w:t xml:space="preserve"> </w:t>
      </w:r>
      <w:r w:rsidRPr="00E42524">
        <w:t>18</w:t>
      </w:r>
    </w:p>
    <w:p w:rsidR="00012C52" w:rsidRPr="00E42524" w:rsidRDefault="00012C52" w:rsidP="009E7DC4">
      <w:pPr>
        <w:pStyle w:val="NormalBold"/>
        <w:keepNext/>
        <w:spacing w:before="240"/>
      </w:pPr>
      <w:r w:rsidRPr="00E42524">
        <w:t>Ehdotus asetukseksi</w:t>
      </w:r>
    </w:p>
    <w:p w:rsidR="00012C52" w:rsidRPr="00E42524" w:rsidRDefault="00012C52" w:rsidP="00012C52">
      <w:pPr>
        <w:pStyle w:val="NormalBold"/>
      </w:pPr>
      <w:r w:rsidRPr="00E42524">
        <w:t>4 artikla – 1 kohta – 5 alakohta – c d alakohta (uusi)</w:t>
      </w:r>
    </w:p>
    <w:p w:rsidR="00012C52" w:rsidRPr="00E42524" w:rsidRDefault="00012C52" w:rsidP="00012C52">
      <w:r w:rsidRPr="00E42524">
        <w:t>Asetus (EU) 2019/1021</w:t>
      </w:r>
    </w:p>
    <w:p w:rsidR="00012C52" w:rsidRPr="00E42524" w:rsidRDefault="00012C52" w:rsidP="009E7DC4">
      <w:r w:rsidRPr="00E42524">
        <w:t>Liite IV – 1 taulukko – 30 rivi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1527"/>
        <w:gridCol w:w="1392"/>
        <w:gridCol w:w="3778"/>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Nykyinen teksti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Perfluorioktaanihappo</w:t>
            </w:r>
            <w:proofErr w:type="spellEnd"/>
            <w:r w:rsidRPr="00E42524">
              <w:t xml:space="preserve"> (PFOA), sen suolat ja </w:t>
            </w:r>
            <w:proofErr w:type="spellStart"/>
            <w:r w:rsidRPr="00E42524">
              <w:t>PFOA:n</w:t>
            </w:r>
            <w:proofErr w:type="spellEnd"/>
            <w:r w:rsidRPr="00E42524">
              <w:t xml:space="preserve"> kanssa samankaltaiset yhdisteet liitteen I mukaisesti</w:t>
            </w:r>
          </w:p>
        </w:tc>
        <w:tc>
          <w:tcPr>
            <w:tcW w:w="155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335-67-1 ja muut</w:t>
            </w:r>
          </w:p>
        </w:tc>
        <w:tc>
          <w:tcPr>
            <w:tcW w:w="141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206-397-9 ja muut</w:t>
            </w: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1 mg/kg</w:t>
            </w:r>
          </w:p>
          <w:p w:rsidR="00012C52" w:rsidRPr="00E42524" w:rsidRDefault="00012C52" w:rsidP="003D0EBC">
            <w:pPr>
              <w:pStyle w:val="Normal6a"/>
            </w:pPr>
            <w:r w:rsidRPr="00E42524">
              <w:t>(PFOA ja sen suolat),</w:t>
            </w:r>
          </w:p>
          <w:p w:rsidR="00012C52" w:rsidRPr="00E42524" w:rsidRDefault="00012C52" w:rsidP="003D0EBC">
            <w:pPr>
              <w:pStyle w:val="Normal6a"/>
            </w:pPr>
            <w:r w:rsidRPr="00E42524">
              <w:t>40 mg/kg</w:t>
            </w:r>
          </w:p>
          <w:p w:rsidR="00012C52" w:rsidRPr="00E42524" w:rsidRDefault="00012C52" w:rsidP="003D0EBC">
            <w:pPr>
              <w:pStyle w:val="Normal6a"/>
            </w:pPr>
            <w:r w:rsidRPr="00E42524">
              <w:t>(</w:t>
            </w:r>
            <w:proofErr w:type="spellStart"/>
            <w:r w:rsidRPr="00E42524">
              <w:t>PFOA:n</w:t>
            </w:r>
            <w:proofErr w:type="spellEnd"/>
            <w:r w:rsidRPr="00E42524">
              <w:t xml:space="preserve"> kanssa samankaltaisten yhdisteiden summa)</w:t>
            </w:r>
          </w:p>
          <w:p w:rsidR="00012C52" w:rsidRPr="00E42524" w:rsidRDefault="00012C52" w:rsidP="003D0EBC">
            <w:pPr>
              <w:pStyle w:val="Normal6a"/>
            </w:pPr>
            <w:r w:rsidRPr="00E42524">
              <w:t xml:space="preserve">Komissio tarkastelee kyseistä </w:t>
            </w:r>
            <w:r w:rsidRPr="00E42524">
              <w:lastRenderedPageBreak/>
              <w:t xml:space="preserve">pitoisuusrajaa uudelleen ja antaa tarvittaessa </w:t>
            </w:r>
            <w:r w:rsidRPr="00E42524">
              <w:rPr>
                <w:b/>
                <w:i/>
              </w:rPr>
              <w:t>lainsäädäntöehdotuksen</w:t>
            </w:r>
            <w:r w:rsidRPr="00E42524">
              <w:t xml:space="preserve"> kyseisen arvon alentamiseksi</w:t>
            </w:r>
            <w:r w:rsidRPr="00E42524">
              <w:rPr>
                <w:b/>
                <w:i/>
              </w:rPr>
              <w:t>, jos tällainen alentaminen on mahdollista tieteen ja tekniikan kehityksen mukaisesti, viimeistään 30 päivänä joulukuuta 2027</w:t>
            </w:r>
            <w:r w:rsidRPr="00E42524">
              <w:t>.</w:t>
            </w:r>
          </w:p>
        </w:tc>
      </w:tr>
    </w:tbl>
    <w:p w:rsidR="00012C52" w:rsidRPr="00E42524" w:rsidRDefault="00012C52" w:rsidP="00012C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1535"/>
        <w:gridCol w:w="1398"/>
        <w:gridCol w:w="3764"/>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Tarkistus</w:t>
            </w:r>
          </w:p>
        </w:tc>
      </w:tr>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AmColumnHeading"/>
              <w:jc w:val="left"/>
              <w:rPr>
                <w:b/>
              </w:rPr>
            </w:pPr>
            <w:r w:rsidRPr="00E42524">
              <w:rPr>
                <w:b/>
              </w:rPr>
              <w:t>c d)</w:t>
            </w:r>
            <w:r w:rsidRPr="00E42524">
              <w:rPr>
                <w:b/>
              </w:rPr>
              <w:tab/>
              <w:t>Korvataan liitteessä IV olevan taulukon 1 rivi 30 seuraavasti: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Perfluorioktaanihappo</w:t>
            </w:r>
            <w:proofErr w:type="spellEnd"/>
            <w:r w:rsidRPr="00E42524">
              <w:t xml:space="preserve"> (PFOA), sen suolat ja </w:t>
            </w:r>
            <w:proofErr w:type="spellStart"/>
            <w:r w:rsidRPr="00E42524">
              <w:t>PFOA:n</w:t>
            </w:r>
            <w:proofErr w:type="spellEnd"/>
            <w:r w:rsidRPr="00E42524">
              <w:t xml:space="preserve"> kanssa samankaltaiset yhdisteet liitteen I mukaisesti</w:t>
            </w:r>
          </w:p>
        </w:tc>
        <w:tc>
          <w:tcPr>
            <w:tcW w:w="155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335-67-1 ja muut</w:t>
            </w:r>
          </w:p>
        </w:tc>
        <w:tc>
          <w:tcPr>
            <w:tcW w:w="141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206-397-9 ja muut</w:t>
            </w: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1 mg/kg</w:t>
            </w:r>
          </w:p>
          <w:p w:rsidR="00012C52" w:rsidRPr="00E42524" w:rsidRDefault="00012C52" w:rsidP="003D0EBC">
            <w:pPr>
              <w:pStyle w:val="Normal6a"/>
            </w:pPr>
            <w:r w:rsidRPr="00E42524">
              <w:t>(PFOA ja sen suolat),</w:t>
            </w:r>
          </w:p>
          <w:p w:rsidR="00012C52" w:rsidRPr="00E42524" w:rsidRDefault="00012C52" w:rsidP="003D0EBC">
            <w:pPr>
              <w:pStyle w:val="Normal6a"/>
            </w:pPr>
            <w:r w:rsidRPr="00E42524">
              <w:t>40 mg/kg</w:t>
            </w:r>
          </w:p>
          <w:p w:rsidR="00012C52" w:rsidRPr="00E42524" w:rsidRDefault="00012C52" w:rsidP="003D0EBC">
            <w:pPr>
              <w:pStyle w:val="Normal6a"/>
            </w:pPr>
            <w:r w:rsidRPr="00E42524">
              <w:t>(</w:t>
            </w:r>
            <w:proofErr w:type="spellStart"/>
            <w:r w:rsidRPr="00E42524">
              <w:t>PFOA:n</w:t>
            </w:r>
            <w:proofErr w:type="spellEnd"/>
            <w:r w:rsidRPr="00E42524">
              <w:t xml:space="preserve"> kanssa samankaltaisten yhdisteiden summa)</w:t>
            </w:r>
          </w:p>
          <w:p w:rsidR="00012C52" w:rsidRPr="00E42524" w:rsidRDefault="00012C52" w:rsidP="003D0EBC">
            <w:pPr>
              <w:pStyle w:val="Normal6a"/>
            </w:pPr>
            <w:r w:rsidRPr="00E42524">
              <w:t xml:space="preserve">Komissio tarkastelee kyseistä pitoisuusrajaa uudelleen </w:t>
            </w:r>
            <w:r w:rsidRPr="00E42524">
              <w:rPr>
                <w:b/>
                <w:bCs/>
                <w:i/>
                <w:iCs/>
              </w:rPr>
              <w:t>viimeistään 30 päivänä joulukuuta 2027</w:t>
            </w:r>
            <w:r w:rsidRPr="00E42524">
              <w:t xml:space="preserve"> ja antaa tarvittaessa </w:t>
            </w:r>
            <w:r w:rsidRPr="00E42524">
              <w:rPr>
                <w:b/>
                <w:bCs/>
                <w:i/>
                <w:iCs/>
              </w:rPr>
              <w:t>delegoidun säädöksen 15 artiklan 2 kohdan mukaisesti</w:t>
            </w:r>
            <w:r w:rsidRPr="00E42524">
              <w:t xml:space="preserve"> kyseisen arvon alentamiseksi.</w:t>
            </w:r>
          </w:p>
        </w:tc>
      </w:tr>
    </w:tbl>
    <w:p w:rsidR="00012C52" w:rsidRPr="00E42524" w:rsidRDefault="00012C52" w:rsidP="00012C52"/>
    <w:p w:rsidR="00012C52" w:rsidRPr="00E42524" w:rsidRDefault="00012C52" w:rsidP="00012C52">
      <w:pPr>
        <w:pStyle w:val="AmNumberTabs"/>
        <w:keepLines/>
      </w:pPr>
      <w:r w:rsidRPr="00E42524">
        <w:t>Tarkistus</w:t>
      </w:r>
      <w:r w:rsidR="009E7DC4" w:rsidRPr="00E42524">
        <w:t xml:space="preserve"> </w:t>
      </w:r>
      <w:r w:rsidRPr="00E42524">
        <w:t>19</w:t>
      </w:r>
    </w:p>
    <w:p w:rsidR="00012C52" w:rsidRPr="00E42524" w:rsidRDefault="00012C52" w:rsidP="009E7DC4">
      <w:pPr>
        <w:pStyle w:val="NormalBold"/>
        <w:keepNext/>
        <w:spacing w:before="240"/>
        <w:rPr>
          <w:b w:val="0"/>
        </w:rPr>
      </w:pPr>
      <w:r w:rsidRPr="00E42524">
        <w:t>Ehdotus asetukseksi</w:t>
      </w:r>
    </w:p>
    <w:p w:rsidR="00012C52" w:rsidRPr="00E42524" w:rsidRDefault="00012C52" w:rsidP="00012C52">
      <w:pPr>
        <w:pStyle w:val="NormalBold"/>
        <w:keepNext/>
        <w:keepLines/>
      </w:pPr>
      <w:r w:rsidRPr="00E42524">
        <w:t>4 artikla – 1 kohta – 5 alakohta – c e alakohta (uusi)</w:t>
      </w:r>
    </w:p>
    <w:p w:rsidR="00012C52" w:rsidRPr="00E42524" w:rsidRDefault="00012C52" w:rsidP="00012C52">
      <w:pPr>
        <w:keepNext/>
        <w:keepLines/>
      </w:pPr>
      <w:r w:rsidRPr="00E42524">
        <w:t>Asetus (EU) 2019/1021</w:t>
      </w:r>
    </w:p>
    <w:p w:rsidR="00012C52" w:rsidRPr="00E42524" w:rsidRDefault="00012C52" w:rsidP="00012C52">
      <w:pPr>
        <w:keepNext/>
        <w:keepLines/>
      </w:pPr>
      <w:r w:rsidRPr="00E42524">
        <w:t>Liite IV – 1 taulukko – 31 rivi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7"/>
        <w:gridCol w:w="1437"/>
        <w:gridCol w:w="1316"/>
        <w:gridCol w:w="3650"/>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keepNext/>
              <w:keepLines/>
            </w:pPr>
            <w:r w:rsidRPr="00E42524">
              <w:t>Nykyinen teksti</w:t>
            </w:r>
          </w:p>
        </w:tc>
      </w:tr>
      <w:tr w:rsidR="00012C52" w:rsidRPr="00E4252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Perfluoriheksaanisulfoni</w:t>
            </w:r>
            <w:proofErr w:type="spellEnd"/>
            <w:r w:rsidRPr="00E42524">
              <w:t>- happo (</w:t>
            </w:r>
            <w:proofErr w:type="spellStart"/>
            <w:r w:rsidRPr="00E42524">
              <w:t>PFHxS</w:t>
            </w:r>
            <w:proofErr w:type="spellEnd"/>
            <w:r w:rsidRPr="00E42524">
              <w:t>), sen suolat ja </w:t>
            </w:r>
            <w:proofErr w:type="spellStart"/>
            <w:r w:rsidRPr="00E42524">
              <w:t>PFHxS:n</w:t>
            </w:r>
            <w:proofErr w:type="spellEnd"/>
            <w:r w:rsidRPr="00E42524">
              <w:t xml:space="preserve"> kanssa samankaltaiset yhdisteet</w:t>
            </w:r>
          </w:p>
        </w:tc>
        <w:tc>
          <w:tcPr>
            <w:tcW w:w="155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355-46-4 ja muut</w:t>
            </w:r>
          </w:p>
        </w:tc>
        <w:tc>
          <w:tcPr>
            <w:tcW w:w="141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206-587-1 ja muut</w:t>
            </w: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1 mg/kg</w:t>
            </w:r>
          </w:p>
          <w:p w:rsidR="00012C52" w:rsidRPr="00E42524" w:rsidRDefault="00012C52" w:rsidP="003D0EBC">
            <w:pPr>
              <w:pStyle w:val="Normal6a"/>
            </w:pPr>
            <w:r w:rsidRPr="00E42524">
              <w:t>(</w:t>
            </w:r>
            <w:proofErr w:type="spellStart"/>
            <w:r w:rsidRPr="00E42524">
              <w:t>PFHxS</w:t>
            </w:r>
            <w:proofErr w:type="spellEnd"/>
            <w:r w:rsidRPr="00E42524">
              <w:t xml:space="preserve"> ja sen suolat), 40 mg/kg</w:t>
            </w:r>
          </w:p>
          <w:p w:rsidR="00012C52" w:rsidRPr="00E42524" w:rsidRDefault="00012C52" w:rsidP="003D0EBC">
            <w:pPr>
              <w:pStyle w:val="Normal6a"/>
            </w:pPr>
            <w:r w:rsidRPr="00E42524">
              <w:t>(</w:t>
            </w:r>
            <w:proofErr w:type="spellStart"/>
            <w:r w:rsidRPr="00E42524">
              <w:t>PFHxS:n</w:t>
            </w:r>
            <w:proofErr w:type="spellEnd"/>
            <w:r w:rsidRPr="00E42524">
              <w:t xml:space="preserve"> kanssa samankaltaisten yhdisteiden summa)</w:t>
            </w:r>
          </w:p>
          <w:p w:rsidR="00012C52" w:rsidRPr="00E42524" w:rsidRDefault="00012C52" w:rsidP="003D0EBC">
            <w:pPr>
              <w:pStyle w:val="Normal6a"/>
            </w:pPr>
            <w:r w:rsidRPr="00E42524">
              <w:t xml:space="preserve">Komissio tarkastelee kyseistä pitoisuusrajaa uudelleen ja antaa tarvittaessa </w:t>
            </w:r>
            <w:r w:rsidRPr="00E42524">
              <w:rPr>
                <w:b/>
                <w:bCs/>
                <w:i/>
              </w:rPr>
              <w:t>lainsäädäntöehdotuksen</w:t>
            </w:r>
            <w:r w:rsidRPr="00E42524">
              <w:t xml:space="preserve"> kyseisen arvon alentamiseksi</w:t>
            </w:r>
            <w:r w:rsidRPr="00E42524">
              <w:rPr>
                <w:b/>
                <w:i/>
              </w:rPr>
              <w:t>, jos tällainen alentaminen on mahdollista tieteen ja tekniikan kehityksen mukaisesti, viimeistään 30 päivänä joulukuuta 2027</w:t>
            </w:r>
            <w:r w:rsidRPr="00E42524">
              <w:t>.</w:t>
            </w:r>
          </w:p>
        </w:tc>
      </w:tr>
    </w:tbl>
    <w:p w:rsidR="00012C52" w:rsidRPr="00E42524" w:rsidRDefault="00012C52" w:rsidP="00012C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1466"/>
        <w:gridCol w:w="1341"/>
        <w:gridCol w:w="3597"/>
      </w:tblGrid>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AmColumnHeading"/>
            </w:pPr>
            <w:r w:rsidRPr="00E42524">
              <w:t>Tarkistus</w:t>
            </w:r>
          </w:p>
        </w:tc>
      </w:tr>
      <w:tr w:rsidR="00012C52" w:rsidRPr="00E42524" w:rsidTr="003D0EBC">
        <w:tc>
          <w:tcPr>
            <w:tcW w:w="9060" w:type="dxa"/>
            <w:gridSpan w:val="4"/>
            <w:tcBorders>
              <w:top w:val="single" w:sz="4" w:space="0" w:color="auto"/>
              <w:left w:val="single" w:sz="4" w:space="0" w:color="auto"/>
              <w:bottom w:val="single" w:sz="4" w:space="0" w:color="auto"/>
              <w:right w:val="single" w:sz="4" w:space="0" w:color="auto"/>
            </w:tcBorders>
          </w:tcPr>
          <w:p w:rsidR="00012C52" w:rsidRPr="00E42524" w:rsidRDefault="00012C52" w:rsidP="003D0EBC">
            <w:pPr>
              <w:pStyle w:val="AmColumnHeading"/>
              <w:jc w:val="left"/>
              <w:rPr>
                <w:b/>
              </w:rPr>
            </w:pPr>
            <w:r w:rsidRPr="00E42524">
              <w:rPr>
                <w:b/>
              </w:rPr>
              <w:t>c e)</w:t>
            </w:r>
            <w:r w:rsidRPr="00E42524">
              <w:rPr>
                <w:b/>
              </w:rPr>
              <w:tab/>
              <w:t>Korvataan liitteessä IV olevan taulukon 1 rivi 31 seuraavasti:</w:t>
            </w:r>
          </w:p>
        </w:tc>
      </w:tr>
      <w:tr w:rsidR="00012C52" w:rsidRPr="001D1404" w:rsidTr="003D0EBC">
        <w:tc>
          <w:tcPr>
            <w:tcW w:w="2265"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proofErr w:type="spellStart"/>
            <w:r w:rsidRPr="00E42524">
              <w:t>Perfluoriheksaanisulfoni</w:t>
            </w:r>
            <w:proofErr w:type="spellEnd"/>
            <w:r w:rsidRPr="00E42524">
              <w:t>- happo (</w:t>
            </w:r>
            <w:proofErr w:type="spellStart"/>
            <w:r w:rsidRPr="00E42524">
              <w:t>PFHxS</w:t>
            </w:r>
            <w:proofErr w:type="spellEnd"/>
            <w:r w:rsidRPr="00E42524">
              <w:t>), sen suolat ja </w:t>
            </w:r>
            <w:proofErr w:type="spellStart"/>
            <w:r w:rsidRPr="00E42524">
              <w:t>PFHxS:n</w:t>
            </w:r>
            <w:proofErr w:type="spellEnd"/>
            <w:r w:rsidRPr="00E42524">
              <w:t xml:space="preserve"> kanssa samankaltaiset yhdisteet</w:t>
            </w:r>
          </w:p>
        </w:tc>
        <w:tc>
          <w:tcPr>
            <w:tcW w:w="1558"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355-46-4 ja muut</w:t>
            </w:r>
          </w:p>
        </w:tc>
        <w:tc>
          <w:tcPr>
            <w:tcW w:w="1417"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206-587-1 ja muut</w:t>
            </w:r>
          </w:p>
        </w:tc>
        <w:tc>
          <w:tcPr>
            <w:tcW w:w="3820" w:type="dxa"/>
            <w:tcBorders>
              <w:top w:val="single" w:sz="4" w:space="0" w:color="auto"/>
              <w:left w:val="single" w:sz="4" w:space="0" w:color="auto"/>
              <w:bottom w:val="single" w:sz="4" w:space="0" w:color="auto"/>
              <w:right w:val="single" w:sz="4" w:space="0" w:color="auto"/>
            </w:tcBorders>
            <w:hideMark/>
          </w:tcPr>
          <w:p w:rsidR="00012C52" w:rsidRPr="00E42524" w:rsidRDefault="00012C52" w:rsidP="003D0EBC">
            <w:pPr>
              <w:pStyle w:val="Normal6a"/>
            </w:pPr>
            <w:r w:rsidRPr="00E42524">
              <w:t>1 mg/kg</w:t>
            </w:r>
          </w:p>
          <w:p w:rsidR="00012C52" w:rsidRPr="00E42524" w:rsidRDefault="00012C52" w:rsidP="003D0EBC">
            <w:pPr>
              <w:pStyle w:val="Normal6a"/>
            </w:pPr>
            <w:r w:rsidRPr="00E42524">
              <w:t>(</w:t>
            </w:r>
            <w:proofErr w:type="spellStart"/>
            <w:r w:rsidRPr="00E42524">
              <w:t>PFHxS</w:t>
            </w:r>
            <w:proofErr w:type="spellEnd"/>
            <w:r w:rsidRPr="00E42524">
              <w:t xml:space="preserve"> ja sen suolat), 40 mg/kg</w:t>
            </w:r>
          </w:p>
          <w:p w:rsidR="00012C52" w:rsidRPr="00E42524" w:rsidRDefault="00012C52" w:rsidP="003D0EBC">
            <w:pPr>
              <w:pStyle w:val="Normal6a"/>
            </w:pPr>
            <w:r w:rsidRPr="00E42524">
              <w:t>(</w:t>
            </w:r>
            <w:proofErr w:type="spellStart"/>
            <w:r w:rsidRPr="00E42524">
              <w:t>PFHxS:n</w:t>
            </w:r>
            <w:proofErr w:type="spellEnd"/>
            <w:r w:rsidRPr="00E42524">
              <w:t xml:space="preserve"> kanssa samankaltaisten yhdisteiden summa)</w:t>
            </w:r>
          </w:p>
          <w:p w:rsidR="00012C52" w:rsidRPr="001D1404" w:rsidRDefault="00012C52" w:rsidP="003D0EBC">
            <w:pPr>
              <w:pStyle w:val="Normal6a"/>
            </w:pPr>
            <w:r w:rsidRPr="00E42524">
              <w:t xml:space="preserve">Komissio tarkastelee kyseistä pitoisuusrajaa uudelleen </w:t>
            </w:r>
            <w:r w:rsidRPr="00E42524">
              <w:rPr>
                <w:b/>
                <w:bCs/>
                <w:i/>
                <w:iCs/>
              </w:rPr>
              <w:t>viimeistään 30 päivänä joulukuuta 2027</w:t>
            </w:r>
            <w:r w:rsidRPr="00E42524">
              <w:t xml:space="preserve"> ja antaa tarvittaessa </w:t>
            </w:r>
            <w:r w:rsidRPr="00E42524">
              <w:rPr>
                <w:b/>
                <w:bCs/>
                <w:i/>
                <w:iCs/>
              </w:rPr>
              <w:t>delegoidun säädöksen 15 artiklan 2 kohdan mukaisesti</w:t>
            </w:r>
            <w:r w:rsidRPr="00E42524">
              <w:t xml:space="preserve"> kyseisen arvon alentamiseksi.</w:t>
            </w:r>
          </w:p>
        </w:tc>
      </w:tr>
    </w:tbl>
    <w:p w:rsidR="00E365E1" w:rsidRPr="001D1404" w:rsidRDefault="00E365E1" w:rsidP="00A403D5"/>
    <w:sectPr w:rsidR="00E365E1" w:rsidRPr="001D1404" w:rsidSect="00BA266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3D5" w:rsidRPr="00BA266A" w:rsidRDefault="00A403D5">
      <w:r w:rsidRPr="00BA266A">
        <w:separator/>
      </w:r>
    </w:p>
  </w:endnote>
  <w:endnote w:type="continuationSeparator" w:id="0">
    <w:p w:rsidR="00A403D5" w:rsidRPr="00BA266A" w:rsidRDefault="00A403D5">
      <w:r w:rsidRPr="00BA26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3D5" w:rsidRPr="00BA266A" w:rsidRDefault="00A403D5">
      <w:r w:rsidRPr="00BA266A">
        <w:separator/>
      </w:r>
    </w:p>
  </w:footnote>
  <w:footnote w:type="continuationSeparator" w:id="0">
    <w:p w:rsidR="00A403D5" w:rsidRPr="00BA266A" w:rsidRDefault="00A403D5">
      <w:r w:rsidRPr="00BA266A">
        <w:continuationSeparator/>
      </w:r>
    </w:p>
  </w:footnote>
  <w:footnote w:id="1">
    <w:p w:rsidR="005B7BD9" w:rsidRPr="002524FE" w:rsidRDefault="005B7BD9" w:rsidP="005B7BD9">
      <w:pPr>
        <w:pStyle w:val="FootnoteText"/>
        <w:ind w:left="720" w:hanging="720"/>
        <w:rPr>
          <w:lang w:val="fi-FI"/>
        </w:rPr>
      </w:pPr>
      <w:r w:rsidRPr="00E42524">
        <w:rPr>
          <w:rStyle w:val="FootnoteReference"/>
        </w:rPr>
        <w:footnoteRef/>
      </w:r>
      <w:r w:rsidRPr="00E42524">
        <w:rPr>
          <w:lang w:val="fi-FI"/>
        </w:rPr>
        <w:tab/>
        <w:t xml:space="preserve">Asia päätettiin palauttaa asiasta vastaavaan valiokuntaan toimielinten välisiä neuvotteluja varten työjärjestyksen </w:t>
      </w:r>
      <w:r w:rsidR="00B83B45" w:rsidRPr="00E42524">
        <w:rPr>
          <w:lang w:val="fi-FI"/>
        </w:rPr>
        <w:t>60</w:t>
      </w:r>
      <w:r w:rsidRPr="00E42524">
        <w:rPr>
          <w:lang w:val="fi-FI"/>
        </w:rPr>
        <w:t xml:space="preserve"> artiklan 4 kohdan neljännen alakohdan mukaisesti (A10-0020/2025).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FI"/>
    <w:docVar w:name="dvnumam" w:val="19"/>
    <w:docVar w:name="dvpe" w:val="763.253"/>
    <w:docVar w:name="dvrapporteur" w:val="Esittelijä: "/>
    <w:docVar w:name="dvstar" w:val="***I"/>
    <w:docVar w:name="dvtitre" w:val="Euroopan parlamentin lainsäädäntöpäätöslauselma 1. huhtikuuta 2025 ehdotuksesta Euroopan parlamentin ja neuvoston asetukseksi Euroopan parlamentin ja neuvoston asetusten (EY) N:o 178/2002, (EY) N:o 401/2009, (EU) 2017/745 ja (EU) 2019/1021 muuttamisesta tieteellisten ja teknisten tehtävien siirtämiseksi ja yhteistyön parantamiseksi unionin virastojen välillä kemikaalialalla(COM(2023)0783 – C9-0447/2023 – 2023/0455(COD))"/>
  </w:docVars>
  <w:rsids>
    <w:rsidRoot w:val="00A403D5"/>
    <w:rsid w:val="00002272"/>
    <w:rsid w:val="00012C52"/>
    <w:rsid w:val="00021058"/>
    <w:rsid w:val="00064002"/>
    <w:rsid w:val="000677B9"/>
    <w:rsid w:val="000831BA"/>
    <w:rsid w:val="000A42CC"/>
    <w:rsid w:val="000E7DD9"/>
    <w:rsid w:val="0010095E"/>
    <w:rsid w:val="00125B37"/>
    <w:rsid w:val="00187494"/>
    <w:rsid w:val="001D140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BD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FAE"/>
    <w:rsid w:val="009E7DC4"/>
    <w:rsid w:val="00A1687D"/>
    <w:rsid w:val="00A403D5"/>
    <w:rsid w:val="00A43E52"/>
    <w:rsid w:val="00A4678D"/>
    <w:rsid w:val="00A778C7"/>
    <w:rsid w:val="00AB441E"/>
    <w:rsid w:val="00AB6293"/>
    <w:rsid w:val="00AE0928"/>
    <w:rsid w:val="00AF3B82"/>
    <w:rsid w:val="00B12E95"/>
    <w:rsid w:val="00B22876"/>
    <w:rsid w:val="00B558F0"/>
    <w:rsid w:val="00B83B45"/>
    <w:rsid w:val="00BA266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AC1"/>
    <w:rsid w:val="00E365E1"/>
    <w:rsid w:val="00E4252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4B115D-4D68-429F-BB1D-7060D48B0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DC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12C52"/>
    <w:pPr>
      <w:spacing w:after="120"/>
    </w:pPr>
  </w:style>
  <w:style w:type="paragraph" w:customStyle="1" w:styleId="NormalBold">
    <w:name w:val="NormalBold"/>
    <w:basedOn w:val="Normal"/>
    <w:link w:val="NormalBoldChar"/>
    <w:rsid w:val="00012C52"/>
    <w:rPr>
      <w:b/>
    </w:rPr>
  </w:style>
  <w:style w:type="paragraph" w:customStyle="1" w:styleId="NormalHanging12a">
    <w:name w:val="NormalHanging12a"/>
    <w:basedOn w:val="Normal"/>
    <w:rsid w:val="00012C52"/>
    <w:pPr>
      <w:spacing w:after="240"/>
      <w:ind w:left="567" w:hanging="567"/>
    </w:pPr>
  </w:style>
  <w:style w:type="paragraph" w:customStyle="1" w:styleId="AmColumnHeading">
    <w:name w:val="AmColumnHeading"/>
    <w:basedOn w:val="Normal"/>
    <w:rsid w:val="00012C52"/>
    <w:pPr>
      <w:spacing w:after="240"/>
      <w:jc w:val="center"/>
    </w:pPr>
    <w:rPr>
      <w:i/>
    </w:rPr>
  </w:style>
  <w:style w:type="paragraph" w:customStyle="1" w:styleId="AmNumberTabs">
    <w:name w:val="AmNumberTabs"/>
    <w:basedOn w:val="Normal"/>
    <w:rsid w:val="009E7DC4"/>
    <w:pPr>
      <w:keepNext/>
      <w:spacing w:before="240"/>
    </w:pPr>
    <w:rPr>
      <w:b/>
    </w:rPr>
  </w:style>
  <w:style w:type="paragraph" w:customStyle="1" w:styleId="EPComma">
    <w:name w:val="EPComma"/>
    <w:basedOn w:val="Normal"/>
    <w:rsid w:val="00012C52"/>
    <w:pPr>
      <w:spacing w:before="480" w:after="240"/>
    </w:pPr>
  </w:style>
  <w:style w:type="character" w:customStyle="1" w:styleId="NormalBoldChar">
    <w:name w:val="NormalBold Char"/>
    <w:basedOn w:val="DefaultParagraphFont"/>
    <w:link w:val="NormalBold"/>
    <w:locked/>
    <w:rsid w:val="00012C52"/>
    <w:rPr>
      <w:b/>
      <w:sz w:val="24"/>
      <w:lang w:val="fi-FI"/>
    </w:rPr>
  </w:style>
  <w:style w:type="character" w:customStyle="1" w:styleId="Normal6Char">
    <w:name w:val="Normal6 Char"/>
    <w:basedOn w:val="DefaultParagraphFont"/>
    <w:link w:val="Normal6"/>
    <w:locked/>
    <w:rsid w:val="00012C52"/>
    <w:rPr>
      <w:sz w:val="24"/>
      <w:lang w:val="fi-FI"/>
    </w:rPr>
  </w:style>
  <w:style w:type="paragraph" w:customStyle="1" w:styleId="Normal6">
    <w:name w:val="Normal6"/>
    <w:basedOn w:val="Normal"/>
    <w:link w:val="Normal6Char"/>
    <w:rsid w:val="00012C52"/>
    <w:pPr>
      <w:spacing w:after="120"/>
    </w:pPr>
  </w:style>
  <w:style w:type="paragraph" w:customStyle="1" w:styleId="ColumnHeading">
    <w:name w:val="ColumnHeading"/>
    <w:basedOn w:val="Normal"/>
    <w:rsid w:val="00012C52"/>
    <w:pPr>
      <w:spacing w:after="240"/>
      <w:jc w:val="center"/>
    </w:pPr>
    <w:rPr>
      <w:i/>
    </w:rPr>
  </w:style>
  <w:style w:type="paragraph" w:customStyle="1" w:styleId="Normal0">
    <w:name w:val="Normal0"/>
    <w:basedOn w:val="Normal"/>
    <w:rsid w:val="00012C52"/>
    <w:rPr>
      <w:sz w:val="2"/>
      <w:szCs w:val="24"/>
      <w:lang w:eastAsia="en-US"/>
    </w:rPr>
  </w:style>
  <w:style w:type="paragraph" w:styleId="Footer">
    <w:name w:val="footer"/>
    <w:basedOn w:val="Normal"/>
    <w:link w:val="FooterChar"/>
    <w:rsid w:val="009E7DC4"/>
    <w:pPr>
      <w:tabs>
        <w:tab w:val="center" w:pos="4513"/>
        <w:tab w:val="right" w:pos="9026"/>
      </w:tabs>
    </w:pPr>
  </w:style>
  <w:style w:type="character" w:customStyle="1" w:styleId="FooterChar">
    <w:name w:val="Footer Char"/>
    <w:basedOn w:val="DefaultParagraphFont"/>
    <w:link w:val="Footer"/>
    <w:rsid w:val="009E7DC4"/>
    <w:rPr>
      <w:sz w:val="24"/>
      <w:lang w:val="fi-FI"/>
    </w:rPr>
  </w:style>
  <w:style w:type="character" w:styleId="Hyperlink">
    <w:name w:val="Hyperlink"/>
    <w:basedOn w:val="DefaultParagraphFont"/>
    <w:rsid w:val="00990FAE"/>
    <w:rPr>
      <w:color w:val="0563C1" w:themeColor="hyperlink"/>
      <w:u w:val="single"/>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5B7BD9"/>
    <w:pPr>
      <w:widowControl/>
      <w:spacing w:after="160" w:line="240" w:lineRule="exact"/>
    </w:pPr>
    <w:rPr>
      <w:sz w:val="20"/>
      <w:vertAlign w:val="superscript"/>
      <w:lang w:val="en-GB"/>
    </w:rPr>
  </w:style>
  <w:style w:type="paragraph" w:styleId="BalloonText">
    <w:name w:val="Balloon Text"/>
    <w:basedOn w:val="Normal"/>
    <w:link w:val="BalloonTextChar"/>
    <w:rsid w:val="00021058"/>
    <w:rPr>
      <w:rFonts w:ascii="Segoe UI" w:hAnsi="Segoe UI" w:cs="Segoe UI"/>
      <w:sz w:val="18"/>
      <w:szCs w:val="18"/>
    </w:rPr>
  </w:style>
  <w:style w:type="character" w:customStyle="1" w:styleId="BalloonTextChar">
    <w:name w:val="Balloon Text Char"/>
    <w:basedOn w:val="DefaultParagraphFont"/>
    <w:link w:val="BalloonText"/>
    <w:rsid w:val="00021058"/>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E37A1-86D7-49F2-BEBC-F5953AF80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2477</Words>
  <Characters>19291</Characters>
  <Application>Microsoft Office Word</Application>
  <DocSecurity>0</DocSecurity>
  <Lines>160</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2025-04-01T12:29:00Z</dcterms:created>
  <dcterms:modified xsi:type="dcterms:W3CDTF">2025-04-01T12:29:00Z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A10-0020/2025</vt:lpwstr>
  </property>
  <property fmtid="{D5CDD505-2E9C-101B-9397-08002B2CF9AE}" pid="4" name="&lt;Type&gt;">
    <vt:lpwstr>RR</vt:lpwstr>
  </property>
</Properties>
</file>