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4359" w:rsidTr="0010095E">
        <w:trPr>
          <w:trHeight w:hRule="exact" w:val="1418"/>
        </w:trPr>
        <w:tc>
          <w:tcPr>
            <w:tcW w:w="6804" w:type="dxa"/>
            <w:shd w:val="clear" w:color="auto" w:fill="auto"/>
            <w:vAlign w:val="center"/>
          </w:tcPr>
          <w:p w:rsidR="00751A4A" w:rsidRPr="006C4359" w:rsidRDefault="00470A49" w:rsidP="0010095E">
            <w:pPr>
              <w:pStyle w:val="EPName"/>
            </w:pPr>
            <w:r w:rsidRPr="006C4359">
              <w:t>Parlement européen</w:t>
            </w:r>
          </w:p>
          <w:p w:rsidR="00751A4A" w:rsidRPr="006C4359" w:rsidRDefault="005F1B17" w:rsidP="005F1B17">
            <w:pPr>
              <w:pStyle w:val="EPTerm"/>
              <w:rPr>
                <w:rStyle w:val="HideTWBExt"/>
                <w:noProof w:val="0"/>
                <w:vanish w:val="0"/>
                <w:color w:val="auto"/>
              </w:rPr>
            </w:pPr>
            <w:r w:rsidRPr="006C4359">
              <w:t>2024</w:t>
            </w:r>
            <w:r w:rsidR="00817416" w:rsidRPr="006C4359">
              <w:t>-202</w:t>
            </w:r>
            <w:r w:rsidRPr="006C4359">
              <w:t>9</w:t>
            </w:r>
          </w:p>
        </w:tc>
        <w:tc>
          <w:tcPr>
            <w:tcW w:w="2268" w:type="dxa"/>
            <w:shd w:val="clear" w:color="auto" w:fill="auto"/>
          </w:tcPr>
          <w:p w:rsidR="00751A4A" w:rsidRPr="006C4359" w:rsidRDefault="00187494" w:rsidP="0010095E">
            <w:pPr>
              <w:pStyle w:val="EPLogo"/>
            </w:pPr>
            <w:r w:rsidRPr="006C435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C4359" w:rsidRDefault="00D058B8" w:rsidP="004C5D52">
      <w:pPr>
        <w:pStyle w:val="LineTop"/>
      </w:pPr>
    </w:p>
    <w:p w:rsidR="00680577" w:rsidRPr="006C4359" w:rsidRDefault="00470A49" w:rsidP="00680577">
      <w:pPr>
        <w:pStyle w:val="EPBodyTA1"/>
      </w:pPr>
      <w:r w:rsidRPr="006C4359">
        <w:t>TEXTES ADOPTÉS</w:t>
      </w:r>
    </w:p>
    <w:p w:rsidR="00D058B8" w:rsidRPr="006C4359" w:rsidRDefault="00D058B8" w:rsidP="00D058B8">
      <w:pPr>
        <w:pStyle w:val="LineBottom"/>
      </w:pPr>
    </w:p>
    <w:p w:rsidR="00470A49" w:rsidRPr="006C4359" w:rsidRDefault="00470A49" w:rsidP="00470A49">
      <w:pPr>
        <w:pStyle w:val="ATHeading1"/>
      </w:pPr>
      <w:bookmarkStart w:id="0" w:name="TANumber"/>
      <w:r w:rsidRPr="006C4359">
        <w:t>P10_</w:t>
      </w:r>
      <w:proofErr w:type="gramStart"/>
      <w:r w:rsidRPr="006C4359">
        <w:t>TA(</w:t>
      </w:r>
      <w:proofErr w:type="gramEnd"/>
      <w:r w:rsidRPr="006C4359">
        <w:t>2025)00</w:t>
      </w:r>
      <w:r w:rsidR="00F72F41">
        <w:t>47</w:t>
      </w:r>
      <w:bookmarkEnd w:id="0"/>
    </w:p>
    <w:p w:rsidR="00470A49" w:rsidRPr="006C4359" w:rsidRDefault="008063E1" w:rsidP="00470A49">
      <w:pPr>
        <w:pStyle w:val="ATHeading2"/>
      </w:pPr>
      <w:bookmarkStart w:id="1" w:name="title"/>
      <w:r w:rsidRPr="008063E1">
        <w:t>Réattribution des tâches scientifiques et techniques et amélioration de la coopération entre les agences de l’Union dans le domaine des produits chimiques</w:t>
      </w:r>
      <w:bookmarkEnd w:id="1"/>
    </w:p>
    <w:p w:rsidR="00470A49" w:rsidRPr="006C4359" w:rsidRDefault="00470A49" w:rsidP="00470A49">
      <w:pPr>
        <w:rPr>
          <w:i/>
          <w:vanish/>
        </w:rPr>
      </w:pPr>
      <w:r w:rsidRPr="006C4359">
        <w:rPr>
          <w:i/>
        </w:rPr>
        <w:fldChar w:fldCharType="begin"/>
      </w:r>
      <w:r w:rsidRPr="006C4359">
        <w:rPr>
          <w:i/>
        </w:rPr>
        <w:instrText xml:space="preserve"> TC"(</w:instrText>
      </w:r>
      <w:bookmarkStart w:id="2" w:name="DocNumber"/>
      <w:r w:rsidRPr="006C4359">
        <w:rPr>
          <w:i/>
        </w:rPr>
        <w:instrText>A10-0020/2025</w:instrText>
      </w:r>
      <w:bookmarkEnd w:id="2"/>
      <w:r w:rsidRPr="006C4359">
        <w:rPr>
          <w:i/>
        </w:rPr>
        <w:instrText xml:space="preserve"> - Rapporteur: Dimitris Tsiodras)"\l3 \n&gt; \* MERGEFORMAT </w:instrText>
      </w:r>
      <w:r w:rsidRPr="006C4359">
        <w:rPr>
          <w:i/>
        </w:rPr>
        <w:fldChar w:fldCharType="end"/>
      </w:r>
    </w:p>
    <w:p w:rsidR="00470A49" w:rsidRPr="006C4359" w:rsidRDefault="00470A49" w:rsidP="00470A49">
      <w:pPr>
        <w:rPr>
          <w:vanish/>
        </w:rPr>
      </w:pPr>
      <w:bookmarkStart w:id="3" w:name="Commission"/>
      <w:r w:rsidRPr="006C4359">
        <w:rPr>
          <w:vanish/>
        </w:rPr>
        <w:t>Commission de l’environnement, du climat et de la sécurité alimentaire</w:t>
      </w:r>
      <w:bookmarkEnd w:id="3"/>
    </w:p>
    <w:p w:rsidR="00470A49" w:rsidRPr="006C4359" w:rsidRDefault="00470A49" w:rsidP="00470A49">
      <w:pPr>
        <w:rPr>
          <w:vanish/>
        </w:rPr>
      </w:pPr>
      <w:bookmarkStart w:id="4" w:name="PE"/>
      <w:r w:rsidRPr="006C4359">
        <w:rPr>
          <w:vanish/>
        </w:rPr>
        <w:t>PE763.253</w:t>
      </w:r>
      <w:bookmarkEnd w:id="4"/>
    </w:p>
    <w:p w:rsidR="00470A49" w:rsidRPr="006C4359" w:rsidRDefault="00F72F41" w:rsidP="00470A49">
      <w:pPr>
        <w:pStyle w:val="ATHeading3"/>
      </w:pPr>
      <w:bookmarkStart w:id="5" w:name="Sujet"/>
      <w:r w:rsidRPr="00DB30E7">
        <w:t>Amendements du Parlement européen, adoptés le</w:t>
      </w:r>
      <w:r w:rsidR="008E07B3">
        <w:t xml:space="preserve"> </w:t>
      </w:r>
      <w:r w:rsidR="008063E1">
        <w:t>1</w:t>
      </w:r>
      <w:r w:rsidR="008063E1" w:rsidRPr="008063E1">
        <w:rPr>
          <w:vertAlign w:val="superscript"/>
        </w:rPr>
        <w:t>er</w:t>
      </w:r>
      <w:r w:rsidR="008E07B3">
        <w:t xml:space="preserve"> avril</w:t>
      </w:r>
      <w:r w:rsidR="00470A49" w:rsidRPr="006C4359">
        <w:t xml:space="preserve"> 2025</w:t>
      </w:r>
      <w:r>
        <w:t>, à</w:t>
      </w:r>
      <w:r w:rsidR="00470A49" w:rsidRPr="006C4359">
        <w:t xml:space="preserve"> la proposition de règlement du Parlement européen et du Conseil modifiant les règlements (CE) nº 178/2002, (CE) nº 401/2009, (UE) 2017/745 et (UE) 2019/1021 du Parlement européen et du Conseil en ce qui concerne la réattribution de tâches scientifiques et techniques et améliorant la coopération entre les agences de l’Union dans le domaine des produits chimiques</w:t>
      </w:r>
      <w:bookmarkEnd w:id="5"/>
      <w:r w:rsidR="00470A49" w:rsidRPr="006C4359">
        <w:t xml:space="preserve"> </w:t>
      </w:r>
      <w:bookmarkStart w:id="6" w:name="References"/>
      <w:r w:rsidR="00470A49" w:rsidRPr="006C4359">
        <w:t>(COM(2023)0783 – C9-0447/2023 – 2023/0455(COD))</w:t>
      </w:r>
      <w:bookmarkEnd w:id="6"/>
      <w:r>
        <w:rPr>
          <w:rStyle w:val="FootnoteReference"/>
        </w:rPr>
        <w:footnoteReference w:id="1"/>
      </w:r>
    </w:p>
    <w:p w:rsidR="00235D54" w:rsidRPr="006C4359" w:rsidRDefault="00235D54" w:rsidP="00235D54">
      <w:pPr>
        <w:pStyle w:val="NormalBold"/>
      </w:pPr>
      <w:r w:rsidRPr="006C4359">
        <w:t>(Procédure législative ordinaire: première lecture)</w:t>
      </w:r>
    </w:p>
    <w:p w:rsidR="008063E1" w:rsidRDefault="008063E1">
      <w:pPr>
        <w:widowControl/>
      </w:pPr>
      <w:bookmarkStart w:id="7" w:name="_GoBack"/>
      <w:bookmarkEnd w:id="7"/>
    </w:p>
    <w:p w:rsidR="00235D54" w:rsidRPr="006C4359" w:rsidRDefault="00235D54" w:rsidP="00235D54">
      <w:pPr>
        <w:pStyle w:val="AmNumberTabs"/>
      </w:pPr>
      <w:r w:rsidRPr="006C4359">
        <w:t>Amendement</w:t>
      </w:r>
      <w:r w:rsidRPr="006C4359">
        <w:tab/>
      </w:r>
      <w:r w:rsidRPr="006C4359">
        <w:tab/>
        <w:t>1</w:t>
      </w:r>
    </w:p>
    <w:p w:rsidR="00235D54" w:rsidRPr="006C4359" w:rsidRDefault="00235D54" w:rsidP="00235D54"/>
    <w:p w:rsidR="00235D54" w:rsidRPr="006C4359" w:rsidRDefault="00235D54" w:rsidP="00235D54">
      <w:pPr>
        <w:pStyle w:val="NormalBold"/>
        <w:keepNext/>
      </w:pPr>
      <w:r w:rsidRPr="006C4359">
        <w:t>Proposition de règlement</w:t>
      </w:r>
    </w:p>
    <w:p w:rsidR="00235D54" w:rsidRPr="006C4359" w:rsidRDefault="00235D54" w:rsidP="00235D54">
      <w:pPr>
        <w:pStyle w:val="NormalBold"/>
      </w:pPr>
      <w:r w:rsidRPr="006C4359">
        <w:t>Considérant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D54" w:rsidRPr="006C4359" w:rsidTr="005243F2">
        <w:trPr>
          <w:jc w:val="center"/>
        </w:trPr>
        <w:tc>
          <w:tcPr>
            <w:tcW w:w="9752" w:type="dxa"/>
            <w:gridSpan w:val="2"/>
          </w:tcPr>
          <w:p w:rsidR="00235D54" w:rsidRPr="006C4359" w:rsidRDefault="00235D54" w:rsidP="005243F2">
            <w:pPr>
              <w:keepNext/>
            </w:pPr>
          </w:p>
        </w:tc>
      </w:tr>
      <w:tr w:rsidR="00235D54" w:rsidRPr="006C4359" w:rsidTr="005243F2">
        <w:trPr>
          <w:jc w:val="center"/>
        </w:trPr>
        <w:tc>
          <w:tcPr>
            <w:tcW w:w="4876" w:type="dxa"/>
            <w:hideMark/>
          </w:tcPr>
          <w:p w:rsidR="00235D54" w:rsidRPr="006C4359" w:rsidRDefault="00235D54" w:rsidP="005243F2">
            <w:pPr>
              <w:pStyle w:val="ColumnHeading"/>
              <w:keepNext/>
            </w:pPr>
            <w:r w:rsidRPr="006C4359">
              <w:t>Texte proposé par la Commission</w:t>
            </w:r>
          </w:p>
        </w:tc>
        <w:tc>
          <w:tcPr>
            <w:tcW w:w="4876" w:type="dxa"/>
            <w:hideMark/>
          </w:tcPr>
          <w:p w:rsidR="00235D54" w:rsidRPr="006C4359" w:rsidRDefault="00235D54" w:rsidP="005243F2">
            <w:pPr>
              <w:pStyle w:val="ColumnHeading"/>
              <w:keepNext/>
            </w:pPr>
            <w:r w:rsidRPr="006C4359">
              <w:t>Amendement</w:t>
            </w:r>
          </w:p>
        </w:tc>
      </w:tr>
      <w:tr w:rsidR="00235D54" w:rsidRPr="006C4359" w:rsidTr="005243F2">
        <w:trPr>
          <w:jc w:val="center"/>
        </w:trPr>
        <w:tc>
          <w:tcPr>
            <w:tcW w:w="4876" w:type="dxa"/>
            <w:hideMark/>
          </w:tcPr>
          <w:p w:rsidR="00235D54" w:rsidRPr="006C4359" w:rsidRDefault="00235D54" w:rsidP="005243F2">
            <w:pPr>
              <w:pStyle w:val="Normal6"/>
            </w:pPr>
            <w:r w:rsidRPr="006C4359">
              <w:t>(8)</w:t>
            </w:r>
            <w:r w:rsidRPr="006C4359">
              <w:tab/>
              <w:t xml:space="preserve">De la même manière, le présent règlement vise à remédier aux divergences éventuelles entre les avis scientifiques de l’Autorité européenne de sécurité des aliments et ceux d’autres agences de l’Union. Le règlement (CE) nº 178/2002 du Parlement européen et du Conseil contient déjà des dispositions établissant une procédure pour la résolution des divergences entre avis scientifiques. Ces procédures de résolution devraient être renforcées, en ce sens que l’Autorité européenne de sécurité des aliments et l’agence ayant émis un avis divergent devraient être tenues de faire tout leur </w:t>
            </w:r>
            <w:r w:rsidRPr="006C4359">
              <w:lastRenderedPageBreak/>
              <w:t>possible pour résoudre les divergences sur des questions scientifiques générales</w:t>
            </w:r>
            <w:r w:rsidRPr="006C4359">
              <w:rPr>
                <w:b/>
                <w:i/>
              </w:rPr>
              <w:t xml:space="preserve"> et, uniquement lorsqu’elles ne sont pas en mesure de</w:t>
            </w:r>
            <w:r w:rsidRPr="006C4359">
              <w:t xml:space="preserve"> </w:t>
            </w:r>
            <w:r w:rsidRPr="006C4359">
              <w:rPr>
                <w:b/>
                <w:i/>
              </w:rPr>
              <w:t>trouver une solution,</w:t>
            </w:r>
            <w:r w:rsidRPr="006C4359">
              <w:t xml:space="preserve"> s’en remettre à des gestionnaires des risques.</w:t>
            </w:r>
          </w:p>
        </w:tc>
        <w:tc>
          <w:tcPr>
            <w:tcW w:w="4876" w:type="dxa"/>
            <w:hideMark/>
          </w:tcPr>
          <w:p w:rsidR="00235D54" w:rsidRPr="006C4359" w:rsidRDefault="00235D54" w:rsidP="005243F2">
            <w:pPr>
              <w:pStyle w:val="Normal6"/>
              <w:rPr>
                <w:szCs w:val="24"/>
              </w:rPr>
            </w:pPr>
            <w:r w:rsidRPr="006C4359">
              <w:lastRenderedPageBreak/>
              <w:t>(8)</w:t>
            </w:r>
            <w:r w:rsidRPr="006C4359">
              <w:tab/>
              <w:t xml:space="preserve">De la même manière, le présent règlement vise à remédier aux divergences éventuelles entre les avis scientifiques de l’Autorité européenne de sécurité des aliments et ceux d’autres agences de l’Union. Le règlement (CE) nº 178/2002 du Parlement européen et du Conseil contient déjà des dispositions établissant une procédure pour la résolution des divergences entre avis scientifiques. Ces procédures de résolution devraient être renforcées, en ce sens que l’Autorité européenne de sécurité des aliments et l’agence ayant émis un avis divergent devraient être tenues de faire tout leur </w:t>
            </w:r>
            <w:r w:rsidRPr="006C4359">
              <w:lastRenderedPageBreak/>
              <w:t>possible pour résoudre les divergences sur des questions scientifiques générales</w:t>
            </w:r>
            <w:r w:rsidRPr="006C4359">
              <w:rPr>
                <w:b/>
                <w:i/>
              </w:rPr>
              <w:t>. Il convient de justifier dûment les différences dans les méthodes d’évaluation qui se traduisent par des avis divergents, notamment en ce qui concerne la protection des groupes vulnérables. En pareil cas, il convient de donner la priorité à l’avis le plus protecteur afin de protéger les groupes vulnérables.</w:t>
            </w:r>
            <w:r w:rsidRPr="006C4359">
              <w:t xml:space="preserve"> </w:t>
            </w:r>
            <w:r w:rsidRPr="006C4359">
              <w:rPr>
                <w:b/>
                <w:i/>
              </w:rPr>
              <w:t>L’Autorité européenne de sécurité des aliments et l’agence ayant émis un avis divergent devraient</w:t>
            </w:r>
            <w:r w:rsidRPr="006C4359">
              <w:t xml:space="preserve"> s’en remettre à des gestionnaires des risques</w:t>
            </w:r>
            <w:r w:rsidRPr="006C4359">
              <w:rPr>
                <w:b/>
                <w:i/>
              </w:rPr>
              <w:t xml:space="preserve"> uniquement lorsqu’elles ne sont pas en mesure de trouver une solution</w:t>
            </w:r>
            <w:r w:rsidRPr="006C4359">
              <w:t>.</w:t>
            </w:r>
          </w:p>
        </w:tc>
      </w:tr>
    </w:tbl>
    <w:p w:rsidR="00235D54" w:rsidRPr="006C4359" w:rsidRDefault="00235D54" w:rsidP="00235D54"/>
    <w:p w:rsidR="00235D54" w:rsidRPr="006C4359" w:rsidRDefault="00235D54" w:rsidP="00235D54">
      <w:pPr>
        <w:pStyle w:val="AmNumberTabs"/>
      </w:pPr>
      <w:r w:rsidRPr="006C4359">
        <w:t>Amendement</w:t>
      </w:r>
      <w:r w:rsidRPr="006C4359">
        <w:tab/>
      </w:r>
      <w:r w:rsidRPr="006C4359">
        <w:tab/>
        <w:t>2</w:t>
      </w:r>
    </w:p>
    <w:p w:rsidR="00235D54" w:rsidRPr="006C4359" w:rsidRDefault="00235D54" w:rsidP="00235D54"/>
    <w:p w:rsidR="00235D54" w:rsidRPr="006C4359" w:rsidRDefault="00235D54" w:rsidP="00235D54">
      <w:pPr>
        <w:pStyle w:val="NormalBold"/>
        <w:keepNext/>
      </w:pPr>
      <w:r w:rsidRPr="006C4359">
        <w:t>Proposition de règlement</w:t>
      </w:r>
    </w:p>
    <w:p w:rsidR="00235D54" w:rsidRPr="006C4359" w:rsidRDefault="00235D54" w:rsidP="00235D54">
      <w:pPr>
        <w:pStyle w:val="NormalBold"/>
      </w:pPr>
      <w:r w:rsidRPr="006C4359">
        <w:t>Considérant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D54" w:rsidRPr="006C4359" w:rsidTr="005243F2">
        <w:trPr>
          <w:jc w:val="center"/>
        </w:trPr>
        <w:tc>
          <w:tcPr>
            <w:tcW w:w="9752" w:type="dxa"/>
            <w:gridSpan w:val="2"/>
          </w:tcPr>
          <w:p w:rsidR="00235D54" w:rsidRPr="006C4359" w:rsidRDefault="00235D54" w:rsidP="005243F2">
            <w:pPr>
              <w:keepNext/>
            </w:pPr>
          </w:p>
        </w:tc>
      </w:tr>
      <w:tr w:rsidR="00235D54" w:rsidRPr="006C4359" w:rsidTr="005243F2">
        <w:trPr>
          <w:jc w:val="center"/>
        </w:trPr>
        <w:tc>
          <w:tcPr>
            <w:tcW w:w="4876" w:type="dxa"/>
            <w:hideMark/>
          </w:tcPr>
          <w:p w:rsidR="00235D54" w:rsidRPr="006C4359" w:rsidRDefault="00235D54" w:rsidP="005243F2">
            <w:pPr>
              <w:pStyle w:val="ColumnHeading"/>
              <w:keepNext/>
            </w:pPr>
            <w:r w:rsidRPr="006C4359">
              <w:t>Texte proposé par la Commission</w:t>
            </w:r>
          </w:p>
        </w:tc>
        <w:tc>
          <w:tcPr>
            <w:tcW w:w="4876" w:type="dxa"/>
            <w:hideMark/>
          </w:tcPr>
          <w:p w:rsidR="00235D54" w:rsidRPr="006C4359" w:rsidRDefault="00235D54" w:rsidP="005243F2">
            <w:pPr>
              <w:pStyle w:val="ColumnHeading"/>
              <w:keepNext/>
            </w:pPr>
            <w:r w:rsidRPr="006C4359">
              <w:t>Amendement</w:t>
            </w:r>
          </w:p>
        </w:tc>
      </w:tr>
      <w:tr w:rsidR="00235D54" w:rsidRPr="006C4359" w:rsidTr="005243F2">
        <w:trPr>
          <w:jc w:val="center"/>
        </w:trPr>
        <w:tc>
          <w:tcPr>
            <w:tcW w:w="4876" w:type="dxa"/>
            <w:hideMark/>
          </w:tcPr>
          <w:p w:rsidR="00235D54" w:rsidRPr="006C4359" w:rsidRDefault="00235D54" w:rsidP="005243F2">
            <w:pPr>
              <w:pStyle w:val="Normal6"/>
            </w:pPr>
            <w:r w:rsidRPr="006C4359">
              <w:t>(9)</w:t>
            </w:r>
            <w:r w:rsidRPr="006C4359">
              <w:tab/>
              <w:t xml:space="preserve">Dans le cas plus spécifique de divergences scientifiques concernant l’identification des dangers des substances chimiques, il convient d’établir une nouvelle procédure permettant de trouver une solution à la divergence. Cette procédure devrait permettre à la Commission de demander à l’Agence européenne des produits chimiques, en tant qu’agence de l’Union dont l’expertise et les capacités sont les plus grandes en matière d’évaluation des dangers et qui jouit d’une longue expérience quant au processus de classification et d’étiquetage harmonisés, d’élaborer une proposition de classification et d’étiquetage harmonisés, conformément au règlement (CE) nº 1272/2008 du Parlement européen et du Conseil, en tenant compte de l’ambition «une substance, une évaluation» en ce qui concerne l’uniformité des évaluations des dangers des produits chimiques dans l’ensemble de l’Union. Cette possibilité devrait se refléter dans la disposition correspondante prévoyant la </w:t>
            </w:r>
            <w:r w:rsidRPr="006C4359">
              <w:lastRenderedPageBreak/>
              <w:t>résolution des divergences entre avis scientifiques prévue par le règlement (CE) nº 178/2002.</w:t>
            </w:r>
          </w:p>
        </w:tc>
        <w:tc>
          <w:tcPr>
            <w:tcW w:w="4876" w:type="dxa"/>
            <w:hideMark/>
          </w:tcPr>
          <w:p w:rsidR="00235D54" w:rsidRPr="006C4359" w:rsidRDefault="00235D54" w:rsidP="005243F2">
            <w:pPr>
              <w:pStyle w:val="Normal6"/>
              <w:rPr>
                <w:szCs w:val="24"/>
              </w:rPr>
            </w:pPr>
            <w:r w:rsidRPr="006C4359">
              <w:lastRenderedPageBreak/>
              <w:t>(9)</w:t>
            </w:r>
            <w:r w:rsidRPr="006C4359">
              <w:tab/>
              <w:t>Dans le cas plus spécifique de divergences scientifiques concernant l’identification des dangers des substances chimiques, il convient d’établir une nouvelle procédure permettant de trouver une solution à la divergence. Cette procédure devrait permettre à la Commission de demander à l’Agence européenne des produits chimiques, en tant qu’agence de l’Union dont l’expertise et les capacités sont les plus grandes en matière d’évaluation des dangers et qui jouit d’une longue expérience quant au processus de classification et d’étiquetage harmonisés, d’élaborer une proposition de classification et d’étiquetage harmonisés, conformément au règlement (CE) nº 1272/2008 du Parlement européen et du Conseil, en tenant compte de l’ambition «une substance, une évaluation» en ce qui concerne l’uniformité des évaluations des dangers des produits chimiques dans l’ensemble de l’Union</w:t>
            </w:r>
            <w:r w:rsidRPr="006C4359">
              <w:rPr>
                <w:b/>
                <w:i/>
              </w:rPr>
              <w:t>, en renforçant la protection de la santé et de l’environnement</w:t>
            </w:r>
            <w:r w:rsidRPr="006C4359">
              <w:t xml:space="preserve">. Cette possibilité devrait </w:t>
            </w:r>
            <w:r w:rsidRPr="006C4359">
              <w:lastRenderedPageBreak/>
              <w:t>se refléter dans la disposition correspondante prévoyant la résolution des divergences entre avis scientifiques prévue par le règlement (CE) nº 178/2002.</w:t>
            </w:r>
          </w:p>
        </w:tc>
      </w:tr>
    </w:tbl>
    <w:p w:rsidR="00235D54" w:rsidRPr="006C4359" w:rsidRDefault="00235D54" w:rsidP="00235D54"/>
    <w:p w:rsidR="00235D54" w:rsidRPr="006C4359" w:rsidRDefault="00235D54" w:rsidP="00235D54">
      <w:pPr>
        <w:pStyle w:val="AmNumberTabs"/>
      </w:pPr>
      <w:r w:rsidRPr="006C4359">
        <w:t>Amendement</w:t>
      </w:r>
      <w:r w:rsidRPr="006C4359">
        <w:tab/>
      </w:r>
      <w:r w:rsidRPr="006C4359">
        <w:tab/>
        <w:t>3</w:t>
      </w:r>
    </w:p>
    <w:p w:rsidR="00235D54" w:rsidRPr="006C4359" w:rsidRDefault="00235D54" w:rsidP="00235D54"/>
    <w:p w:rsidR="00235D54" w:rsidRPr="006C4359" w:rsidRDefault="00235D54" w:rsidP="00235D54">
      <w:pPr>
        <w:pStyle w:val="NormalBold"/>
        <w:keepNext/>
      </w:pPr>
      <w:r w:rsidRPr="006C4359">
        <w:t>Proposition de règlement</w:t>
      </w:r>
    </w:p>
    <w:p w:rsidR="00235D54" w:rsidRPr="006C4359" w:rsidRDefault="00235D54" w:rsidP="00235D54">
      <w:pPr>
        <w:pStyle w:val="NormalBold"/>
      </w:pPr>
      <w:r w:rsidRPr="006C4359">
        <w:t>Considérant 14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D54" w:rsidRPr="006C4359" w:rsidTr="005243F2">
        <w:trPr>
          <w:jc w:val="center"/>
        </w:trPr>
        <w:tc>
          <w:tcPr>
            <w:tcW w:w="9752" w:type="dxa"/>
            <w:gridSpan w:val="2"/>
          </w:tcPr>
          <w:p w:rsidR="00235D54" w:rsidRPr="006C4359" w:rsidRDefault="00235D54" w:rsidP="005243F2">
            <w:pPr>
              <w:keepNext/>
            </w:pPr>
          </w:p>
        </w:tc>
      </w:tr>
      <w:tr w:rsidR="00235D54" w:rsidRPr="006C4359" w:rsidTr="005243F2">
        <w:trPr>
          <w:jc w:val="center"/>
        </w:trPr>
        <w:tc>
          <w:tcPr>
            <w:tcW w:w="4876" w:type="dxa"/>
            <w:hideMark/>
          </w:tcPr>
          <w:p w:rsidR="00235D54" w:rsidRPr="006C4359" w:rsidRDefault="00235D54" w:rsidP="005243F2">
            <w:pPr>
              <w:pStyle w:val="ColumnHeading"/>
              <w:keepNext/>
            </w:pPr>
            <w:r w:rsidRPr="006C4359">
              <w:t>Texte proposé par la Commission</w:t>
            </w:r>
          </w:p>
        </w:tc>
        <w:tc>
          <w:tcPr>
            <w:tcW w:w="4876" w:type="dxa"/>
            <w:hideMark/>
          </w:tcPr>
          <w:p w:rsidR="00235D54" w:rsidRPr="006C4359" w:rsidRDefault="00235D54" w:rsidP="005243F2">
            <w:pPr>
              <w:pStyle w:val="ColumnHeading"/>
              <w:keepNext/>
            </w:pPr>
            <w:r w:rsidRPr="006C4359">
              <w:t>Amendement</w:t>
            </w:r>
          </w:p>
        </w:tc>
      </w:tr>
      <w:tr w:rsidR="00235D54" w:rsidRPr="006C4359" w:rsidTr="005243F2">
        <w:trPr>
          <w:jc w:val="center"/>
        </w:trPr>
        <w:tc>
          <w:tcPr>
            <w:tcW w:w="4876" w:type="dxa"/>
          </w:tcPr>
          <w:p w:rsidR="00235D54" w:rsidRPr="006C4359" w:rsidRDefault="00235D54" w:rsidP="005243F2">
            <w:pPr>
              <w:pStyle w:val="Normal6"/>
            </w:pPr>
          </w:p>
        </w:tc>
        <w:tc>
          <w:tcPr>
            <w:tcW w:w="4876" w:type="dxa"/>
            <w:hideMark/>
          </w:tcPr>
          <w:p w:rsidR="00235D54" w:rsidRPr="006C4359" w:rsidRDefault="00235D54" w:rsidP="005243F2">
            <w:pPr>
              <w:pStyle w:val="Normal6"/>
              <w:rPr>
                <w:szCs w:val="24"/>
              </w:rPr>
            </w:pPr>
            <w:r w:rsidRPr="006C4359">
              <w:rPr>
                <w:b/>
                <w:i/>
              </w:rPr>
              <w:t>(14 bis)</w:t>
            </w:r>
            <w:r w:rsidRPr="006C4359">
              <w:rPr>
                <w:b/>
                <w:i/>
              </w:rPr>
              <w:tab/>
              <w:t>Le présent règlement élargit les tâches, accroît la charge de travail et étend les compétences des comités scientifiques de l’Agence européenne des produits chimiques. Pour qu’ils puissent fournir une expertise, un soutien et des évaluations scientifiques approfondies adéquats, il convient de garantir l’adéquation et la stabilité des ressources des comités scientifiques, de leurs capacités et de leur gouvernance. À cet égard, la Commission européenne devrait surveiller régulièrement les besoins de l’Agence européenne des produits chimiques découlant du présent règlement et doter celle-ci de ressources suffisantes et stables.</w:t>
            </w:r>
          </w:p>
        </w:tc>
      </w:tr>
    </w:tbl>
    <w:p w:rsidR="00235D54" w:rsidRPr="006C4359" w:rsidRDefault="00235D54" w:rsidP="00235D54"/>
    <w:p w:rsidR="00235D54" w:rsidRPr="006C4359" w:rsidRDefault="00235D54" w:rsidP="00235D54">
      <w:pPr>
        <w:pStyle w:val="AmNumberTabs"/>
      </w:pPr>
      <w:r w:rsidRPr="006C4359">
        <w:t>Amendement</w:t>
      </w:r>
      <w:r w:rsidRPr="006C4359">
        <w:tab/>
      </w:r>
      <w:r w:rsidRPr="006C4359">
        <w:tab/>
        <w:t>4</w:t>
      </w:r>
    </w:p>
    <w:p w:rsidR="00235D54" w:rsidRPr="006C4359" w:rsidRDefault="00235D54" w:rsidP="00235D54"/>
    <w:p w:rsidR="00235D54" w:rsidRPr="006C4359" w:rsidRDefault="00235D54" w:rsidP="00235D54">
      <w:pPr>
        <w:pStyle w:val="NormalBold"/>
        <w:keepNext/>
      </w:pPr>
      <w:r w:rsidRPr="006C4359">
        <w:t>Proposition de règlement</w:t>
      </w:r>
    </w:p>
    <w:p w:rsidR="00235D54" w:rsidRPr="006C4359" w:rsidRDefault="00235D54" w:rsidP="00235D54">
      <w:pPr>
        <w:pStyle w:val="NormalBold"/>
      </w:pPr>
      <w:r w:rsidRPr="006C4359">
        <w:t>Article 1 – alinéa 1 – point 2</w:t>
      </w:r>
    </w:p>
    <w:p w:rsidR="00235D54" w:rsidRPr="006C4359" w:rsidRDefault="00235D54" w:rsidP="00235D54">
      <w:pPr>
        <w:keepNext/>
      </w:pPr>
      <w:r w:rsidRPr="006C4359">
        <w:t>Règlement (CE) n° 178/2002</w:t>
      </w:r>
    </w:p>
    <w:p w:rsidR="00235D54" w:rsidRPr="006C4359" w:rsidRDefault="00235D54" w:rsidP="00235D54">
      <w:r w:rsidRPr="006C4359">
        <w:t>Article 30 – paragraphe 2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D54" w:rsidRPr="006C4359" w:rsidTr="005243F2">
        <w:trPr>
          <w:jc w:val="center"/>
        </w:trPr>
        <w:tc>
          <w:tcPr>
            <w:tcW w:w="9752" w:type="dxa"/>
            <w:gridSpan w:val="2"/>
          </w:tcPr>
          <w:p w:rsidR="00235D54" w:rsidRPr="006C4359" w:rsidRDefault="00235D54" w:rsidP="005243F2">
            <w:pPr>
              <w:keepNext/>
            </w:pPr>
          </w:p>
        </w:tc>
      </w:tr>
      <w:tr w:rsidR="00235D54" w:rsidRPr="006C4359" w:rsidTr="005243F2">
        <w:trPr>
          <w:jc w:val="center"/>
        </w:trPr>
        <w:tc>
          <w:tcPr>
            <w:tcW w:w="4876" w:type="dxa"/>
            <w:hideMark/>
          </w:tcPr>
          <w:p w:rsidR="00235D54" w:rsidRPr="006C4359" w:rsidRDefault="00235D54" w:rsidP="005243F2">
            <w:pPr>
              <w:pStyle w:val="ColumnHeading"/>
              <w:keepNext/>
            </w:pPr>
            <w:r w:rsidRPr="006C4359">
              <w:t>Texte proposé par la Commission</w:t>
            </w:r>
          </w:p>
        </w:tc>
        <w:tc>
          <w:tcPr>
            <w:tcW w:w="4876" w:type="dxa"/>
            <w:hideMark/>
          </w:tcPr>
          <w:p w:rsidR="00235D54" w:rsidRPr="006C4359" w:rsidRDefault="00235D54" w:rsidP="005243F2">
            <w:pPr>
              <w:pStyle w:val="ColumnHeading"/>
              <w:keepNext/>
            </w:pPr>
            <w:r w:rsidRPr="006C4359">
              <w:t>Amendement</w:t>
            </w:r>
          </w:p>
        </w:tc>
      </w:tr>
      <w:tr w:rsidR="00235D54" w:rsidRPr="006C4359" w:rsidTr="005243F2">
        <w:trPr>
          <w:jc w:val="center"/>
        </w:trPr>
        <w:tc>
          <w:tcPr>
            <w:tcW w:w="4876" w:type="dxa"/>
            <w:hideMark/>
          </w:tcPr>
          <w:p w:rsidR="00235D54" w:rsidRPr="006C4359" w:rsidRDefault="00235D54" w:rsidP="005243F2">
            <w:pPr>
              <w:pStyle w:val="Normal6"/>
            </w:pPr>
            <w:r w:rsidRPr="006C4359">
              <w:t>Lorsque l’Autorité identifie une source potentielle de divergence, elle prend contact avec l’organisme concerné de façon à assurer que toutes les informations scientifiques ou techniques pertinentes sont partagées et à identifier les questions scientifiques ou techniques susceptibles d’entraîner des divergences.</w:t>
            </w:r>
          </w:p>
        </w:tc>
        <w:tc>
          <w:tcPr>
            <w:tcW w:w="4876" w:type="dxa"/>
            <w:hideMark/>
          </w:tcPr>
          <w:p w:rsidR="00235D54" w:rsidRPr="006C4359" w:rsidRDefault="00235D54" w:rsidP="005243F2">
            <w:pPr>
              <w:pStyle w:val="Normal6"/>
              <w:rPr>
                <w:szCs w:val="24"/>
              </w:rPr>
            </w:pPr>
            <w:r w:rsidRPr="006C4359">
              <w:t xml:space="preserve">Lorsque l’Autorité identifie une source potentielle de divergence, elle prend contact avec l’organisme concerné de façon à assurer que toutes les informations scientifiques ou techniques pertinentes sont partagées et à identifier les questions scientifiques ou techniques susceptibles d’entraîner des divergences. </w:t>
            </w:r>
            <w:r w:rsidRPr="006C4359">
              <w:rPr>
                <w:b/>
                <w:i/>
              </w:rPr>
              <w:t xml:space="preserve">Les différences dans les méthodes </w:t>
            </w:r>
            <w:r w:rsidRPr="006C4359">
              <w:rPr>
                <w:b/>
                <w:i/>
              </w:rPr>
              <w:lastRenderedPageBreak/>
              <w:t>d’évaluation qui se traduisent par des avis divergents sont dûment justifiées, notamment en ce qui concerne la protection des groupes vulnérables.</w:t>
            </w:r>
          </w:p>
        </w:tc>
      </w:tr>
    </w:tbl>
    <w:p w:rsidR="00235D54" w:rsidRPr="006C4359" w:rsidRDefault="00235D54" w:rsidP="00235D54"/>
    <w:p w:rsidR="00235D54" w:rsidRPr="006C4359" w:rsidRDefault="00235D54" w:rsidP="00235D54">
      <w:pPr>
        <w:pStyle w:val="AmNumberTabs"/>
      </w:pPr>
      <w:r w:rsidRPr="006C4359">
        <w:t>Amendement</w:t>
      </w:r>
      <w:r w:rsidRPr="006C4359">
        <w:tab/>
      </w:r>
      <w:r w:rsidRPr="006C4359">
        <w:tab/>
        <w:t>5</w:t>
      </w:r>
    </w:p>
    <w:p w:rsidR="00235D54" w:rsidRPr="006C4359" w:rsidRDefault="00235D54" w:rsidP="00235D54"/>
    <w:p w:rsidR="00235D54" w:rsidRPr="006C4359" w:rsidRDefault="00235D54" w:rsidP="00235D54">
      <w:pPr>
        <w:pStyle w:val="NormalBold"/>
        <w:keepNext/>
      </w:pPr>
      <w:r w:rsidRPr="006C4359">
        <w:t>Proposition de règlement</w:t>
      </w:r>
    </w:p>
    <w:p w:rsidR="00235D54" w:rsidRPr="006C4359" w:rsidRDefault="00235D54" w:rsidP="00235D54">
      <w:pPr>
        <w:pStyle w:val="NormalBold"/>
      </w:pPr>
      <w:r w:rsidRPr="006C4359">
        <w:t>Article 1 – alinéa 1 – point 2</w:t>
      </w:r>
    </w:p>
    <w:p w:rsidR="00235D54" w:rsidRPr="006C4359" w:rsidRDefault="00235D54" w:rsidP="00235D54">
      <w:pPr>
        <w:keepNext/>
      </w:pPr>
      <w:r w:rsidRPr="006C4359">
        <w:t>Règlement (CE) n° 178/2002</w:t>
      </w:r>
    </w:p>
    <w:p w:rsidR="00235D54" w:rsidRPr="006C4359" w:rsidRDefault="00235D54" w:rsidP="00235D54">
      <w:r w:rsidRPr="006C4359">
        <w:t>Article 30 – paragraphe 2 – alinéa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D54" w:rsidRPr="006C4359" w:rsidTr="005243F2">
        <w:trPr>
          <w:jc w:val="center"/>
        </w:trPr>
        <w:tc>
          <w:tcPr>
            <w:tcW w:w="9752" w:type="dxa"/>
            <w:gridSpan w:val="2"/>
          </w:tcPr>
          <w:p w:rsidR="00235D54" w:rsidRPr="006C4359" w:rsidRDefault="00235D54" w:rsidP="005243F2">
            <w:pPr>
              <w:keepNext/>
            </w:pPr>
          </w:p>
        </w:tc>
      </w:tr>
      <w:tr w:rsidR="00235D54" w:rsidRPr="006C4359" w:rsidTr="005243F2">
        <w:trPr>
          <w:jc w:val="center"/>
        </w:trPr>
        <w:tc>
          <w:tcPr>
            <w:tcW w:w="4876" w:type="dxa"/>
            <w:hideMark/>
          </w:tcPr>
          <w:p w:rsidR="00235D54" w:rsidRPr="006C4359" w:rsidRDefault="00235D54" w:rsidP="005243F2">
            <w:pPr>
              <w:pStyle w:val="ColumnHeading"/>
              <w:keepNext/>
            </w:pPr>
            <w:r w:rsidRPr="006C4359">
              <w:t>Texte proposé par la Commission</w:t>
            </w:r>
          </w:p>
        </w:tc>
        <w:tc>
          <w:tcPr>
            <w:tcW w:w="4876" w:type="dxa"/>
            <w:hideMark/>
          </w:tcPr>
          <w:p w:rsidR="00235D54" w:rsidRPr="006C4359" w:rsidRDefault="00235D54" w:rsidP="005243F2">
            <w:pPr>
              <w:pStyle w:val="ColumnHeading"/>
              <w:keepNext/>
            </w:pPr>
            <w:r w:rsidRPr="006C4359">
              <w:t>Amendement</w:t>
            </w:r>
          </w:p>
        </w:tc>
      </w:tr>
      <w:tr w:rsidR="00235D54" w:rsidRPr="006C4359" w:rsidTr="005243F2">
        <w:trPr>
          <w:jc w:val="center"/>
        </w:trPr>
        <w:tc>
          <w:tcPr>
            <w:tcW w:w="4876" w:type="dxa"/>
            <w:hideMark/>
          </w:tcPr>
          <w:p w:rsidR="00235D54" w:rsidRPr="006C4359" w:rsidRDefault="00235D54" w:rsidP="005243F2">
            <w:pPr>
              <w:pStyle w:val="Normal6"/>
            </w:pPr>
            <w:r w:rsidRPr="006C4359">
              <w:t>L’Autorité et l’organisme concerné coopèrent pour résoudre la divergence. Si l’Autorité et l’organisme concerné ne sont pas en mesure de résoudre la divergence, ils établissent un rapport conjoint. Le rapport décrit clairement les questions scientifiques litigieuses et détermine les incertitudes concernées dans les données. Il est mis à la disposition du public.</w:t>
            </w:r>
          </w:p>
        </w:tc>
        <w:tc>
          <w:tcPr>
            <w:tcW w:w="4876" w:type="dxa"/>
            <w:hideMark/>
          </w:tcPr>
          <w:p w:rsidR="00235D54" w:rsidRPr="006C4359" w:rsidRDefault="00235D54" w:rsidP="005243F2">
            <w:pPr>
              <w:pStyle w:val="Normal6"/>
              <w:rPr>
                <w:szCs w:val="24"/>
              </w:rPr>
            </w:pPr>
            <w:r w:rsidRPr="006C4359">
              <w:t>L’Autorité et l’organisme concerné coopèrent pour résoudre la divergence</w:t>
            </w:r>
            <w:r w:rsidRPr="006C4359">
              <w:rPr>
                <w:b/>
                <w:i/>
              </w:rPr>
              <w:t>, dans le but d’assurer le plus haut niveau de protection de la santé et de l’environnement. La priorité est donnée à l’avis qui offre le niveau de protection le plus élevé afin de protéger les groupes les plus vulnérables</w:t>
            </w:r>
            <w:r w:rsidRPr="006C4359">
              <w:t>. Si l’Autorité et l’organisme concerné ne sont pas en mesure de résoudre la divergence, ils établissent un rapport conjoint. Le rapport décrit clairement les questions scientifiques litigieuses et détermine les incertitudes concernées dans les données</w:t>
            </w:r>
            <w:r w:rsidRPr="006C4359">
              <w:rPr>
                <w:b/>
                <w:i/>
              </w:rPr>
              <w:t xml:space="preserve"> ainsi que les causes possibles de divergence des avis, y compris en ce qui concerne les différences méthodologiques</w:t>
            </w:r>
            <w:r w:rsidRPr="006C4359">
              <w:t>. Il est mis à la disposition du public.</w:t>
            </w:r>
          </w:p>
        </w:tc>
      </w:tr>
    </w:tbl>
    <w:p w:rsidR="00235D54" w:rsidRPr="006C4359" w:rsidRDefault="00235D54" w:rsidP="00235D54"/>
    <w:p w:rsidR="00235D54" w:rsidRPr="006C4359" w:rsidRDefault="00235D54" w:rsidP="00235D54">
      <w:pPr>
        <w:pStyle w:val="AmNumberTabs"/>
      </w:pPr>
      <w:r w:rsidRPr="006C4359">
        <w:t>Amendement</w:t>
      </w:r>
      <w:r w:rsidRPr="006C4359">
        <w:tab/>
      </w:r>
      <w:r w:rsidRPr="006C4359">
        <w:tab/>
        <w:t>6</w:t>
      </w:r>
    </w:p>
    <w:p w:rsidR="00235D54" w:rsidRPr="006C4359" w:rsidRDefault="00235D54" w:rsidP="00235D54"/>
    <w:p w:rsidR="00235D54" w:rsidRPr="006C4359" w:rsidRDefault="00235D54" w:rsidP="00235D54">
      <w:pPr>
        <w:pStyle w:val="NormalBold"/>
        <w:keepNext/>
      </w:pPr>
      <w:r w:rsidRPr="006C4359">
        <w:t>Proposition de règlement</w:t>
      </w:r>
    </w:p>
    <w:p w:rsidR="00235D54" w:rsidRPr="006C4359" w:rsidRDefault="00235D54" w:rsidP="00235D54">
      <w:pPr>
        <w:pStyle w:val="NormalBold"/>
      </w:pPr>
      <w:r w:rsidRPr="006C4359">
        <w:t>Article 1 – alinéa 1 – point 2</w:t>
      </w:r>
    </w:p>
    <w:p w:rsidR="00235D54" w:rsidRPr="006C4359" w:rsidRDefault="00235D54" w:rsidP="00235D54">
      <w:pPr>
        <w:keepNext/>
      </w:pPr>
      <w:r w:rsidRPr="006C4359">
        <w:t>Règlement (CE) n° 178/2002</w:t>
      </w:r>
    </w:p>
    <w:p w:rsidR="00235D54" w:rsidRPr="006C4359" w:rsidRDefault="00235D54" w:rsidP="00235D54">
      <w:r w:rsidRPr="006C4359">
        <w:t>Article 30 – paragraphe 3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D54" w:rsidRPr="006C4359" w:rsidTr="005243F2">
        <w:trPr>
          <w:jc w:val="center"/>
        </w:trPr>
        <w:tc>
          <w:tcPr>
            <w:tcW w:w="9752" w:type="dxa"/>
            <w:gridSpan w:val="2"/>
          </w:tcPr>
          <w:p w:rsidR="00235D54" w:rsidRPr="006C4359" w:rsidRDefault="00235D54" w:rsidP="005243F2">
            <w:pPr>
              <w:keepNext/>
            </w:pPr>
          </w:p>
        </w:tc>
      </w:tr>
      <w:tr w:rsidR="00235D54" w:rsidRPr="006C4359" w:rsidTr="005243F2">
        <w:trPr>
          <w:jc w:val="center"/>
        </w:trPr>
        <w:tc>
          <w:tcPr>
            <w:tcW w:w="4876" w:type="dxa"/>
            <w:hideMark/>
          </w:tcPr>
          <w:p w:rsidR="00235D54" w:rsidRPr="006C4359" w:rsidRDefault="00235D54" w:rsidP="005243F2">
            <w:pPr>
              <w:pStyle w:val="ColumnHeading"/>
              <w:keepNext/>
            </w:pPr>
            <w:r w:rsidRPr="006C4359">
              <w:t>Texte proposé par la Commission</w:t>
            </w:r>
          </w:p>
        </w:tc>
        <w:tc>
          <w:tcPr>
            <w:tcW w:w="4876" w:type="dxa"/>
            <w:hideMark/>
          </w:tcPr>
          <w:p w:rsidR="00235D54" w:rsidRPr="006C4359" w:rsidRDefault="00235D54" w:rsidP="005243F2">
            <w:pPr>
              <w:pStyle w:val="ColumnHeading"/>
              <w:keepNext/>
            </w:pPr>
            <w:r w:rsidRPr="006C4359">
              <w:t>Amendement</w:t>
            </w:r>
          </w:p>
        </w:tc>
      </w:tr>
      <w:tr w:rsidR="00235D54" w:rsidRPr="006C4359" w:rsidTr="005243F2">
        <w:trPr>
          <w:jc w:val="center"/>
        </w:trPr>
        <w:tc>
          <w:tcPr>
            <w:tcW w:w="4876" w:type="dxa"/>
          </w:tcPr>
          <w:p w:rsidR="00235D54" w:rsidRPr="006C4359" w:rsidRDefault="00235D54" w:rsidP="005243F2">
            <w:pPr>
              <w:pStyle w:val="Normal6"/>
            </w:pPr>
          </w:p>
        </w:tc>
        <w:tc>
          <w:tcPr>
            <w:tcW w:w="4876" w:type="dxa"/>
            <w:hideMark/>
          </w:tcPr>
          <w:p w:rsidR="00235D54" w:rsidRPr="006C4359" w:rsidRDefault="00235D54" w:rsidP="005243F2">
            <w:pPr>
              <w:pStyle w:val="Normal6"/>
              <w:rPr>
                <w:szCs w:val="24"/>
              </w:rPr>
            </w:pPr>
            <w:r w:rsidRPr="006C4359">
              <w:rPr>
                <w:b/>
                <w:i/>
              </w:rPr>
              <w:t>3 bis.</w:t>
            </w:r>
            <w:r w:rsidRPr="006C4359">
              <w:rPr>
                <w:b/>
                <w:i/>
              </w:rPr>
              <w:tab/>
              <w:t xml:space="preserve">Lorsqu’une divergence de fond sur des questions scientifiques a été identifiée et que l’organisme concerné est un organisme d’un État membre, l’Autorité et l’organisme national sont tenus de coopérer en vue soit de résoudre la </w:t>
            </w:r>
            <w:r w:rsidRPr="006C4359">
              <w:rPr>
                <w:b/>
                <w:i/>
              </w:rPr>
              <w:lastRenderedPageBreak/>
              <w:t>divergence, soit d’élaborer un document commun clarifiant les questions scientifiques qui sont source de divergence et identifiant les incertitudes pertinentes dans les données. Ce document est rendu public.</w:t>
            </w:r>
          </w:p>
        </w:tc>
      </w:tr>
    </w:tbl>
    <w:p w:rsidR="00235D54" w:rsidRPr="006C4359" w:rsidRDefault="00235D54" w:rsidP="00235D54"/>
    <w:p w:rsidR="00235D54" w:rsidRPr="006C4359" w:rsidRDefault="00235D54" w:rsidP="00235D54">
      <w:pPr>
        <w:pStyle w:val="AmNumberTabs"/>
      </w:pPr>
      <w:r w:rsidRPr="006C4359">
        <w:t>Amendement</w:t>
      </w:r>
      <w:r w:rsidRPr="006C4359">
        <w:tab/>
      </w:r>
      <w:r w:rsidRPr="006C4359">
        <w:tab/>
        <w:t>7</w:t>
      </w:r>
    </w:p>
    <w:p w:rsidR="00235D54" w:rsidRPr="006C4359" w:rsidRDefault="00235D54" w:rsidP="00235D54"/>
    <w:p w:rsidR="00235D54" w:rsidRPr="006C4359" w:rsidRDefault="00235D54" w:rsidP="00235D54">
      <w:pPr>
        <w:pStyle w:val="NormalBold"/>
        <w:keepNext/>
      </w:pPr>
      <w:r w:rsidRPr="006C4359">
        <w:t>Proposition de règlement</w:t>
      </w:r>
    </w:p>
    <w:p w:rsidR="00235D54" w:rsidRPr="006C4359" w:rsidRDefault="00235D54" w:rsidP="00235D54">
      <w:pPr>
        <w:pStyle w:val="NormalBold"/>
      </w:pPr>
      <w:r w:rsidRPr="006C4359">
        <w:t>Article 1 – alinéa 1 – point 2</w:t>
      </w:r>
    </w:p>
    <w:p w:rsidR="00235D54" w:rsidRPr="006C4359" w:rsidRDefault="00235D54" w:rsidP="00235D54">
      <w:pPr>
        <w:keepNext/>
      </w:pPr>
      <w:r w:rsidRPr="006C4359">
        <w:t>Règlement (CE) n° 178/2002</w:t>
      </w:r>
    </w:p>
    <w:p w:rsidR="00235D54" w:rsidRPr="006C4359" w:rsidRDefault="00235D54" w:rsidP="00235D54">
      <w:r w:rsidRPr="006C4359">
        <w:t>Article 3 – paragraphe 3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D54" w:rsidRPr="006C4359" w:rsidTr="005243F2">
        <w:trPr>
          <w:jc w:val="center"/>
        </w:trPr>
        <w:tc>
          <w:tcPr>
            <w:tcW w:w="9752" w:type="dxa"/>
            <w:gridSpan w:val="2"/>
          </w:tcPr>
          <w:p w:rsidR="00235D54" w:rsidRPr="006C4359" w:rsidRDefault="00235D54" w:rsidP="005243F2">
            <w:pPr>
              <w:keepNext/>
            </w:pPr>
          </w:p>
        </w:tc>
      </w:tr>
      <w:tr w:rsidR="00235D54" w:rsidRPr="006C4359" w:rsidTr="005243F2">
        <w:trPr>
          <w:jc w:val="center"/>
        </w:trPr>
        <w:tc>
          <w:tcPr>
            <w:tcW w:w="4876" w:type="dxa"/>
            <w:hideMark/>
          </w:tcPr>
          <w:p w:rsidR="00235D54" w:rsidRPr="006C4359" w:rsidRDefault="00235D54" w:rsidP="005243F2">
            <w:pPr>
              <w:pStyle w:val="ColumnHeading"/>
              <w:keepNext/>
            </w:pPr>
            <w:r w:rsidRPr="006C4359">
              <w:t>Texte proposé par la Commission</w:t>
            </w:r>
          </w:p>
        </w:tc>
        <w:tc>
          <w:tcPr>
            <w:tcW w:w="4876" w:type="dxa"/>
            <w:hideMark/>
          </w:tcPr>
          <w:p w:rsidR="00235D54" w:rsidRPr="006C4359" w:rsidRDefault="00235D54" w:rsidP="005243F2">
            <w:pPr>
              <w:pStyle w:val="ColumnHeading"/>
              <w:keepNext/>
            </w:pPr>
            <w:r w:rsidRPr="006C4359">
              <w:t>Amendement</w:t>
            </w:r>
          </w:p>
        </w:tc>
      </w:tr>
      <w:tr w:rsidR="00235D54" w:rsidRPr="006C4359" w:rsidTr="005243F2">
        <w:trPr>
          <w:jc w:val="center"/>
        </w:trPr>
        <w:tc>
          <w:tcPr>
            <w:tcW w:w="4876" w:type="dxa"/>
          </w:tcPr>
          <w:p w:rsidR="00235D54" w:rsidRPr="006C4359" w:rsidRDefault="00235D54" w:rsidP="005243F2">
            <w:pPr>
              <w:pStyle w:val="Normal6"/>
            </w:pPr>
          </w:p>
        </w:tc>
        <w:tc>
          <w:tcPr>
            <w:tcW w:w="4876" w:type="dxa"/>
            <w:hideMark/>
          </w:tcPr>
          <w:p w:rsidR="00235D54" w:rsidRPr="006C4359" w:rsidRDefault="00235D54" w:rsidP="005243F2">
            <w:pPr>
              <w:pStyle w:val="Normal6"/>
              <w:rPr>
                <w:szCs w:val="24"/>
              </w:rPr>
            </w:pPr>
            <w:r w:rsidRPr="006C4359">
              <w:rPr>
                <w:b/>
                <w:i/>
              </w:rPr>
              <w:t>3 ter.</w:t>
            </w:r>
            <w:r w:rsidRPr="006C4359">
              <w:rPr>
                <w:b/>
                <w:i/>
              </w:rPr>
              <w:tab/>
              <w:t>Dans les cas où une divergence est identifiée et où l’Autorité demande des informations complémentaires à l’autre autorité de l’Union ou d’un État membre, le délai au terme duquel les autorités compétentes sont tenues d’adopter leurs conclusions respectives ou la conclusion conjointe visée au paragraphe 2 peut être prolongé. L’Autorité fixe, après consultation de l’organisme concerné, un délai dans lequel ces informations doivent être fournies et informe la Commission du délai supplémentaire nécessaire. La Commission informe les opérateurs économiques et les États membres concernés de la prolongation du délai.</w:t>
            </w:r>
          </w:p>
        </w:tc>
      </w:tr>
    </w:tbl>
    <w:p w:rsidR="00235D54" w:rsidRPr="006C4359" w:rsidRDefault="00235D54" w:rsidP="00235D54"/>
    <w:p w:rsidR="00235D54" w:rsidRPr="006C4359" w:rsidRDefault="00235D54" w:rsidP="00235D54">
      <w:pPr>
        <w:pStyle w:val="AmNumberTabs"/>
      </w:pPr>
      <w:r w:rsidRPr="006C4359">
        <w:t>Amendement</w:t>
      </w:r>
      <w:r w:rsidRPr="006C4359">
        <w:tab/>
      </w:r>
      <w:r w:rsidRPr="006C4359">
        <w:tab/>
        <w:t>8</w:t>
      </w:r>
    </w:p>
    <w:p w:rsidR="00235D54" w:rsidRPr="006C4359" w:rsidRDefault="00235D54" w:rsidP="00235D54"/>
    <w:p w:rsidR="00235D54" w:rsidRPr="006C4359" w:rsidRDefault="00235D54" w:rsidP="00235D54">
      <w:pPr>
        <w:pStyle w:val="NormalBold"/>
        <w:keepNext/>
      </w:pPr>
      <w:r w:rsidRPr="006C4359">
        <w:t>Proposition de règlement</w:t>
      </w:r>
    </w:p>
    <w:p w:rsidR="00235D54" w:rsidRPr="006C4359" w:rsidRDefault="00235D54" w:rsidP="00235D54">
      <w:pPr>
        <w:pStyle w:val="NormalBold"/>
      </w:pPr>
      <w:r w:rsidRPr="006C4359">
        <w:t>Article 3 – alinéa 1 – point 1</w:t>
      </w:r>
    </w:p>
    <w:p w:rsidR="00235D54" w:rsidRPr="006C4359" w:rsidRDefault="00235D54" w:rsidP="00235D54">
      <w:pPr>
        <w:keepNext/>
      </w:pPr>
      <w:r w:rsidRPr="006C4359">
        <w:t>Règlement (UE) 2017/745</w:t>
      </w:r>
    </w:p>
    <w:p w:rsidR="00235D54" w:rsidRPr="006C4359" w:rsidRDefault="00235D54" w:rsidP="00235D54">
      <w:r w:rsidRPr="006C4359">
        <w:t>Annexe I – Section 10.4.1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D54" w:rsidRPr="006C4359" w:rsidTr="005243F2">
        <w:trPr>
          <w:jc w:val="center"/>
        </w:trPr>
        <w:tc>
          <w:tcPr>
            <w:tcW w:w="9752" w:type="dxa"/>
            <w:gridSpan w:val="2"/>
          </w:tcPr>
          <w:p w:rsidR="00235D54" w:rsidRPr="006C4359" w:rsidRDefault="00235D54" w:rsidP="005243F2">
            <w:pPr>
              <w:keepNext/>
            </w:pPr>
          </w:p>
        </w:tc>
      </w:tr>
      <w:tr w:rsidR="00235D54" w:rsidRPr="006C4359" w:rsidTr="005243F2">
        <w:trPr>
          <w:jc w:val="center"/>
        </w:trPr>
        <w:tc>
          <w:tcPr>
            <w:tcW w:w="4876" w:type="dxa"/>
            <w:hideMark/>
          </w:tcPr>
          <w:p w:rsidR="00235D54" w:rsidRPr="006C4359" w:rsidRDefault="00235D54" w:rsidP="005243F2">
            <w:pPr>
              <w:pStyle w:val="ColumnHeading"/>
              <w:keepNext/>
            </w:pPr>
            <w:r w:rsidRPr="006C4359">
              <w:t>Texte proposé par la Commission</w:t>
            </w:r>
          </w:p>
        </w:tc>
        <w:tc>
          <w:tcPr>
            <w:tcW w:w="4876" w:type="dxa"/>
            <w:hideMark/>
          </w:tcPr>
          <w:p w:rsidR="00235D54" w:rsidRPr="006C4359" w:rsidRDefault="00235D54" w:rsidP="005243F2">
            <w:pPr>
              <w:pStyle w:val="ColumnHeading"/>
              <w:keepNext/>
            </w:pPr>
            <w:r w:rsidRPr="006C4359">
              <w:t>Amendement</w:t>
            </w:r>
          </w:p>
        </w:tc>
      </w:tr>
      <w:tr w:rsidR="00235D54" w:rsidRPr="006C4359" w:rsidTr="005243F2">
        <w:trPr>
          <w:jc w:val="center"/>
        </w:trPr>
        <w:tc>
          <w:tcPr>
            <w:tcW w:w="4876" w:type="dxa"/>
            <w:hideMark/>
          </w:tcPr>
          <w:p w:rsidR="00235D54" w:rsidRPr="006C4359" w:rsidRDefault="00235D54" w:rsidP="005243F2">
            <w:pPr>
              <w:pStyle w:val="Normal6"/>
            </w:pPr>
            <w:r w:rsidRPr="006C4359">
              <w:t>b)</w:t>
            </w:r>
            <w:r w:rsidRPr="006C4359">
              <w:tab/>
              <w:t xml:space="preserve">substances </w:t>
            </w:r>
            <w:r w:rsidRPr="006C4359">
              <w:rPr>
                <w:b/>
                <w:i/>
              </w:rPr>
              <w:t>identifiées</w:t>
            </w:r>
            <w:r w:rsidRPr="006C4359">
              <w:t xml:space="preserve"> comme des perturbateurs endocriniens pour la santé humaine, de catégorie 1, conformément à l’annexe VI, partie 3, du règlement (CE) nº 1272/2008 du Parlement européen et du Conseil</w:t>
            </w:r>
            <w:r w:rsidRPr="006C4359">
              <w:rPr>
                <w:vertAlign w:val="superscript"/>
              </w:rPr>
              <w:t>12</w:t>
            </w:r>
            <w:r w:rsidRPr="006C4359">
              <w:rPr>
                <w:b/>
                <w:i/>
              </w:rPr>
              <w:t xml:space="preserve"> </w:t>
            </w:r>
            <w:r w:rsidRPr="006C4359">
              <w:t xml:space="preserve"> et substances possédant des </w:t>
            </w:r>
            <w:r w:rsidRPr="006C4359">
              <w:lastRenderedPageBreak/>
              <w:t>propriétés perturbant le système endocrinien dont il est scientifiquement prouvé qu’elles peuvent avoir des effets graves sur la santé humaine et qui ont été identifiées conformément à la procédure prévue à l’article 59 du règlement (CE) nº 1907/2006 du Parlement européen et du Conseil, ou substances possédant des propriétés perturbant le système endocrinien significatives pour la santé humaine identifiées conformément au règlement (UE) nº 528/2012.</w:t>
            </w:r>
          </w:p>
        </w:tc>
        <w:tc>
          <w:tcPr>
            <w:tcW w:w="4876" w:type="dxa"/>
            <w:hideMark/>
          </w:tcPr>
          <w:p w:rsidR="00235D54" w:rsidRPr="006C4359" w:rsidRDefault="00235D54" w:rsidP="005243F2">
            <w:pPr>
              <w:pStyle w:val="Normal6"/>
              <w:rPr>
                <w:szCs w:val="24"/>
              </w:rPr>
            </w:pPr>
            <w:r w:rsidRPr="006C4359">
              <w:lastRenderedPageBreak/>
              <w:t>b)</w:t>
            </w:r>
            <w:r w:rsidRPr="006C4359">
              <w:tab/>
              <w:t xml:space="preserve">substances </w:t>
            </w:r>
            <w:r w:rsidRPr="006C4359">
              <w:rPr>
                <w:b/>
                <w:i/>
              </w:rPr>
              <w:t>classées</w:t>
            </w:r>
            <w:r w:rsidRPr="006C4359">
              <w:t xml:space="preserve"> comme des perturbateurs endocriniens pour la santé humaine, de catégorie 1, conformément à l’annexe VI, partie 3, du règlement (CE) nº 1272/2008 du Parlement européen et du Conseil</w:t>
            </w:r>
            <w:r w:rsidRPr="006C4359">
              <w:rPr>
                <w:vertAlign w:val="superscript"/>
              </w:rPr>
              <w:t>12</w:t>
            </w:r>
            <w:r w:rsidRPr="006C4359">
              <w:t xml:space="preserve"> et substances possédant des </w:t>
            </w:r>
            <w:r w:rsidRPr="006C4359">
              <w:lastRenderedPageBreak/>
              <w:t>propriétés perturbant le système endocrinien dont il est scientifiquement prouvé qu’elles peuvent avoir des effets graves sur la santé humaine et qui ont été identifiées conformément à la procédure prévue à l’article 59 du règlement (CE) nº 1907/2006 du Parlement européen et du Conseil, ou substances possédant des propriétés perturbant le système endocrinien significatives pour la santé humaine identifiées conformément au règlement (UE) nº 528/2012.</w:t>
            </w:r>
          </w:p>
        </w:tc>
      </w:tr>
      <w:tr w:rsidR="00235D54" w:rsidRPr="006C4359" w:rsidTr="005243F2">
        <w:trPr>
          <w:jc w:val="center"/>
        </w:trPr>
        <w:tc>
          <w:tcPr>
            <w:tcW w:w="4876" w:type="dxa"/>
            <w:hideMark/>
          </w:tcPr>
          <w:p w:rsidR="00235D54" w:rsidRPr="006C4359" w:rsidRDefault="00235D54" w:rsidP="005243F2">
            <w:pPr>
              <w:pStyle w:val="Normal6"/>
            </w:pPr>
            <w:r w:rsidRPr="006C4359">
              <w:lastRenderedPageBreak/>
              <w:t>__________________</w:t>
            </w:r>
          </w:p>
        </w:tc>
        <w:tc>
          <w:tcPr>
            <w:tcW w:w="4876" w:type="dxa"/>
            <w:hideMark/>
          </w:tcPr>
          <w:p w:rsidR="00235D54" w:rsidRPr="006C4359" w:rsidRDefault="00235D54" w:rsidP="005243F2">
            <w:pPr>
              <w:pStyle w:val="Normal6"/>
              <w:rPr>
                <w:szCs w:val="24"/>
              </w:rPr>
            </w:pPr>
            <w:r w:rsidRPr="006C4359">
              <w:t>__________________</w:t>
            </w:r>
          </w:p>
        </w:tc>
      </w:tr>
      <w:tr w:rsidR="00235D54" w:rsidRPr="006C4359" w:rsidTr="005243F2">
        <w:trPr>
          <w:jc w:val="center"/>
        </w:trPr>
        <w:tc>
          <w:tcPr>
            <w:tcW w:w="4876" w:type="dxa"/>
            <w:hideMark/>
          </w:tcPr>
          <w:p w:rsidR="00235D54" w:rsidRPr="006C4359" w:rsidRDefault="00235D54" w:rsidP="005243F2">
            <w:pPr>
              <w:pStyle w:val="Normal6"/>
            </w:pPr>
            <w:r w:rsidRPr="006C4359">
              <w:rPr>
                <w:vertAlign w:val="superscript"/>
              </w:rPr>
              <w:t>12</w:t>
            </w:r>
            <w:r w:rsidRPr="006C4359">
              <w:t xml:space="preserve"> Règlement (CE) nº 1272/2008 du Parlement européen et du Conseil du 16 décembre 2008 relatif à la classification, à l’étiquetage et à l’emballage des substances et des mélanges, modifiant et abrogeant les directives 67/548/CEE et 1999/45/CE et modifiant le règlement (CE) nº 1907/2006 (JO L 353 du 31.12.2008, p. 1).</w:t>
            </w:r>
          </w:p>
        </w:tc>
        <w:tc>
          <w:tcPr>
            <w:tcW w:w="4876" w:type="dxa"/>
            <w:hideMark/>
          </w:tcPr>
          <w:p w:rsidR="00235D54" w:rsidRPr="006C4359" w:rsidRDefault="00235D54" w:rsidP="005243F2">
            <w:pPr>
              <w:pStyle w:val="Normal6"/>
              <w:rPr>
                <w:szCs w:val="24"/>
              </w:rPr>
            </w:pPr>
            <w:r w:rsidRPr="006C4359">
              <w:rPr>
                <w:vertAlign w:val="superscript"/>
              </w:rPr>
              <w:t>12</w:t>
            </w:r>
            <w:r w:rsidRPr="006C4359">
              <w:t xml:space="preserve"> Règlement (CE) nº 1272/2008 du Parlement européen et du Conseil du 16 décembre 2008 relatif à la classification, à l’étiquetage et à l’emballage des substances et des mélanges, modifiant et abrogeant les directives 67/548/CEE et 1999/45/CE et modifiant le règlement (CE) nº 1907/2006 (JO L 353 du 31.12.2008, p. 1).</w:t>
            </w:r>
          </w:p>
        </w:tc>
      </w:tr>
    </w:tbl>
    <w:p w:rsidR="00235D54" w:rsidRPr="006C4359" w:rsidRDefault="00235D54" w:rsidP="00235D54"/>
    <w:p w:rsidR="00235D54" w:rsidRPr="006C4359" w:rsidRDefault="00235D54" w:rsidP="00235D54">
      <w:pPr>
        <w:pStyle w:val="AmNumberTabs"/>
      </w:pPr>
      <w:r w:rsidRPr="006C4359">
        <w:t>Amendement</w:t>
      </w:r>
      <w:r w:rsidRPr="006C4359">
        <w:tab/>
      </w:r>
      <w:r w:rsidRPr="006C4359">
        <w:tab/>
        <w:t>9</w:t>
      </w:r>
    </w:p>
    <w:p w:rsidR="00235D54" w:rsidRPr="006C4359" w:rsidRDefault="00235D54" w:rsidP="00235D54"/>
    <w:p w:rsidR="00235D54" w:rsidRPr="006C4359" w:rsidRDefault="00235D54" w:rsidP="00235D54">
      <w:pPr>
        <w:pStyle w:val="NormalBold"/>
        <w:keepNext/>
      </w:pPr>
      <w:r w:rsidRPr="006C4359">
        <w:t>Proposition de règlement</w:t>
      </w:r>
    </w:p>
    <w:p w:rsidR="00235D54" w:rsidRPr="006C4359" w:rsidRDefault="00235D54" w:rsidP="00235D54">
      <w:pPr>
        <w:pStyle w:val="NormalBold"/>
      </w:pPr>
      <w:r w:rsidRPr="006C4359">
        <w:t>Article 4 – alinéa 1 – point 2</w:t>
      </w:r>
    </w:p>
    <w:p w:rsidR="00235D54" w:rsidRPr="006C4359" w:rsidRDefault="00235D54" w:rsidP="00235D54">
      <w:pPr>
        <w:keepNext/>
      </w:pPr>
      <w:r w:rsidRPr="006C4359">
        <w:t>Règlement (UE) 2019/1021</w:t>
      </w:r>
    </w:p>
    <w:p w:rsidR="00235D54" w:rsidRPr="006C4359" w:rsidRDefault="00235D54" w:rsidP="00235D54">
      <w:r w:rsidRPr="006C4359">
        <w:t>Article 8 – paragraphe 1 bis – alinéa 1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D54" w:rsidRPr="006C4359" w:rsidTr="005243F2">
        <w:trPr>
          <w:jc w:val="center"/>
        </w:trPr>
        <w:tc>
          <w:tcPr>
            <w:tcW w:w="9752" w:type="dxa"/>
            <w:gridSpan w:val="2"/>
          </w:tcPr>
          <w:p w:rsidR="00235D54" w:rsidRPr="006C4359" w:rsidRDefault="00235D54" w:rsidP="005243F2">
            <w:pPr>
              <w:keepNext/>
            </w:pPr>
          </w:p>
        </w:tc>
      </w:tr>
      <w:tr w:rsidR="00235D54" w:rsidRPr="006C4359" w:rsidTr="005243F2">
        <w:trPr>
          <w:jc w:val="center"/>
        </w:trPr>
        <w:tc>
          <w:tcPr>
            <w:tcW w:w="4876" w:type="dxa"/>
            <w:hideMark/>
          </w:tcPr>
          <w:p w:rsidR="00235D54" w:rsidRPr="006C4359" w:rsidRDefault="00235D54" w:rsidP="005243F2">
            <w:pPr>
              <w:pStyle w:val="ColumnHeading"/>
              <w:keepNext/>
            </w:pPr>
            <w:r w:rsidRPr="006C4359">
              <w:t>Texte proposé par la Commission</w:t>
            </w:r>
          </w:p>
        </w:tc>
        <w:tc>
          <w:tcPr>
            <w:tcW w:w="4876" w:type="dxa"/>
            <w:hideMark/>
          </w:tcPr>
          <w:p w:rsidR="00235D54" w:rsidRPr="006C4359" w:rsidRDefault="00235D54" w:rsidP="005243F2">
            <w:pPr>
              <w:pStyle w:val="ColumnHeading"/>
              <w:keepNext/>
            </w:pPr>
            <w:r w:rsidRPr="006C4359">
              <w:t>Amendement</w:t>
            </w:r>
          </w:p>
        </w:tc>
      </w:tr>
      <w:tr w:rsidR="00235D54" w:rsidRPr="006C4359" w:rsidTr="005243F2">
        <w:trPr>
          <w:jc w:val="center"/>
        </w:trPr>
        <w:tc>
          <w:tcPr>
            <w:tcW w:w="4876" w:type="dxa"/>
            <w:hideMark/>
          </w:tcPr>
          <w:p w:rsidR="00235D54" w:rsidRPr="006C4359" w:rsidRDefault="00235D54" w:rsidP="005243F2">
            <w:pPr>
              <w:pStyle w:val="Normal6"/>
            </w:pPr>
            <w:r w:rsidRPr="006C4359">
              <w:t>a)</w:t>
            </w:r>
            <w:r w:rsidRPr="006C4359">
              <w:tab/>
            </w:r>
            <w:r w:rsidRPr="006C4359">
              <w:rPr>
                <w:b/>
                <w:i/>
              </w:rPr>
              <w:t xml:space="preserve">le cas échéant, </w:t>
            </w:r>
            <w:r w:rsidRPr="006C4359">
              <w:t>des informations sur les incidences sur la santé humaine et l’environnement des déchets constitués de POP, qui en contiennent ou qui sont contaminés par eux, y compris les incidences sur la gestion des déchets;</w:t>
            </w:r>
          </w:p>
        </w:tc>
        <w:tc>
          <w:tcPr>
            <w:tcW w:w="4876" w:type="dxa"/>
            <w:hideMark/>
          </w:tcPr>
          <w:p w:rsidR="00235D54" w:rsidRPr="006C4359" w:rsidRDefault="00235D54" w:rsidP="005243F2">
            <w:pPr>
              <w:pStyle w:val="Normal6"/>
              <w:rPr>
                <w:szCs w:val="24"/>
              </w:rPr>
            </w:pPr>
            <w:r w:rsidRPr="006C4359">
              <w:t>a)</w:t>
            </w:r>
            <w:r w:rsidRPr="006C4359">
              <w:tab/>
              <w:t>des informations sur les incidences sur la santé humaine et l’environnement des déchets constitués de POP, qui en contiennent ou qui sont contaminés par eux, y compris les incidences sur la gestion des déchets;</w:t>
            </w:r>
          </w:p>
        </w:tc>
      </w:tr>
    </w:tbl>
    <w:p w:rsidR="00235D54" w:rsidRPr="006C4359" w:rsidRDefault="00235D54" w:rsidP="00235D54"/>
    <w:p w:rsidR="00235D54" w:rsidRPr="006C4359" w:rsidRDefault="00235D54" w:rsidP="00235D54">
      <w:pPr>
        <w:pStyle w:val="AmNumberTabs"/>
      </w:pPr>
      <w:r w:rsidRPr="006C4359">
        <w:t>Amendement</w:t>
      </w:r>
      <w:r w:rsidRPr="006C4359">
        <w:tab/>
      </w:r>
      <w:r w:rsidRPr="006C4359">
        <w:tab/>
        <w:t>10</w:t>
      </w:r>
    </w:p>
    <w:p w:rsidR="00235D54" w:rsidRPr="006C4359" w:rsidRDefault="00235D54" w:rsidP="00235D54"/>
    <w:p w:rsidR="00235D54" w:rsidRPr="006C4359" w:rsidRDefault="00235D54" w:rsidP="00235D54">
      <w:pPr>
        <w:pStyle w:val="NormalBold"/>
        <w:keepNext/>
      </w:pPr>
      <w:r w:rsidRPr="006C4359">
        <w:t>Proposition de règlement</w:t>
      </w:r>
    </w:p>
    <w:p w:rsidR="00235D54" w:rsidRPr="006C4359" w:rsidRDefault="00235D54" w:rsidP="00235D54">
      <w:pPr>
        <w:pStyle w:val="NormalBold"/>
      </w:pPr>
      <w:r w:rsidRPr="006C4359">
        <w:t>Article 4 – alinéa 1 – point 2</w:t>
      </w:r>
    </w:p>
    <w:p w:rsidR="00235D54" w:rsidRPr="006C4359" w:rsidRDefault="00235D54" w:rsidP="00235D54">
      <w:pPr>
        <w:keepNext/>
      </w:pPr>
      <w:r w:rsidRPr="006C4359">
        <w:t>Règlement (UE) 2019/1021</w:t>
      </w:r>
    </w:p>
    <w:p w:rsidR="00235D54" w:rsidRPr="006C4359" w:rsidRDefault="00235D54" w:rsidP="00235D54">
      <w:r w:rsidRPr="006C4359">
        <w:t>Article 8 – paragraphe 1 bis – alinéa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D54" w:rsidRPr="006C4359" w:rsidTr="005243F2">
        <w:trPr>
          <w:jc w:val="center"/>
        </w:trPr>
        <w:tc>
          <w:tcPr>
            <w:tcW w:w="9752" w:type="dxa"/>
            <w:gridSpan w:val="2"/>
          </w:tcPr>
          <w:p w:rsidR="00235D54" w:rsidRPr="006C4359" w:rsidRDefault="00235D54" w:rsidP="005243F2">
            <w:pPr>
              <w:keepNext/>
            </w:pPr>
          </w:p>
        </w:tc>
      </w:tr>
      <w:tr w:rsidR="00235D54" w:rsidRPr="006C4359" w:rsidTr="005243F2">
        <w:trPr>
          <w:jc w:val="center"/>
        </w:trPr>
        <w:tc>
          <w:tcPr>
            <w:tcW w:w="4876" w:type="dxa"/>
            <w:hideMark/>
          </w:tcPr>
          <w:p w:rsidR="00235D54" w:rsidRPr="006C4359" w:rsidRDefault="00235D54" w:rsidP="005243F2">
            <w:pPr>
              <w:pStyle w:val="ColumnHeading"/>
              <w:keepNext/>
            </w:pPr>
            <w:r w:rsidRPr="006C4359">
              <w:t>Texte proposé par la Commission</w:t>
            </w:r>
          </w:p>
        </w:tc>
        <w:tc>
          <w:tcPr>
            <w:tcW w:w="4876" w:type="dxa"/>
            <w:hideMark/>
          </w:tcPr>
          <w:p w:rsidR="00235D54" w:rsidRPr="006C4359" w:rsidRDefault="00235D54" w:rsidP="005243F2">
            <w:pPr>
              <w:pStyle w:val="ColumnHeading"/>
              <w:keepNext/>
            </w:pPr>
            <w:r w:rsidRPr="006C4359">
              <w:t>Amendement</w:t>
            </w:r>
          </w:p>
        </w:tc>
      </w:tr>
      <w:tr w:rsidR="00235D54" w:rsidRPr="006C4359" w:rsidTr="005243F2">
        <w:trPr>
          <w:jc w:val="center"/>
        </w:trPr>
        <w:tc>
          <w:tcPr>
            <w:tcW w:w="4876" w:type="dxa"/>
            <w:hideMark/>
          </w:tcPr>
          <w:p w:rsidR="00235D54" w:rsidRPr="006C4359" w:rsidRDefault="00235D54" w:rsidP="005243F2">
            <w:pPr>
              <w:pStyle w:val="Normal6"/>
            </w:pPr>
            <w:r w:rsidRPr="006C4359">
              <w:t xml:space="preserve">Dès réception de la demande visée </w:t>
            </w:r>
            <w:r w:rsidRPr="006C4359">
              <w:rPr>
                <w:b/>
                <w:i/>
              </w:rPr>
              <w:t>au premier</w:t>
            </w:r>
            <w:r w:rsidRPr="006C4359">
              <w:t xml:space="preserve"> paragraphe, point i), l’Agence publie sur son site web un avis indiquant qu’un rapport sur une éventuelle modification de l’annexe IV ou V sera établi en invitant toutes les parties intéressées, y compris les exploitants de déchets et les utilisateurs de matériaux recyclés, à présenter leurs observations dans un délai de huit semaines. L’Agence publie ces observations sur son site web.</w:t>
            </w:r>
          </w:p>
        </w:tc>
        <w:tc>
          <w:tcPr>
            <w:tcW w:w="4876" w:type="dxa"/>
            <w:hideMark/>
          </w:tcPr>
          <w:p w:rsidR="00235D54" w:rsidRPr="006C4359" w:rsidRDefault="00235D54" w:rsidP="005243F2">
            <w:pPr>
              <w:pStyle w:val="Normal6"/>
              <w:rPr>
                <w:szCs w:val="24"/>
              </w:rPr>
            </w:pPr>
            <w:r w:rsidRPr="006C4359">
              <w:t xml:space="preserve">Dès réception de la demande visée </w:t>
            </w:r>
            <w:r w:rsidRPr="006C4359">
              <w:rPr>
                <w:b/>
                <w:i/>
              </w:rPr>
              <w:t>à l’article 8,</w:t>
            </w:r>
            <w:r w:rsidRPr="006C4359">
              <w:t xml:space="preserve"> paragraphe</w:t>
            </w:r>
            <w:r w:rsidRPr="006C4359">
              <w:rPr>
                <w:b/>
                <w:i/>
              </w:rPr>
              <w:t> 1</w:t>
            </w:r>
            <w:r w:rsidRPr="006C4359">
              <w:t>, point i), l’Agence publie sur son site web un avis indiquant qu’un rapport sur une éventuelle modification de l’annexe IV ou V sera établi en invitant toutes les parties intéressées, y compris les exploitants de déchets et les utilisateurs de matériaux recyclés, à présenter leurs observations dans un délai de huit semaines. L’Agence publie ces observations sur son site web.</w:t>
            </w:r>
          </w:p>
        </w:tc>
      </w:tr>
    </w:tbl>
    <w:p w:rsidR="00235D54" w:rsidRPr="006C4359" w:rsidRDefault="00235D54" w:rsidP="00235D54"/>
    <w:p w:rsidR="00235D54" w:rsidRPr="006C4359" w:rsidRDefault="00235D54" w:rsidP="00235D54">
      <w:pPr>
        <w:pStyle w:val="AmNumberTabs"/>
      </w:pPr>
      <w:r w:rsidRPr="006C4359">
        <w:t>Amendement</w:t>
      </w:r>
      <w:r w:rsidRPr="006C4359">
        <w:tab/>
      </w:r>
      <w:r w:rsidRPr="006C4359">
        <w:tab/>
        <w:t>11</w:t>
      </w:r>
    </w:p>
    <w:p w:rsidR="00235D54" w:rsidRPr="006C4359" w:rsidRDefault="00235D54" w:rsidP="00235D54"/>
    <w:p w:rsidR="00235D54" w:rsidRPr="006C4359" w:rsidRDefault="00235D54" w:rsidP="00235D54">
      <w:pPr>
        <w:pStyle w:val="NormalBold"/>
        <w:keepNext/>
      </w:pPr>
      <w:r w:rsidRPr="006C4359">
        <w:t>Proposition de règlement</w:t>
      </w:r>
    </w:p>
    <w:p w:rsidR="00235D54" w:rsidRPr="006C4359" w:rsidRDefault="00235D54" w:rsidP="00235D54">
      <w:pPr>
        <w:pStyle w:val="NormalBold"/>
      </w:pPr>
      <w:r w:rsidRPr="006C4359">
        <w:t>Article 4 – alinéa 1 – point 2</w:t>
      </w:r>
    </w:p>
    <w:p w:rsidR="00235D54" w:rsidRPr="006C4359" w:rsidRDefault="00235D54" w:rsidP="00235D54">
      <w:pPr>
        <w:keepNext/>
      </w:pPr>
      <w:r w:rsidRPr="006C4359">
        <w:t>Règlement (UE) 2019/1021</w:t>
      </w:r>
    </w:p>
    <w:p w:rsidR="00235D54" w:rsidRPr="006C4359" w:rsidRDefault="00235D54" w:rsidP="00235D54">
      <w:r w:rsidRPr="006C4359">
        <w:t>Article 8 – paragraphe 1 bis – alinéa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D54" w:rsidRPr="006C4359" w:rsidTr="005243F2">
        <w:trPr>
          <w:jc w:val="center"/>
        </w:trPr>
        <w:tc>
          <w:tcPr>
            <w:tcW w:w="9752" w:type="dxa"/>
            <w:gridSpan w:val="2"/>
          </w:tcPr>
          <w:p w:rsidR="00235D54" w:rsidRPr="006C4359" w:rsidRDefault="00235D54" w:rsidP="005243F2">
            <w:pPr>
              <w:keepNext/>
            </w:pPr>
          </w:p>
        </w:tc>
      </w:tr>
      <w:tr w:rsidR="00235D54" w:rsidRPr="006C4359" w:rsidTr="005243F2">
        <w:trPr>
          <w:jc w:val="center"/>
        </w:trPr>
        <w:tc>
          <w:tcPr>
            <w:tcW w:w="4876" w:type="dxa"/>
            <w:hideMark/>
          </w:tcPr>
          <w:p w:rsidR="00235D54" w:rsidRPr="006C4359" w:rsidRDefault="00235D54" w:rsidP="005243F2">
            <w:pPr>
              <w:pStyle w:val="ColumnHeading"/>
              <w:keepNext/>
            </w:pPr>
            <w:r w:rsidRPr="006C4359">
              <w:t>Texte proposé par la Commission</w:t>
            </w:r>
          </w:p>
        </w:tc>
        <w:tc>
          <w:tcPr>
            <w:tcW w:w="4876" w:type="dxa"/>
            <w:hideMark/>
          </w:tcPr>
          <w:p w:rsidR="00235D54" w:rsidRPr="006C4359" w:rsidRDefault="00235D54" w:rsidP="005243F2">
            <w:pPr>
              <w:pStyle w:val="ColumnHeading"/>
              <w:keepNext/>
            </w:pPr>
            <w:r w:rsidRPr="006C4359">
              <w:t>Amendement</w:t>
            </w:r>
          </w:p>
        </w:tc>
      </w:tr>
      <w:tr w:rsidR="00235D54" w:rsidRPr="006C4359" w:rsidTr="005243F2">
        <w:trPr>
          <w:jc w:val="center"/>
        </w:trPr>
        <w:tc>
          <w:tcPr>
            <w:tcW w:w="4876" w:type="dxa"/>
            <w:hideMark/>
          </w:tcPr>
          <w:p w:rsidR="00235D54" w:rsidRPr="006C4359" w:rsidRDefault="00235D54" w:rsidP="005243F2">
            <w:pPr>
              <w:pStyle w:val="Normal6"/>
            </w:pPr>
            <w:r w:rsidRPr="006C4359">
              <w:t xml:space="preserve">Au plus tard neuf mois après la présentation </w:t>
            </w:r>
            <w:r w:rsidRPr="006C4359">
              <w:rPr>
                <w:b/>
                <w:i/>
              </w:rPr>
              <w:t xml:space="preserve">de ce </w:t>
            </w:r>
            <w:r w:rsidRPr="006C4359">
              <w:t>rapport, le comité d’analyse socio-économique de l’Agence, institué en vertu de l’article 76, paragraphe 1, point d), du règlement</w:t>
            </w:r>
            <w:r w:rsidRPr="006C4359">
              <w:rPr>
                <w:b/>
                <w:i/>
              </w:rPr>
              <w:t xml:space="preserve"> </w:t>
            </w:r>
            <w:r w:rsidRPr="006C4359">
              <w:t>(CE)</w:t>
            </w:r>
            <w:r w:rsidRPr="006C4359">
              <w:rPr>
                <w:b/>
                <w:i/>
              </w:rPr>
              <w:t xml:space="preserve"> </w:t>
            </w:r>
            <w:r w:rsidRPr="006C4359">
              <w:t>nº 1907/2006, adopte un avis sur le rapport et sur les valeurs limites de concentration qui y sont proposées. Aux fins de l’adoption de l’avis sur le rapport, l’article 87 du règlement (CE) nº 1907/2006 s’applique mutatis mutandis.</w:t>
            </w:r>
          </w:p>
        </w:tc>
        <w:tc>
          <w:tcPr>
            <w:tcW w:w="4876" w:type="dxa"/>
            <w:hideMark/>
          </w:tcPr>
          <w:p w:rsidR="00235D54" w:rsidRPr="006C4359" w:rsidRDefault="00235D54" w:rsidP="005243F2">
            <w:pPr>
              <w:pStyle w:val="Normal6"/>
              <w:rPr>
                <w:szCs w:val="24"/>
              </w:rPr>
            </w:pPr>
            <w:r w:rsidRPr="006C4359">
              <w:t xml:space="preserve">Au plus tard neuf mois après la présentation </w:t>
            </w:r>
            <w:r w:rsidRPr="006C4359">
              <w:rPr>
                <w:b/>
                <w:i/>
              </w:rPr>
              <w:t xml:space="preserve">du </w:t>
            </w:r>
            <w:r w:rsidRPr="006C4359">
              <w:t>rapport</w:t>
            </w:r>
            <w:r w:rsidRPr="006C4359">
              <w:rPr>
                <w:b/>
                <w:i/>
              </w:rPr>
              <w:t xml:space="preserve"> visé à l’article 8, paragraphe 1, point i)</w:t>
            </w:r>
            <w:r w:rsidRPr="006C4359">
              <w:t>, le comité d’analyse socio-économique de l’Agence, institué en vertu de l’article 76, paragraphe 1, point d), du règlement</w:t>
            </w:r>
            <w:r w:rsidRPr="006C4359">
              <w:rPr>
                <w:b/>
                <w:i/>
              </w:rPr>
              <w:t> </w:t>
            </w:r>
            <w:r w:rsidRPr="006C4359">
              <w:t>(CE)</w:t>
            </w:r>
            <w:r w:rsidRPr="006C4359">
              <w:rPr>
                <w:b/>
                <w:i/>
              </w:rPr>
              <w:t> </w:t>
            </w:r>
            <w:r w:rsidRPr="006C4359">
              <w:t>nº 1907/2006, adopte un avis sur le rapport et sur les valeurs limites de concentration qui y sont proposées. Aux fins de l’adoption de l’avis sur le rapport, l’article 87 du règlement (CE) nº 1907/2006 s’applique mutatis mutandis.</w:t>
            </w:r>
          </w:p>
        </w:tc>
      </w:tr>
    </w:tbl>
    <w:p w:rsidR="00235D54" w:rsidRPr="006C4359" w:rsidRDefault="00235D54" w:rsidP="00235D54"/>
    <w:p w:rsidR="00235D54" w:rsidRPr="006C4359" w:rsidRDefault="00235D54" w:rsidP="00235D54">
      <w:pPr>
        <w:pStyle w:val="AmNumberTabs"/>
      </w:pPr>
      <w:r w:rsidRPr="006C4359">
        <w:t>Amendement</w:t>
      </w:r>
      <w:r w:rsidRPr="006C4359">
        <w:tab/>
      </w:r>
      <w:r w:rsidRPr="006C4359">
        <w:tab/>
        <w:t>12</w:t>
      </w:r>
    </w:p>
    <w:p w:rsidR="00235D54" w:rsidRPr="006C4359" w:rsidRDefault="00235D54" w:rsidP="00235D54"/>
    <w:p w:rsidR="00235D54" w:rsidRPr="006C4359" w:rsidRDefault="00235D54" w:rsidP="00235D54">
      <w:pPr>
        <w:pStyle w:val="NormalBold"/>
        <w:keepNext/>
      </w:pPr>
      <w:r w:rsidRPr="006C4359">
        <w:t>Proposition de règlement</w:t>
      </w:r>
    </w:p>
    <w:p w:rsidR="00235D54" w:rsidRPr="006C4359" w:rsidRDefault="00235D54" w:rsidP="00235D54">
      <w:pPr>
        <w:pStyle w:val="NormalBold"/>
      </w:pPr>
      <w:r w:rsidRPr="006C4359">
        <w:t>Article 4 – alinéa 1 – point 4</w:t>
      </w:r>
    </w:p>
    <w:p w:rsidR="00235D54" w:rsidRPr="006C4359" w:rsidRDefault="00235D54" w:rsidP="00235D54">
      <w:pPr>
        <w:keepNext/>
      </w:pPr>
      <w:r w:rsidRPr="006C4359">
        <w:t>Règlement (UE) 2019/1021</w:t>
      </w:r>
    </w:p>
    <w:p w:rsidR="00235D54" w:rsidRPr="006C4359" w:rsidRDefault="00235D54" w:rsidP="00235D54">
      <w:r w:rsidRPr="006C4359">
        <w:t>Article 15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D54" w:rsidRPr="006C4359" w:rsidTr="005243F2">
        <w:trPr>
          <w:jc w:val="center"/>
        </w:trPr>
        <w:tc>
          <w:tcPr>
            <w:tcW w:w="9752" w:type="dxa"/>
            <w:gridSpan w:val="2"/>
          </w:tcPr>
          <w:p w:rsidR="00235D54" w:rsidRPr="006C4359" w:rsidRDefault="00235D54" w:rsidP="005243F2">
            <w:pPr>
              <w:keepNext/>
            </w:pPr>
          </w:p>
        </w:tc>
      </w:tr>
      <w:tr w:rsidR="00235D54" w:rsidRPr="006C4359" w:rsidTr="005243F2">
        <w:trPr>
          <w:jc w:val="center"/>
        </w:trPr>
        <w:tc>
          <w:tcPr>
            <w:tcW w:w="4876" w:type="dxa"/>
            <w:hideMark/>
          </w:tcPr>
          <w:p w:rsidR="00235D54" w:rsidRPr="006C4359" w:rsidRDefault="00235D54" w:rsidP="005243F2">
            <w:pPr>
              <w:pStyle w:val="ColumnHeading"/>
              <w:keepNext/>
            </w:pPr>
            <w:r w:rsidRPr="006C4359">
              <w:t>Texte proposé par la Commission</w:t>
            </w:r>
          </w:p>
        </w:tc>
        <w:tc>
          <w:tcPr>
            <w:tcW w:w="4876" w:type="dxa"/>
            <w:hideMark/>
          </w:tcPr>
          <w:p w:rsidR="00235D54" w:rsidRPr="006C4359" w:rsidRDefault="00235D54" w:rsidP="005243F2">
            <w:pPr>
              <w:pStyle w:val="ColumnHeading"/>
              <w:keepNext/>
            </w:pPr>
            <w:r w:rsidRPr="006C4359">
              <w:t>Amendement</w:t>
            </w:r>
          </w:p>
        </w:tc>
      </w:tr>
      <w:tr w:rsidR="00235D54" w:rsidRPr="006C4359" w:rsidTr="005243F2">
        <w:trPr>
          <w:jc w:val="center"/>
        </w:trPr>
        <w:tc>
          <w:tcPr>
            <w:tcW w:w="4876" w:type="dxa"/>
            <w:hideMark/>
          </w:tcPr>
          <w:p w:rsidR="00235D54" w:rsidRPr="006C4359" w:rsidRDefault="00235D54" w:rsidP="005243F2">
            <w:pPr>
              <w:pStyle w:val="Normal6"/>
            </w:pPr>
            <w:r w:rsidRPr="006C4359">
              <w:t>2.</w:t>
            </w:r>
            <w:r w:rsidRPr="006C4359">
              <w:tab/>
              <w:t xml:space="preserve">La Commission est habilitée à adopter des actes délégués, conformément à l’article 18, visant à modifier les </w:t>
            </w:r>
            <w:r w:rsidRPr="006C4359">
              <w:lastRenderedPageBreak/>
              <w:t>annexes IV et V pour les adapter aux modifications apportées à la liste des substances figurant dans les annexes de la convention ou du protocole ou pour les adapter au progrès scientifique et technique.</w:t>
            </w:r>
          </w:p>
        </w:tc>
        <w:tc>
          <w:tcPr>
            <w:tcW w:w="4876" w:type="dxa"/>
            <w:hideMark/>
          </w:tcPr>
          <w:p w:rsidR="00235D54" w:rsidRPr="006C4359" w:rsidRDefault="00235D54" w:rsidP="005243F2">
            <w:pPr>
              <w:pStyle w:val="Normal6"/>
              <w:rPr>
                <w:szCs w:val="24"/>
              </w:rPr>
            </w:pPr>
            <w:r w:rsidRPr="006C4359">
              <w:lastRenderedPageBreak/>
              <w:t>2.</w:t>
            </w:r>
            <w:r w:rsidRPr="006C4359">
              <w:tab/>
              <w:t xml:space="preserve">La Commission est habilitée à adopter des actes délégués, conformément à l’article 18, visant à modifier les </w:t>
            </w:r>
            <w:r w:rsidRPr="006C4359">
              <w:lastRenderedPageBreak/>
              <w:t xml:space="preserve">annexes IV et V pour les adapter aux modifications apportées à la liste des substances figurant </w:t>
            </w:r>
            <w:r w:rsidRPr="006C4359">
              <w:rPr>
                <w:b/>
                <w:i/>
              </w:rPr>
              <w:t xml:space="preserve">dans les annexes I, II ou III du règlement (UE) 2019/1021 ou </w:t>
            </w:r>
            <w:r w:rsidRPr="006C4359">
              <w:t>dans les annexes</w:t>
            </w:r>
            <w:r w:rsidRPr="006C4359">
              <w:rPr>
                <w:b/>
                <w:i/>
              </w:rPr>
              <w:t xml:space="preserve"> </w:t>
            </w:r>
            <w:r w:rsidRPr="006C4359">
              <w:t>de la convention ou du protocole ou pour les adapter au progrès scientifique et technique.</w:t>
            </w:r>
          </w:p>
        </w:tc>
      </w:tr>
    </w:tbl>
    <w:p w:rsidR="00235D54" w:rsidRPr="006C4359" w:rsidRDefault="00235D54" w:rsidP="00235D54"/>
    <w:p w:rsidR="00235D54" w:rsidRPr="006C4359" w:rsidRDefault="00235D54" w:rsidP="00235D54">
      <w:pPr>
        <w:pStyle w:val="AmNumberTabs"/>
      </w:pPr>
      <w:r w:rsidRPr="006C4359">
        <w:t>Amendement</w:t>
      </w:r>
      <w:r w:rsidRPr="006C4359">
        <w:tab/>
      </w:r>
      <w:r w:rsidRPr="006C4359">
        <w:tab/>
        <w:t>13</w:t>
      </w:r>
    </w:p>
    <w:p w:rsidR="00235D54" w:rsidRPr="006C4359" w:rsidRDefault="00235D54" w:rsidP="00235D54"/>
    <w:p w:rsidR="00235D54" w:rsidRPr="006C4359" w:rsidRDefault="00235D54" w:rsidP="00235D54">
      <w:pPr>
        <w:pStyle w:val="NormalBold"/>
        <w:keepNext/>
      </w:pPr>
      <w:r w:rsidRPr="006C4359">
        <w:t>Proposition de règlement</w:t>
      </w:r>
    </w:p>
    <w:p w:rsidR="00235D54" w:rsidRPr="006C4359" w:rsidRDefault="00235D54" w:rsidP="00235D54">
      <w:pPr>
        <w:pStyle w:val="NormalBold"/>
      </w:pPr>
      <w:r w:rsidRPr="006C4359">
        <w:t>Article 4 – alinéa 1 – point 4 bis (nouveau)</w:t>
      </w:r>
    </w:p>
    <w:p w:rsidR="00235D54" w:rsidRPr="006C4359" w:rsidRDefault="00235D54" w:rsidP="00235D54">
      <w:pPr>
        <w:keepNext/>
      </w:pPr>
      <w:r w:rsidRPr="006C4359">
        <w:t>Règlement (UE) 2019/1021</w:t>
      </w:r>
    </w:p>
    <w:p w:rsidR="00235D54" w:rsidRPr="006C4359" w:rsidRDefault="00235D54" w:rsidP="00235D54">
      <w:r w:rsidRPr="006C4359">
        <w:t>Article 16 – paragraphe 2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D54" w:rsidRPr="006C4359" w:rsidTr="005243F2">
        <w:trPr>
          <w:jc w:val="center"/>
        </w:trPr>
        <w:tc>
          <w:tcPr>
            <w:tcW w:w="9752" w:type="dxa"/>
            <w:gridSpan w:val="2"/>
          </w:tcPr>
          <w:p w:rsidR="00235D54" w:rsidRPr="006C4359" w:rsidRDefault="00235D54" w:rsidP="005243F2">
            <w:pPr>
              <w:keepNext/>
            </w:pPr>
          </w:p>
        </w:tc>
      </w:tr>
      <w:tr w:rsidR="00235D54" w:rsidRPr="006C4359" w:rsidTr="005243F2">
        <w:trPr>
          <w:jc w:val="center"/>
        </w:trPr>
        <w:tc>
          <w:tcPr>
            <w:tcW w:w="4876" w:type="dxa"/>
            <w:hideMark/>
          </w:tcPr>
          <w:p w:rsidR="00235D54" w:rsidRPr="006C4359" w:rsidRDefault="00235D54" w:rsidP="005243F2">
            <w:pPr>
              <w:pStyle w:val="ColumnHeading"/>
              <w:keepNext/>
            </w:pPr>
            <w:r w:rsidRPr="006C4359">
              <w:t>Texte proposé par la Commission</w:t>
            </w:r>
          </w:p>
        </w:tc>
        <w:tc>
          <w:tcPr>
            <w:tcW w:w="4876" w:type="dxa"/>
            <w:hideMark/>
          </w:tcPr>
          <w:p w:rsidR="00235D54" w:rsidRPr="006C4359" w:rsidRDefault="00235D54" w:rsidP="005243F2">
            <w:pPr>
              <w:pStyle w:val="ColumnHeading"/>
              <w:keepNext/>
            </w:pPr>
            <w:r w:rsidRPr="006C4359">
              <w:t>Amendement</w:t>
            </w:r>
          </w:p>
        </w:tc>
      </w:tr>
      <w:tr w:rsidR="00235D54" w:rsidRPr="006C4359" w:rsidTr="005243F2">
        <w:trPr>
          <w:jc w:val="center"/>
        </w:trPr>
        <w:tc>
          <w:tcPr>
            <w:tcW w:w="4876" w:type="dxa"/>
          </w:tcPr>
          <w:p w:rsidR="00235D54" w:rsidRPr="006C4359" w:rsidRDefault="00235D54" w:rsidP="005243F2">
            <w:pPr>
              <w:pStyle w:val="Normal6"/>
            </w:pPr>
          </w:p>
        </w:tc>
        <w:tc>
          <w:tcPr>
            <w:tcW w:w="4876" w:type="dxa"/>
            <w:hideMark/>
          </w:tcPr>
          <w:p w:rsidR="00235D54" w:rsidRPr="006C4359" w:rsidRDefault="00235D54" w:rsidP="005243F2">
            <w:pPr>
              <w:pStyle w:val="Normal6"/>
              <w:rPr>
                <w:szCs w:val="24"/>
              </w:rPr>
            </w:pPr>
            <w:r w:rsidRPr="006C4359">
              <w:rPr>
                <w:b/>
                <w:i/>
              </w:rPr>
              <w:t>(4 bis)</w:t>
            </w:r>
            <w:r w:rsidRPr="006C4359">
              <w:rPr>
                <w:b/>
                <w:i/>
              </w:rPr>
              <w:tab/>
              <w:t>À l’article 16, le paragraphe suivant est ajouté:</w:t>
            </w:r>
          </w:p>
        </w:tc>
      </w:tr>
      <w:tr w:rsidR="00235D54" w:rsidRPr="006C4359" w:rsidTr="005243F2">
        <w:trPr>
          <w:jc w:val="center"/>
        </w:trPr>
        <w:tc>
          <w:tcPr>
            <w:tcW w:w="4876" w:type="dxa"/>
          </w:tcPr>
          <w:p w:rsidR="00235D54" w:rsidRPr="006C4359" w:rsidRDefault="00235D54" w:rsidP="005243F2">
            <w:pPr>
              <w:pStyle w:val="Normal6"/>
            </w:pPr>
          </w:p>
        </w:tc>
        <w:tc>
          <w:tcPr>
            <w:tcW w:w="4876" w:type="dxa"/>
            <w:hideMark/>
          </w:tcPr>
          <w:p w:rsidR="00235D54" w:rsidRPr="006C4359" w:rsidRDefault="00235D54" w:rsidP="005243F2">
            <w:pPr>
              <w:pStyle w:val="Normal6"/>
              <w:rPr>
                <w:szCs w:val="24"/>
              </w:rPr>
            </w:pPr>
            <w:r w:rsidRPr="006C4359">
              <w:rPr>
                <w:b/>
                <w:i/>
              </w:rPr>
              <w:t>«2 bis.</w:t>
            </w:r>
            <w:r w:rsidRPr="006C4359">
              <w:rPr>
                <w:b/>
                <w:i/>
              </w:rPr>
              <w:tab/>
              <w:t>La Commission suit la situation en ce qui concerne les ressources de l’Agence européenne des produits chimiques ainsi que les tâches, la charge de travail et les compétences des comités scientifiques de l’Agence européenne des produits chimiques et présente, le cas échéant, une proposition législative pour tenir compte des besoins éventuels de l’Agence européenne des produits chimiques découlant des tâches introduites par le présent règlement et pour améliorer la gouvernance de ses comités scientifiques.»</w:t>
            </w:r>
          </w:p>
        </w:tc>
      </w:tr>
    </w:tbl>
    <w:p w:rsidR="00235D54" w:rsidRPr="006C4359" w:rsidRDefault="00235D54" w:rsidP="00235D54"/>
    <w:p w:rsidR="00235D54" w:rsidRPr="006C4359" w:rsidRDefault="00235D54" w:rsidP="00235D54">
      <w:pPr>
        <w:pStyle w:val="AmNumberTabs"/>
      </w:pPr>
      <w:r w:rsidRPr="006C4359">
        <w:t>Amendement</w:t>
      </w:r>
      <w:r w:rsidRPr="006C4359">
        <w:tab/>
      </w:r>
      <w:r w:rsidRPr="006C4359">
        <w:tab/>
        <w:t>14</w:t>
      </w:r>
    </w:p>
    <w:p w:rsidR="00235D54" w:rsidRPr="006C4359" w:rsidRDefault="00235D54" w:rsidP="00235D54"/>
    <w:p w:rsidR="00235D54" w:rsidRPr="006C4359" w:rsidRDefault="00235D54" w:rsidP="00235D54">
      <w:pPr>
        <w:pStyle w:val="NormalBold"/>
        <w:keepNext/>
      </w:pPr>
      <w:r w:rsidRPr="006C4359">
        <w:t>Proposition de règlement</w:t>
      </w:r>
    </w:p>
    <w:p w:rsidR="00235D54" w:rsidRPr="006C4359" w:rsidRDefault="00235D54" w:rsidP="00235D54">
      <w:pPr>
        <w:pStyle w:val="NormalBold"/>
      </w:pPr>
      <w:r w:rsidRPr="006C4359">
        <w:t>Article 4 – alinéa 1 – point 5 – sous-point c</w:t>
      </w:r>
    </w:p>
    <w:p w:rsidR="00235D54" w:rsidRPr="006C4359" w:rsidRDefault="00235D54" w:rsidP="00235D54">
      <w:pPr>
        <w:keepNext/>
      </w:pPr>
      <w:r w:rsidRPr="006C4359">
        <w:t>Règlement (UE) 2019/1021</w:t>
      </w:r>
    </w:p>
    <w:p w:rsidR="00235D54" w:rsidRPr="006C4359" w:rsidRDefault="00235D54" w:rsidP="00235D54">
      <w:r w:rsidRPr="006C4359">
        <w:t>Article 18 – paragraphe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35D54" w:rsidRPr="006C4359" w:rsidTr="005243F2">
        <w:trPr>
          <w:jc w:val="center"/>
        </w:trPr>
        <w:tc>
          <w:tcPr>
            <w:tcW w:w="9752" w:type="dxa"/>
            <w:gridSpan w:val="2"/>
          </w:tcPr>
          <w:p w:rsidR="00235D54" w:rsidRPr="006C4359" w:rsidRDefault="00235D54" w:rsidP="005243F2">
            <w:pPr>
              <w:keepNext/>
            </w:pPr>
          </w:p>
        </w:tc>
      </w:tr>
      <w:tr w:rsidR="00235D54" w:rsidRPr="006C4359" w:rsidTr="005243F2">
        <w:trPr>
          <w:jc w:val="center"/>
        </w:trPr>
        <w:tc>
          <w:tcPr>
            <w:tcW w:w="4876" w:type="dxa"/>
            <w:hideMark/>
          </w:tcPr>
          <w:p w:rsidR="00235D54" w:rsidRPr="006C4359" w:rsidRDefault="00235D54" w:rsidP="005243F2">
            <w:pPr>
              <w:pStyle w:val="ColumnHeading"/>
              <w:keepNext/>
            </w:pPr>
            <w:r w:rsidRPr="006C4359">
              <w:t>Texte proposé par la Commission</w:t>
            </w:r>
          </w:p>
        </w:tc>
        <w:tc>
          <w:tcPr>
            <w:tcW w:w="4876" w:type="dxa"/>
            <w:hideMark/>
          </w:tcPr>
          <w:p w:rsidR="00235D54" w:rsidRPr="006C4359" w:rsidRDefault="00235D54" w:rsidP="005243F2">
            <w:pPr>
              <w:pStyle w:val="ColumnHeading"/>
              <w:keepNext/>
            </w:pPr>
            <w:r w:rsidRPr="006C4359">
              <w:t>Amendement</w:t>
            </w:r>
          </w:p>
        </w:tc>
      </w:tr>
      <w:tr w:rsidR="00235D54" w:rsidRPr="006C4359" w:rsidTr="005243F2">
        <w:trPr>
          <w:jc w:val="center"/>
        </w:trPr>
        <w:tc>
          <w:tcPr>
            <w:tcW w:w="4876" w:type="dxa"/>
            <w:hideMark/>
          </w:tcPr>
          <w:p w:rsidR="00235D54" w:rsidRPr="006C4359" w:rsidRDefault="00235D54" w:rsidP="005243F2">
            <w:pPr>
              <w:pStyle w:val="Normal6"/>
            </w:pPr>
            <w:r w:rsidRPr="006C4359">
              <w:t>6.</w:t>
            </w:r>
            <w:r w:rsidRPr="006C4359">
              <w:tab/>
              <w:t xml:space="preserve">Un acte délégué adopté en vertu de l’article 4, paragraphe 3, de l’article 10, paragraphe 2, et de l’article 15 n’entre en vigueur que si le Parlement européen ou le </w:t>
            </w:r>
            <w:r w:rsidRPr="006C4359">
              <w:lastRenderedPageBreak/>
              <w:t>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w:t>
            </w:r>
          </w:p>
        </w:tc>
        <w:tc>
          <w:tcPr>
            <w:tcW w:w="4876" w:type="dxa"/>
            <w:hideMark/>
          </w:tcPr>
          <w:p w:rsidR="00235D54" w:rsidRPr="006C4359" w:rsidRDefault="00235D54" w:rsidP="005243F2">
            <w:pPr>
              <w:pStyle w:val="Normal6"/>
              <w:rPr>
                <w:szCs w:val="24"/>
              </w:rPr>
            </w:pPr>
            <w:r w:rsidRPr="006C4359">
              <w:lastRenderedPageBreak/>
              <w:t>6.</w:t>
            </w:r>
            <w:r w:rsidRPr="006C4359">
              <w:tab/>
              <w:t xml:space="preserve">Un acte délégué adopté en vertu de l’article 4, paragraphe 3, de l’article 10, paragraphe 2, et de l’article 15 n’entre en vigueur que si le Parlement européen ou le </w:t>
            </w:r>
            <w:r w:rsidRPr="006C4359">
              <w:lastRenderedPageBreak/>
              <w:t xml:space="preserve">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w:t>
            </w:r>
            <w:r w:rsidRPr="006C4359">
              <w:rPr>
                <w:b/>
                <w:i/>
              </w:rPr>
              <w:t>Ce délai peut être prolongé de deux mois à l’initiative du Parlement européen ou du Conseil.</w:t>
            </w:r>
          </w:p>
        </w:tc>
      </w:tr>
    </w:tbl>
    <w:p w:rsidR="00235D54" w:rsidRPr="006C4359" w:rsidRDefault="00235D54" w:rsidP="00235D54"/>
    <w:p w:rsidR="00235D54" w:rsidRPr="006C4359" w:rsidRDefault="00235D54" w:rsidP="00235D54">
      <w:pPr>
        <w:pStyle w:val="AmNumberTabs"/>
      </w:pPr>
      <w:r w:rsidRPr="006C4359">
        <w:t>Amendement</w:t>
      </w:r>
      <w:r w:rsidRPr="006C4359">
        <w:tab/>
        <w:t>15</w:t>
      </w:r>
    </w:p>
    <w:p w:rsidR="00235D54" w:rsidRPr="006C4359" w:rsidRDefault="00235D54" w:rsidP="00235D54">
      <w:pPr>
        <w:rPr>
          <w:b/>
        </w:rPr>
      </w:pPr>
      <w:r w:rsidRPr="006C4359">
        <w:t>Proposition de règlement</w:t>
      </w:r>
    </w:p>
    <w:p w:rsidR="00235D54" w:rsidRPr="006C4359" w:rsidRDefault="00235D54" w:rsidP="00235D54">
      <w:pPr>
        <w:pStyle w:val="NormalBold"/>
      </w:pPr>
      <w:r w:rsidRPr="006C4359">
        <w:t>Article 4 – alinéa 1 – point 5 – sous-point c bis (nouveau)</w:t>
      </w:r>
    </w:p>
    <w:p w:rsidR="00235D54" w:rsidRPr="006C4359" w:rsidRDefault="00235D54" w:rsidP="00235D54">
      <w:r w:rsidRPr="006C4359">
        <w:t>Règlement (UE) 2019/1021</w:t>
      </w:r>
    </w:p>
    <w:p w:rsidR="00235D54" w:rsidRPr="006C4359" w:rsidRDefault="00235D54" w:rsidP="00235D54">
      <w:r w:rsidRPr="006C4359">
        <w:t>Annexe IV – tableau 1 – ligne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235D54" w:rsidRPr="006C4359" w:rsidTr="005243F2">
        <w:tc>
          <w:tcPr>
            <w:tcW w:w="9060" w:type="dxa"/>
            <w:gridSpan w:val="4"/>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AmColumnHeading"/>
            </w:pPr>
            <w:r w:rsidRPr="006C4359">
              <w:t>Texte en vigueur</w:t>
            </w:r>
          </w:p>
        </w:tc>
      </w:tr>
      <w:tr w:rsidR="00235D54" w:rsidRPr="006C4359" w:rsidTr="005243F2">
        <w:tc>
          <w:tcPr>
            <w:tcW w:w="2265"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t>Alcanes en C</w:t>
            </w:r>
            <w:r w:rsidRPr="006C4359">
              <w:rPr>
                <w:vertAlign w:val="subscript"/>
              </w:rPr>
              <w:t>10</w:t>
            </w:r>
            <w:r w:rsidRPr="006C4359">
              <w:t>-C</w:t>
            </w:r>
            <w:r w:rsidRPr="006C4359">
              <w:rPr>
                <w:vertAlign w:val="subscript"/>
              </w:rPr>
              <w:t>13</w:t>
            </w:r>
            <w:r w:rsidRPr="006C4359">
              <w:t xml:space="preserve">, </w:t>
            </w:r>
            <w:proofErr w:type="spellStart"/>
            <w:r w:rsidRPr="006C4359">
              <w:t>chloro</w:t>
            </w:r>
            <w:proofErr w:type="spellEnd"/>
            <w:r w:rsidRPr="006C4359">
              <w:t xml:space="preserve"> (paraffines chlorées à chaîne courte) (PCCC)</w:t>
            </w:r>
          </w:p>
        </w:tc>
        <w:tc>
          <w:tcPr>
            <w:tcW w:w="1558"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t>85535-84-8</w:t>
            </w:r>
          </w:p>
        </w:tc>
        <w:tc>
          <w:tcPr>
            <w:tcW w:w="1417"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t>287-476-5</w:t>
            </w:r>
          </w:p>
        </w:tc>
        <w:tc>
          <w:tcPr>
            <w:tcW w:w="3820"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t>1 500 mg/kg</w:t>
            </w:r>
          </w:p>
          <w:p w:rsidR="00235D54" w:rsidRPr="006C4359" w:rsidRDefault="00235D54" w:rsidP="005243F2">
            <w:pPr>
              <w:pStyle w:val="Normal6a"/>
            </w:pPr>
            <w:r w:rsidRPr="006C4359">
              <w:rPr>
                <w:b/>
                <w:i/>
              </w:rPr>
              <w:t>La</w:t>
            </w:r>
            <w:r w:rsidRPr="006C4359">
              <w:t xml:space="preserve"> Commission réexamine cette limite de concentration et adopte, s’il y a lieu, </w:t>
            </w:r>
            <w:r w:rsidRPr="006C4359">
              <w:rPr>
                <w:b/>
                <w:i/>
              </w:rPr>
              <w:t>une proposition législative</w:t>
            </w:r>
            <w:r w:rsidRPr="006C4359">
              <w:t xml:space="preserve"> visant à abaisser cette valeur </w:t>
            </w:r>
            <w:r w:rsidRPr="006C4359">
              <w:rPr>
                <w:b/>
                <w:i/>
              </w:rPr>
              <w:t>au plus tard le 30 décembre 2027</w:t>
            </w:r>
            <w:r w:rsidRPr="006C4359">
              <w:t>.</w:t>
            </w:r>
          </w:p>
        </w:tc>
      </w:tr>
    </w:tbl>
    <w:p w:rsidR="00235D54" w:rsidRPr="006C4359" w:rsidRDefault="00235D54" w:rsidP="00235D5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235D54" w:rsidRPr="006C4359" w:rsidTr="005243F2">
        <w:tc>
          <w:tcPr>
            <w:tcW w:w="9060" w:type="dxa"/>
            <w:gridSpan w:val="4"/>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AmColumnHeading"/>
            </w:pPr>
            <w:r w:rsidRPr="006C4359">
              <w:t>Amendement</w:t>
            </w:r>
          </w:p>
        </w:tc>
      </w:tr>
      <w:tr w:rsidR="00235D54" w:rsidRPr="006C4359" w:rsidTr="005243F2">
        <w:tc>
          <w:tcPr>
            <w:tcW w:w="9060" w:type="dxa"/>
            <w:gridSpan w:val="4"/>
            <w:tcBorders>
              <w:top w:val="single" w:sz="4" w:space="0" w:color="auto"/>
              <w:left w:val="single" w:sz="4" w:space="0" w:color="auto"/>
              <w:bottom w:val="single" w:sz="4" w:space="0" w:color="auto"/>
              <w:right w:val="single" w:sz="4" w:space="0" w:color="auto"/>
            </w:tcBorders>
          </w:tcPr>
          <w:p w:rsidR="00235D54" w:rsidRPr="006C4359" w:rsidRDefault="00235D54" w:rsidP="005243F2">
            <w:pPr>
              <w:pStyle w:val="AmColumnHeading"/>
              <w:jc w:val="left"/>
              <w:rPr>
                <w:b/>
              </w:rPr>
            </w:pPr>
            <w:r w:rsidRPr="006C4359">
              <w:rPr>
                <w:b/>
              </w:rPr>
              <w:t>(c bis)</w:t>
            </w:r>
            <w:r w:rsidRPr="006C4359">
              <w:rPr>
                <w:b/>
              </w:rPr>
              <w:tab/>
              <w:t>à l’annexe IV, tableau 1, la ligne 5 est remplacée par le texte suivant:</w:t>
            </w:r>
          </w:p>
        </w:tc>
      </w:tr>
      <w:tr w:rsidR="00235D54" w:rsidRPr="006C4359" w:rsidTr="005243F2">
        <w:tc>
          <w:tcPr>
            <w:tcW w:w="2265"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t>Alcanes en C</w:t>
            </w:r>
            <w:r w:rsidRPr="006C4359">
              <w:rPr>
                <w:vertAlign w:val="subscript"/>
              </w:rPr>
              <w:t>10</w:t>
            </w:r>
            <w:r w:rsidRPr="006C4359">
              <w:t>-C</w:t>
            </w:r>
            <w:r w:rsidRPr="006C4359">
              <w:rPr>
                <w:vertAlign w:val="subscript"/>
              </w:rPr>
              <w:t>13</w:t>
            </w:r>
            <w:r w:rsidRPr="006C4359">
              <w:t xml:space="preserve">, </w:t>
            </w:r>
            <w:proofErr w:type="spellStart"/>
            <w:r w:rsidRPr="006C4359">
              <w:t>chloro</w:t>
            </w:r>
            <w:proofErr w:type="spellEnd"/>
            <w:r w:rsidRPr="006C4359">
              <w:t xml:space="preserve"> (paraffines chlorées à chaîne courte) (PCCC)</w:t>
            </w:r>
          </w:p>
        </w:tc>
        <w:tc>
          <w:tcPr>
            <w:tcW w:w="1558"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t>85535-84-8</w:t>
            </w:r>
          </w:p>
        </w:tc>
        <w:tc>
          <w:tcPr>
            <w:tcW w:w="1417"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t>287-476-5</w:t>
            </w:r>
          </w:p>
        </w:tc>
        <w:tc>
          <w:tcPr>
            <w:tcW w:w="3820"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t>1 500 mg/kg</w:t>
            </w:r>
          </w:p>
          <w:p w:rsidR="00235D54" w:rsidRPr="006C4359" w:rsidRDefault="00235D54" w:rsidP="005243F2">
            <w:pPr>
              <w:pStyle w:val="Normal6a"/>
            </w:pPr>
            <w:r w:rsidRPr="006C4359">
              <w:rPr>
                <w:b/>
                <w:i/>
              </w:rPr>
              <w:t>Au plus tard le 30 décembre 2027, la</w:t>
            </w:r>
            <w:r w:rsidRPr="006C4359">
              <w:t xml:space="preserve"> Commission réexamine cette limite de concentration et adopte, s’il y a lieu, </w:t>
            </w:r>
            <w:r w:rsidRPr="006C4359">
              <w:rPr>
                <w:b/>
                <w:i/>
              </w:rPr>
              <w:t>un acte délégué conformément à l’article 15, paragraphe 2,</w:t>
            </w:r>
            <w:r w:rsidRPr="006C4359">
              <w:t xml:space="preserve"> visant à abaisser cette valeur.</w:t>
            </w:r>
          </w:p>
        </w:tc>
      </w:tr>
    </w:tbl>
    <w:p w:rsidR="00235D54" w:rsidRPr="006C4359" w:rsidRDefault="00235D54" w:rsidP="00235D54"/>
    <w:p w:rsidR="00235D54" w:rsidRPr="006C4359" w:rsidRDefault="00235D54" w:rsidP="00235D54">
      <w:pPr>
        <w:pStyle w:val="AmNumberTabs"/>
      </w:pPr>
      <w:r w:rsidRPr="006C4359">
        <w:t>Amendement</w:t>
      </w:r>
      <w:r w:rsidRPr="006C4359">
        <w:tab/>
        <w:t>16</w:t>
      </w:r>
    </w:p>
    <w:p w:rsidR="00235D54" w:rsidRPr="006C4359" w:rsidRDefault="00235D54" w:rsidP="00235D54">
      <w:pPr>
        <w:pStyle w:val="NormalBold"/>
      </w:pPr>
      <w:r w:rsidRPr="006C4359">
        <w:t>Proposition de règlement</w:t>
      </w:r>
    </w:p>
    <w:p w:rsidR="00235D54" w:rsidRPr="006C4359" w:rsidRDefault="00235D54" w:rsidP="00235D54">
      <w:pPr>
        <w:pStyle w:val="NormalBold"/>
      </w:pPr>
      <w:r w:rsidRPr="006C4359">
        <w:t>Article 4 – alinéa 1 – point 5 – sous-point c ter (nouveau)</w:t>
      </w:r>
    </w:p>
    <w:p w:rsidR="00235D54" w:rsidRPr="006C4359" w:rsidRDefault="00235D54" w:rsidP="00235D54">
      <w:r w:rsidRPr="006C4359">
        <w:t>Règlement (UE) 2019/1021</w:t>
      </w:r>
    </w:p>
    <w:p w:rsidR="00235D54" w:rsidRPr="006C4359" w:rsidRDefault="00235D54" w:rsidP="00235D54">
      <w:r w:rsidRPr="006C4359">
        <w:t>Annexe IV – tableau 1 –ligne 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1548"/>
        <w:gridCol w:w="1408"/>
        <w:gridCol w:w="3807"/>
      </w:tblGrid>
      <w:tr w:rsidR="00235D54" w:rsidRPr="006C4359" w:rsidTr="005243F2">
        <w:tc>
          <w:tcPr>
            <w:tcW w:w="9060" w:type="dxa"/>
            <w:gridSpan w:val="4"/>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AmColumnHeading"/>
            </w:pPr>
            <w:r w:rsidRPr="006C4359">
              <w:t>Texte en vigueur</w:t>
            </w:r>
          </w:p>
        </w:tc>
      </w:tr>
      <w:tr w:rsidR="00235D54" w:rsidRPr="006C4359" w:rsidTr="005243F2">
        <w:tc>
          <w:tcPr>
            <w:tcW w:w="2265"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proofErr w:type="spellStart"/>
            <w:r w:rsidRPr="006C4359">
              <w:t>Polychlorodibenzo</w:t>
            </w:r>
            <w:proofErr w:type="spellEnd"/>
            <w:r w:rsidRPr="006C4359">
              <w:t xml:space="preserve">-p-dioxines et </w:t>
            </w:r>
            <w:proofErr w:type="spellStart"/>
            <w:r w:rsidRPr="006C4359">
              <w:lastRenderedPageBreak/>
              <w:t>dibenzofurannes</w:t>
            </w:r>
            <w:proofErr w:type="spellEnd"/>
            <w:r w:rsidRPr="006C4359">
              <w:t xml:space="preserve"> (PCDD/PCDF) et polychlorobiphényles de type dioxine (PCB de type dioxine)</w:t>
            </w:r>
          </w:p>
        </w:tc>
        <w:tc>
          <w:tcPr>
            <w:tcW w:w="1558" w:type="dxa"/>
            <w:tcBorders>
              <w:top w:val="single" w:sz="4" w:space="0" w:color="auto"/>
              <w:left w:val="single" w:sz="4" w:space="0" w:color="auto"/>
              <w:bottom w:val="single" w:sz="4" w:space="0" w:color="auto"/>
              <w:right w:val="single" w:sz="4" w:space="0" w:color="auto"/>
            </w:tcBorders>
          </w:tcPr>
          <w:p w:rsidR="00235D54" w:rsidRPr="006C4359" w:rsidRDefault="00235D54" w:rsidP="005243F2">
            <w:pPr>
              <w:pStyle w:val="Normal6a"/>
            </w:pPr>
          </w:p>
        </w:tc>
        <w:tc>
          <w:tcPr>
            <w:tcW w:w="1417" w:type="dxa"/>
            <w:tcBorders>
              <w:top w:val="single" w:sz="4" w:space="0" w:color="auto"/>
              <w:left w:val="single" w:sz="4" w:space="0" w:color="auto"/>
              <w:bottom w:val="single" w:sz="4" w:space="0" w:color="auto"/>
              <w:right w:val="single" w:sz="4" w:space="0" w:color="auto"/>
            </w:tcBorders>
          </w:tcPr>
          <w:p w:rsidR="00235D54" w:rsidRPr="006C4359" w:rsidRDefault="00235D54" w:rsidP="005243F2">
            <w:pPr>
              <w:pStyle w:val="Normal6a"/>
            </w:pPr>
          </w:p>
        </w:tc>
        <w:tc>
          <w:tcPr>
            <w:tcW w:w="3820"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t>5 </w:t>
            </w:r>
            <w:proofErr w:type="spellStart"/>
            <w:r w:rsidRPr="006C4359">
              <w:t>μg</w:t>
            </w:r>
            <w:proofErr w:type="spellEnd"/>
            <w:r w:rsidRPr="006C4359">
              <w:t>/kg</w:t>
            </w:r>
          </w:p>
          <w:p w:rsidR="00235D54" w:rsidRPr="006C4359" w:rsidRDefault="00235D54" w:rsidP="005243F2">
            <w:pPr>
              <w:pStyle w:val="Normal6a"/>
            </w:pPr>
            <w:r w:rsidRPr="006C4359">
              <w:rPr>
                <w:b/>
                <w:i/>
              </w:rPr>
              <w:lastRenderedPageBreak/>
              <w:t>La</w:t>
            </w:r>
            <w:r w:rsidRPr="006C4359">
              <w:t xml:space="preserve"> Commission réexamine cette limite de concentration et adopte, s’il y a lieu, </w:t>
            </w:r>
            <w:r w:rsidRPr="006C4359">
              <w:rPr>
                <w:b/>
                <w:i/>
              </w:rPr>
              <w:t>une proposition législative</w:t>
            </w:r>
            <w:r w:rsidRPr="006C4359">
              <w:t xml:space="preserve"> visant à abaisser cette valeur</w:t>
            </w:r>
            <w:r w:rsidRPr="006C4359">
              <w:rPr>
                <w:b/>
                <w:i/>
              </w:rPr>
              <w:t>, lorsque c’est possible compte tenu des progrès scientifiques et techniques, au plus tard le 30 décembre 2027</w:t>
            </w:r>
            <w:r w:rsidRPr="006C4359">
              <w:rPr>
                <w:i/>
              </w:rPr>
              <w:t>.</w:t>
            </w:r>
          </w:p>
        </w:tc>
      </w:tr>
    </w:tbl>
    <w:p w:rsidR="00235D54" w:rsidRPr="006C4359" w:rsidRDefault="00235D54" w:rsidP="00235D5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1548"/>
        <w:gridCol w:w="1408"/>
        <w:gridCol w:w="3807"/>
      </w:tblGrid>
      <w:tr w:rsidR="00235D54" w:rsidRPr="006C4359" w:rsidTr="005243F2">
        <w:tc>
          <w:tcPr>
            <w:tcW w:w="9060" w:type="dxa"/>
            <w:gridSpan w:val="4"/>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AmColumnHeading"/>
            </w:pPr>
            <w:r w:rsidRPr="006C4359">
              <w:t>Amendement</w:t>
            </w:r>
          </w:p>
        </w:tc>
      </w:tr>
      <w:tr w:rsidR="00235D54" w:rsidRPr="006C4359" w:rsidTr="005243F2">
        <w:tc>
          <w:tcPr>
            <w:tcW w:w="9060" w:type="dxa"/>
            <w:gridSpan w:val="4"/>
            <w:tcBorders>
              <w:top w:val="single" w:sz="4" w:space="0" w:color="auto"/>
              <w:left w:val="single" w:sz="4" w:space="0" w:color="auto"/>
              <w:bottom w:val="single" w:sz="4" w:space="0" w:color="auto"/>
              <w:right w:val="single" w:sz="4" w:space="0" w:color="auto"/>
            </w:tcBorders>
          </w:tcPr>
          <w:p w:rsidR="00235D54" w:rsidRPr="006C4359" w:rsidRDefault="00235D54" w:rsidP="005243F2">
            <w:pPr>
              <w:pStyle w:val="AmColumnHeading"/>
              <w:jc w:val="left"/>
              <w:rPr>
                <w:b/>
              </w:rPr>
            </w:pPr>
            <w:r w:rsidRPr="006C4359">
              <w:rPr>
                <w:b/>
              </w:rPr>
              <w:t>(c ter)</w:t>
            </w:r>
            <w:r w:rsidRPr="006C4359">
              <w:rPr>
                <w:b/>
              </w:rPr>
              <w:tab/>
              <w:t>à l’annexe IV, tableau 1, la ligne 12 est remplacée par le texte suivant:</w:t>
            </w:r>
          </w:p>
        </w:tc>
      </w:tr>
      <w:tr w:rsidR="00235D54" w:rsidRPr="006C4359" w:rsidTr="005243F2">
        <w:tc>
          <w:tcPr>
            <w:tcW w:w="2265"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proofErr w:type="spellStart"/>
            <w:r w:rsidRPr="006C4359">
              <w:t>Polychlorodibenzo</w:t>
            </w:r>
            <w:proofErr w:type="spellEnd"/>
            <w:r w:rsidRPr="006C4359">
              <w:t xml:space="preserve">-p-dioxines et </w:t>
            </w:r>
            <w:proofErr w:type="spellStart"/>
            <w:r w:rsidRPr="006C4359">
              <w:t>dibenzofurannes</w:t>
            </w:r>
            <w:proofErr w:type="spellEnd"/>
            <w:r w:rsidRPr="006C4359">
              <w:t xml:space="preserve"> (PCDD/PCDF) et polychlorobiphényles de type dioxine (PCB de type dioxine)</w:t>
            </w:r>
          </w:p>
        </w:tc>
        <w:tc>
          <w:tcPr>
            <w:tcW w:w="1558" w:type="dxa"/>
            <w:tcBorders>
              <w:top w:val="single" w:sz="4" w:space="0" w:color="auto"/>
              <w:left w:val="single" w:sz="4" w:space="0" w:color="auto"/>
              <w:bottom w:val="single" w:sz="4" w:space="0" w:color="auto"/>
              <w:right w:val="single" w:sz="4" w:space="0" w:color="auto"/>
            </w:tcBorders>
          </w:tcPr>
          <w:p w:rsidR="00235D54" w:rsidRPr="006C4359" w:rsidRDefault="00235D54" w:rsidP="005243F2">
            <w:pPr>
              <w:pStyle w:val="Normal6a"/>
            </w:pPr>
          </w:p>
        </w:tc>
        <w:tc>
          <w:tcPr>
            <w:tcW w:w="1417" w:type="dxa"/>
            <w:tcBorders>
              <w:top w:val="single" w:sz="4" w:space="0" w:color="auto"/>
              <w:left w:val="single" w:sz="4" w:space="0" w:color="auto"/>
              <w:bottom w:val="single" w:sz="4" w:space="0" w:color="auto"/>
              <w:right w:val="single" w:sz="4" w:space="0" w:color="auto"/>
            </w:tcBorders>
          </w:tcPr>
          <w:p w:rsidR="00235D54" w:rsidRPr="006C4359" w:rsidRDefault="00235D54" w:rsidP="005243F2">
            <w:pPr>
              <w:pStyle w:val="Normal6a"/>
            </w:pPr>
          </w:p>
        </w:tc>
        <w:tc>
          <w:tcPr>
            <w:tcW w:w="3820"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t>5 </w:t>
            </w:r>
            <w:proofErr w:type="spellStart"/>
            <w:r w:rsidRPr="006C4359">
              <w:t>μg</w:t>
            </w:r>
            <w:proofErr w:type="spellEnd"/>
            <w:r w:rsidRPr="006C4359">
              <w:t>/kg</w:t>
            </w:r>
          </w:p>
          <w:p w:rsidR="00235D54" w:rsidRPr="006C4359" w:rsidRDefault="00235D54" w:rsidP="005243F2">
            <w:pPr>
              <w:pStyle w:val="Normal6a"/>
            </w:pPr>
            <w:r w:rsidRPr="006C4359">
              <w:rPr>
                <w:b/>
                <w:i/>
              </w:rPr>
              <w:t>Au plus tard le 30 décembre 2027, la</w:t>
            </w:r>
            <w:r w:rsidRPr="006C4359">
              <w:t xml:space="preserve"> Commission réexamine cette limite de concentration et adopte, s’il y a lieu, </w:t>
            </w:r>
            <w:r w:rsidRPr="006C4359">
              <w:rPr>
                <w:b/>
                <w:i/>
              </w:rPr>
              <w:t>un acte délégué conformément à l’article 15, paragraphe 2,</w:t>
            </w:r>
            <w:r w:rsidRPr="006C4359">
              <w:t xml:space="preserve"> visant à abaisser cette valeur.</w:t>
            </w:r>
          </w:p>
        </w:tc>
      </w:tr>
    </w:tbl>
    <w:p w:rsidR="00235D54" w:rsidRPr="006C4359" w:rsidRDefault="00235D54" w:rsidP="00235D54"/>
    <w:p w:rsidR="00235D54" w:rsidRPr="006C4359" w:rsidRDefault="00235D54" w:rsidP="00235D54">
      <w:pPr>
        <w:pStyle w:val="AmNumberTabs"/>
      </w:pPr>
      <w:r w:rsidRPr="006C4359">
        <w:t>Amendement</w:t>
      </w:r>
      <w:r w:rsidRPr="006C4359">
        <w:tab/>
        <w:t>17</w:t>
      </w:r>
    </w:p>
    <w:p w:rsidR="00235D54" w:rsidRPr="006C4359" w:rsidRDefault="00235D54" w:rsidP="00235D54">
      <w:pPr>
        <w:rPr>
          <w:b/>
        </w:rPr>
      </w:pPr>
      <w:r w:rsidRPr="006C4359">
        <w:t>Proposition de règlement</w:t>
      </w:r>
    </w:p>
    <w:p w:rsidR="00235D54" w:rsidRPr="006C4359" w:rsidRDefault="00235D54" w:rsidP="00235D54">
      <w:pPr>
        <w:pStyle w:val="NormalBold"/>
      </w:pPr>
      <w:r w:rsidRPr="006C4359">
        <w:t>Article 4 – alinéa 1 – point 5 – sous-point c quater (nouveau)</w:t>
      </w:r>
    </w:p>
    <w:p w:rsidR="00235D54" w:rsidRPr="006C4359" w:rsidRDefault="00235D54" w:rsidP="00235D54">
      <w:r w:rsidRPr="006C4359">
        <w:t>Règlement (UE) 2019/1021</w:t>
      </w:r>
    </w:p>
    <w:p w:rsidR="00235D54" w:rsidRPr="006C4359" w:rsidRDefault="00235D54" w:rsidP="00235D54">
      <w:r w:rsidRPr="006C4359">
        <w:t>Annexe IV – tableau 1 – ligne 27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235D54" w:rsidRPr="006C4359" w:rsidTr="005243F2">
        <w:tc>
          <w:tcPr>
            <w:tcW w:w="9060" w:type="dxa"/>
            <w:gridSpan w:val="4"/>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AmColumnHeading"/>
            </w:pPr>
            <w:r w:rsidRPr="006C4359">
              <w:t>Texte en vigueur</w:t>
            </w:r>
          </w:p>
        </w:tc>
      </w:tr>
      <w:tr w:rsidR="00235D54" w:rsidRPr="006C4359" w:rsidTr="005243F2">
        <w:tc>
          <w:tcPr>
            <w:tcW w:w="3115"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t>Hexabromocyclododécane</w:t>
            </w:r>
            <w:r w:rsidR="00340E67" w:rsidRPr="00F24AEF">
              <w:rPr>
                <w:vertAlign w:val="superscript"/>
              </w:rPr>
              <w:t>4</w:t>
            </w:r>
          </w:p>
        </w:tc>
        <w:tc>
          <w:tcPr>
            <w:tcW w:w="1430"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t>247-148-4</w:t>
            </w:r>
            <w:r w:rsidRPr="006C4359">
              <w:br/>
              <w:t>221-695-9</w:t>
            </w:r>
          </w:p>
        </w:tc>
        <w:tc>
          <w:tcPr>
            <w:tcW w:w="3278"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t>500 mg/kg</w:t>
            </w:r>
          </w:p>
          <w:p w:rsidR="00235D54" w:rsidRPr="006C4359" w:rsidRDefault="00235D54" w:rsidP="005243F2">
            <w:pPr>
              <w:pStyle w:val="Normal6a"/>
            </w:pPr>
            <w:r w:rsidRPr="006C4359">
              <w:rPr>
                <w:b/>
                <w:i/>
              </w:rPr>
              <w:t>La</w:t>
            </w:r>
            <w:r w:rsidRPr="006C4359">
              <w:t xml:space="preserve"> Commission réexamine cette limite de concentration et adopte, s’il y a lieu, </w:t>
            </w:r>
            <w:r w:rsidRPr="006C4359">
              <w:rPr>
                <w:b/>
                <w:i/>
              </w:rPr>
              <w:t>une proposition législative</w:t>
            </w:r>
            <w:r w:rsidRPr="006C4359">
              <w:t xml:space="preserve"> visant à l’abaisser à une valeur ne dépassant pas 200 mg/kg</w:t>
            </w:r>
            <w:r w:rsidRPr="006C4359">
              <w:rPr>
                <w:b/>
                <w:i/>
              </w:rPr>
              <w:t>, au plus tard le 30 décembre 2027</w:t>
            </w:r>
            <w:r w:rsidRPr="006C4359">
              <w:t>.</w:t>
            </w:r>
          </w:p>
        </w:tc>
      </w:tr>
      <w:tr w:rsidR="00235D54" w:rsidRPr="006C4359" w:rsidTr="005243F2">
        <w:tc>
          <w:tcPr>
            <w:tcW w:w="3115" w:type="dxa"/>
            <w:tcBorders>
              <w:top w:val="single" w:sz="4" w:space="0" w:color="auto"/>
              <w:left w:val="single" w:sz="4" w:space="0" w:color="auto"/>
              <w:bottom w:val="single" w:sz="4" w:space="0" w:color="auto"/>
              <w:right w:val="single" w:sz="4" w:space="0" w:color="auto"/>
            </w:tcBorders>
            <w:hideMark/>
          </w:tcPr>
          <w:p w:rsidR="00235D54" w:rsidRPr="006C4359" w:rsidRDefault="00235D54" w:rsidP="00CF4152">
            <w:pPr>
              <w:pStyle w:val="Normal6a"/>
              <w:tabs>
                <w:tab w:val="left" w:pos="314"/>
              </w:tabs>
              <w:rPr>
                <w:sz w:val="20"/>
              </w:rPr>
            </w:pPr>
            <w:r w:rsidRPr="006C4359">
              <w:rPr>
                <w:sz w:val="20"/>
              </w:rPr>
              <w:t>(</w:t>
            </w:r>
            <w:r w:rsidRPr="00F24AEF">
              <w:rPr>
                <w:sz w:val="20"/>
                <w:vertAlign w:val="superscript"/>
              </w:rPr>
              <w:t>4</w:t>
            </w:r>
            <w:r w:rsidRPr="006C4359">
              <w:rPr>
                <w:sz w:val="20"/>
              </w:rPr>
              <w:t>)</w:t>
            </w:r>
            <w:r w:rsidRPr="006C4359">
              <w:rPr>
                <w:sz w:val="20"/>
              </w:rPr>
              <w:tab/>
            </w:r>
            <w:r w:rsidRPr="006C4359">
              <w:rPr>
                <w:sz w:val="20"/>
                <w:shd w:val="clear" w:color="auto" w:fill="FFFFFF"/>
              </w:rPr>
              <w:t> </w:t>
            </w:r>
            <w:r w:rsidR="00CF4152">
              <w:rPr>
                <w:color w:val="333333"/>
                <w:sz w:val="19"/>
                <w:szCs w:val="19"/>
                <w:shd w:val="clear" w:color="auto" w:fill="FFFFFF"/>
              </w:rPr>
              <w:t>Par «</w:t>
            </w:r>
            <w:proofErr w:type="spellStart"/>
            <w:r w:rsidR="00CF4152">
              <w:rPr>
                <w:color w:val="333333"/>
                <w:sz w:val="19"/>
                <w:szCs w:val="19"/>
                <w:shd w:val="clear" w:color="auto" w:fill="FFFFFF"/>
              </w:rPr>
              <w:t>hexabromocyclododécane</w:t>
            </w:r>
            <w:proofErr w:type="spellEnd"/>
            <w:r w:rsidR="00CF4152">
              <w:rPr>
                <w:color w:val="333333"/>
                <w:sz w:val="19"/>
                <w:szCs w:val="19"/>
                <w:shd w:val="clear" w:color="auto" w:fill="FFFFFF"/>
              </w:rPr>
              <w:t>», on entend l'</w:t>
            </w:r>
            <w:proofErr w:type="spellStart"/>
            <w:r w:rsidR="00CF4152">
              <w:rPr>
                <w:color w:val="333333"/>
                <w:sz w:val="19"/>
                <w:szCs w:val="19"/>
                <w:shd w:val="clear" w:color="auto" w:fill="FFFFFF"/>
              </w:rPr>
              <w:t>hexabromocyclododécane</w:t>
            </w:r>
            <w:proofErr w:type="spellEnd"/>
            <w:r w:rsidR="00CF4152">
              <w:rPr>
                <w:color w:val="333333"/>
                <w:sz w:val="19"/>
                <w:szCs w:val="19"/>
                <w:shd w:val="clear" w:color="auto" w:fill="FFFFFF"/>
              </w:rPr>
              <w:t xml:space="preserve">, le 1,2,5,6,9,10-hexabromocyclododécane et ses principaux </w:t>
            </w:r>
            <w:proofErr w:type="spellStart"/>
            <w:r w:rsidR="00CF4152">
              <w:rPr>
                <w:color w:val="333333"/>
                <w:sz w:val="19"/>
                <w:szCs w:val="19"/>
                <w:shd w:val="clear" w:color="auto" w:fill="FFFFFF"/>
              </w:rPr>
              <w:t>diastéréoisomères</w:t>
            </w:r>
            <w:proofErr w:type="spellEnd"/>
            <w:r w:rsidR="00CF4152">
              <w:rPr>
                <w:color w:val="333333"/>
                <w:sz w:val="19"/>
                <w:szCs w:val="19"/>
                <w:shd w:val="clear" w:color="auto" w:fill="FFFFFF"/>
              </w:rPr>
              <w:t>: l'alpha-</w:t>
            </w:r>
            <w:proofErr w:type="spellStart"/>
            <w:r w:rsidR="00CF4152">
              <w:rPr>
                <w:color w:val="333333"/>
                <w:sz w:val="19"/>
                <w:szCs w:val="19"/>
                <w:shd w:val="clear" w:color="auto" w:fill="FFFFFF"/>
              </w:rPr>
              <w:t>hexabromocyclododécane</w:t>
            </w:r>
            <w:proofErr w:type="spellEnd"/>
            <w:r w:rsidR="00CF4152">
              <w:rPr>
                <w:color w:val="333333"/>
                <w:sz w:val="19"/>
                <w:szCs w:val="19"/>
                <w:shd w:val="clear" w:color="auto" w:fill="FFFFFF"/>
              </w:rPr>
              <w:t>, le bêta-</w:t>
            </w:r>
            <w:proofErr w:type="spellStart"/>
            <w:r w:rsidR="00CF4152">
              <w:rPr>
                <w:color w:val="333333"/>
                <w:sz w:val="19"/>
                <w:szCs w:val="19"/>
                <w:shd w:val="clear" w:color="auto" w:fill="FFFFFF"/>
              </w:rPr>
              <w:t>hexabromocyclododécane</w:t>
            </w:r>
            <w:proofErr w:type="spellEnd"/>
            <w:r w:rsidR="00CF4152">
              <w:rPr>
                <w:color w:val="333333"/>
                <w:sz w:val="19"/>
                <w:szCs w:val="19"/>
                <w:shd w:val="clear" w:color="auto" w:fill="FFFFFF"/>
              </w:rPr>
              <w:t xml:space="preserve"> et le gamma-</w:t>
            </w:r>
            <w:proofErr w:type="spellStart"/>
            <w:r w:rsidR="00CF4152">
              <w:rPr>
                <w:color w:val="333333"/>
                <w:sz w:val="19"/>
                <w:szCs w:val="19"/>
                <w:shd w:val="clear" w:color="auto" w:fill="FFFFFF"/>
              </w:rPr>
              <w:t>hexabromocyclododécane.</w:t>
            </w:r>
            <w:r w:rsidRPr="006C4359">
              <w:rPr>
                <w:sz w:val="20"/>
                <w:shd w:val="clear" w:color="auto" w:fill="FFFFFF"/>
              </w:rPr>
              <w:t>e</w:t>
            </w:r>
            <w:proofErr w:type="spellEnd"/>
            <w:r w:rsidRPr="006C4359">
              <w:rPr>
                <w:sz w:val="20"/>
                <w:shd w:val="clear" w:color="auto" w:fill="FFFFFF"/>
              </w:rPr>
              <w:t xml:space="preserve"> </w:t>
            </w:r>
          </w:p>
        </w:tc>
        <w:tc>
          <w:tcPr>
            <w:tcW w:w="1430" w:type="dxa"/>
            <w:tcBorders>
              <w:top w:val="single" w:sz="4" w:space="0" w:color="auto"/>
              <w:left w:val="single" w:sz="4" w:space="0" w:color="auto"/>
              <w:bottom w:val="single" w:sz="4" w:space="0" w:color="auto"/>
              <w:right w:val="single" w:sz="4" w:space="0" w:color="auto"/>
            </w:tcBorders>
          </w:tcPr>
          <w:p w:rsidR="00235D54" w:rsidRPr="006C4359" w:rsidRDefault="00235D54" w:rsidP="005243F2">
            <w:pPr>
              <w:pStyle w:val="Normal6a"/>
            </w:pPr>
          </w:p>
        </w:tc>
        <w:tc>
          <w:tcPr>
            <w:tcW w:w="1237" w:type="dxa"/>
            <w:tcBorders>
              <w:top w:val="single" w:sz="4" w:space="0" w:color="auto"/>
              <w:left w:val="single" w:sz="4" w:space="0" w:color="auto"/>
              <w:bottom w:val="single" w:sz="4" w:space="0" w:color="auto"/>
              <w:right w:val="single" w:sz="4" w:space="0" w:color="auto"/>
            </w:tcBorders>
          </w:tcPr>
          <w:p w:rsidR="00235D54" w:rsidRPr="006C4359" w:rsidRDefault="00235D54" w:rsidP="005243F2">
            <w:pPr>
              <w:pStyle w:val="Normal6a"/>
            </w:pPr>
          </w:p>
        </w:tc>
        <w:tc>
          <w:tcPr>
            <w:tcW w:w="3278" w:type="dxa"/>
            <w:tcBorders>
              <w:top w:val="single" w:sz="4" w:space="0" w:color="auto"/>
              <w:left w:val="single" w:sz="4" w:space="0" w:color="auto"/>
              <w:bottom w:val="single" w:sz="4" w:space="0" w:color="auto"/>
              <w:right w:val="single" w:sz="4" w:space="0" w:color="auto"/>
            </w:tcBorders>
          </w:tcPr>
          <w:p w:rsidR="00235D54" w:rsidRPr="006C4359" w:rsidRDefault="00235D54" w:rsidP="005243F2">
            <w:pPr>
              <w:pStyle w:val="Normal6a"/>
            </w:pPr>
          </w:p>
        </w:tc>
      </w:tr>
    </w:tbl>
    <w:p w:rsidR="00235D54" w:rsidRPr="006C4359" w:rsidRDefault="00235D54" w:rsidP="00235D5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235D54" w:rsidRPr="006C4359" w:rsidTr="005243F2">
        <w:tc>
          <w:tcPr>
            <w:tcW w:w="9060" w:type="dxa"/>
            <w:gridSpan w:val="4"/>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AmColumnHeading"/>
            </w:pPr>
            <w:r w:rsidRPr="006C4359">
              <w:t>Amendement</w:t>
            </w:r>
          </w:p>
        </w:tc>
      </w:tr>
      <w:tr w:rsidR="00235D54" w:rsidRPr="006C4359" w:rsidTr="005243F2">
        <w:tc>
          <w:tcPr>
            <w:tcW w:w="9060" w:type="dxa"/>
            <w:gridSpan w:val="4"/>
            <w:tcBorders>
              <w:top w:val="single" w:sz="4" w:space="0" w:color="auto"/>
              <w:left w:val="single" w:sz="4" w:space="0" w:color="auto"/>
              <w:bottom w:val="single" w:sz="4" w:space="0" w:color="auto"/>
              <w:right w:val="single" w:sz="4" w:space="0" w:color="auto"/>
            </w:tcBorders>
          </w:tcPr>
          <w:p w:rsidR="00235D54" w:rsidRPr="006C4359" w:rsidRDefault="00235D54" w:rsidP="005243F2">
            <w:pPr>
              <w:pStyle w:val="AmColumnHeading"/>
              <w:jc w:val="left"/>
              <w:rPr>
                <w:b/>
              </w:rPr>
            </w:pPr>
            <w:r w:rsidRPr="006C4359">
              <w:rPr>
                <w:b/>
              </w:rPr>
              <w:lastRenderedPageBreak/>
              <w:t>(c quater)</w:t>
            </w:r>
            <w:r w:rsidRPr="006C4359">
              <w:rPr>
                <w:b/>
              </w:rPr>
              <w:tab/>
              <w:t>à l’annexe IV, tableau 1, la ligne 27 est remplacée par le texte suivant:</w:t>
            </w:r>
          </w:p>
        </w:tc>
      </w:tr>
      <w:tr w:rsidR="00235D54" w:rsidRPr="006C4359" w:rsidTr="005243F2">
        <w:tc>
          <w:tcPr>
            <w:tcW w:w="3115"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t>Hexabromocyclododécane</w:t>
            </w:r>
            <w:r w:rsidR="00340E67" w:rsidRPr="00F24AEF">
              <w:rPr>
                <w:vertAlign w:val="superscript"/>
              </w:rPr>
              <w:t>4</w:t>
            </w:r>
          </w:p>
        </w:tc>
        <w:tc>
          <w:tcPr>
            <w:tcW w:w="1430"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t>247-148-4</w:t>
            </w:r>
            <w:r w:rsidRPr="006C4359">
              <w:br/>
              <w:t>221-695-9</w:t>
            </w:r>
          </w:p>
        </w:tc>
        <w:tc>
          <w:tcPr>
            <w:tcW w:w="3278"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t>500 mg/kg</w:t>
            </w:r>
          </w:p>
          <w:p w:rsidR="00235D54" w:rsidRPr="006C4359" w:rsidRDefault="00235D54" w:rsidP="005243F2">
            <w:pPr>
              <w:pStyle w:val="Normal6a"/>
            </w:pPr>
            <w:r w:rsidRPr="006C4359">
              <w:rPr>
                <w:b/>
                <w:i/>
              </w:rPr>
              <w:t>Au plus tard le 30 décembre 2027, la</w:t>
            </w:r>
            <w:r w:rsidRPr="006C4359">
              <w:t xml:space="preserve"> Commission réexamine cette limite de concentration et adopte, s’il y a lieu, </w:t>
            </w:r>
            <w:r w:rsidRPr="006C4359">
              <w:rPr>
                <w:b/>
                <w:i/>
              </w:rPr>
              <w:t>un acte délégué conformément à l’article 15, paragraphe 2,</w:t>
            </w:r>
            <w:r w:rsidRPr="006C4359">
              <w:t xml:space="preserve"> visant à l’abaisser à une valeur ne dépassant pas 200 mg/kg.</w:t>
            </w:r>
          </w:p>
        </w:tc>
      </w:tr>
      <w:tr w:rsidR="00235D54" w:rsidRPr="006C4359" w:rsidTr="005243F2">
        <w:tc>
          <w:tcPr>
            <w:tcW w:w="3115" w:type="dxa"/>
            <w:tcBorders>
              <w:top w:val="single" w:sz="4" w:space="0" w:color="auto"/>
              <w:left w:val="single" w:sz="4" w:space="0" w:color="auto"/>
              <w:bottom w:val="single" w:sz="4" w:space="0" w:color="auto"/>
              <w:right w:val="single" w:sz="4" w:space="0" w:color="auto"/>
            </w:tcBorders>
            <w:hideMark/>
          </w:tcPr>
          <w:p w:rsidR="00235D54" w:rsidRPr="006C4359" w:rsidRDefault="00235D54">
            <w:pPr>
              <w:pStyle w:val="Normal6a"/>
              <w:tabs>
                <w:tab w:val="left" w:pos="314"/>
              </w:tabs>
              <w:rPr>
                <w:sz w:val="20"/>
              </w:rPr>
            </w:pPr>
            <w:r w:rsidRPr="006C4359">
              <w:rPr>
                <w:sz w:val="20"/>
              </w:rPr>
              <w:t>(</w:t>
            </w:r>
            <w:r w:rsidRPr="00F24AEF">
              <w:rPr>
                <w:sz w:val="20"/>
                <w:vertAlign w:val="superscript"/>
              </w:rPr>
              <w:t>4</w:t>
            </w:r>
            <w:r w:rsidRPr="006C4359">
              <w:rPr>
                <w:sz w:val="20"/>
              </w:rPr>
              <w:t>)</w:t>
            </w:r>
            <w:r w:rsidRPr="006C4359">
              <w:rPr>
                <w:sz w:val="20"/>
              </w:rPr>
              <w:tab/>
            </w:r>
            <w:r w:rsidRPr="006C4359">
              <w:rPr>
                <w:color w:val="333333"/>
                <w:sz w:val="20"/>
                <w:shd w:val="clear" w:color="auto" w:fill="FFFFFF"/>
              </w:rPr>
              <w:t> </w:t>
            </w:r>
            <w:r w:rsidR="00340E67">
              <w:rPr>
                <w:color w:val="333333"/>
                <w:sz w:val="19"/>
                <w:szCs w:val="19"/>
                <w:shd w:val="clear" w:color="auto" w:fill="FFFFFF"/>
              </w:rPr>
              <w:t>Par «</w:t>
            </w:r>
            <w:proofErr w:type="spellStart"/>
            <w:r w:rsidR="00340E67">
              <w:rPr>
                <w:color w:val="333333"/>
                <w:sz w:val="19"/>
                <w:szCs w:val="19"/>
                <w:shd w:val="clear" w:color="auto" w:fill="FFFFFF"/>
              </w:rPr>
              <w:t>hexabromocyclododécane</w:t>
            </w:r>
            <w:proofErr w:type="spellEnd"/>
            <w:r w:rsidR="00340E67">
              <w:rPr>
                <w:color w:val="333333"/>
                <w:sz w:val="19"/>
                <w:szCs w:val="19"/>
                <w:shd w:val="clear" w:color="auto" w:fill="FFFFFF"/>
              </w:rPr>
              <w:t>», on entend l'</w:t>
            </w:r>
            <w:proofErr w:type="spellStart"/>
            <w:r w:rsidR="00340E67">
              <w:rPr>
                <w:color w:val="333333"/>
                <w:sz w:val="19"/>
                <w:szCs w:val="19"/>
                <w:shd w:val="clear" w:color="auto" w:fill="FFFFFF"/>
              </w:rPr>
              <w:t>hexabromocyclododécane</w:t>
            </w:r>
            <w:proofErr w:type="spellEnd"/>
            <w:r w:rsidR="00340E67">
              <w:rPr>
                <w:color w:val="333333"/>
                <w:sz w:val="19"/>
                <w:szCs w:val="19"/>
                <w:shd w:val="clear" w:color="auto" w:fill="FFFFFF"/>
              </w:rPr>
              <w:t xml:space="preserve">, le 1,2,5,6,9,10-hexabromocyclododécane et ses principaux </w:t>
            </w:r>
            <w:proofErr w:type="spellStart"/>
            <w:r w:rsidR="00340E67">
              <w:rPr>
                <w:color w:val="333333"/>
                <w:sz w:val="19"/>
                <w:szCs w:val="19"/>
                <w:shd w:val="clear" w:color="auto" w:fill="FFFFFF"/>
              </w:rPr>
              <w:t>diastéréoisomères</w:t>
            </w:r>
            <w:proofErr w:type="spellEnd"/>
            <w:r w:rsidR="00340E67">
              <w:rPr>
                <w:color w:val="333333"/>
                <w:sz w:val="19"/>
                <w:szCs w:val="19"/>
                <w:shd w:val="clear" w:color="auto" w:fill="FFFFFF"/>
              </w:rPr>
              <w:t>: l'alpha-</w:t>
            </w:r>
            <w:proofErr w:type="spellStart"/>
            <w:r w:rsidR="00340E67">
              <w:rPr>
                <w:color w:val="333333"/>
                <w:sz w:val="19"/>
                <w:szCs w:val="19"/>
                <w:shd w:val="clear" w:color="auto" w:fill="FFFFFF"/>
              </w:rPr>
              <w:t>hexabromocyclododécane</w:t>
            </w:r>
            <w:proofErr w:type="spellEnd"/>
            <w:r w:rsidR="00340E67">
              <w:rPr>
                <w:color w:val="333333"/>
                <w:sz w:val="19"/>
                <w:szCs w:val="19"/>
                <w:shd w:val="clear" w:color="auto" w:fill="FFFFFF"/>
              </w:rPr>
              <w:t>, le bêta-</w:t>
            </w:r>
            <w:proofErr w:type="spellStart"/>
            <w:r w:rsidR="00340E67">
              <w:rPr>
                <w:color w:val="333333"/>
                <w:sz w:val="19"/>
                <w:szCs w:val="19"/>
                <w:shd w:val="clear" w:color="auto" w:fill="FFFFFF"/>
              </w:rPr>
              <w:t>hexabromocyclododécane</w:t>
            </w:r>
            <w:proofErr w:type="spellEnd"/>
            <w:r w:rsidR="00340E67">
              <w:rPr>
                <w:color w:val="333333"/>
                <w:sz w:val="19"/>
                <w:szCs w:val="19"/>
                <w:shd w:val="clear" w:color="auto" w:fill="FFFFFF"/>
              </w:rPr>
              <w:t xml:space="preserve"> et le gamma-</w:t>
            </w:r>
            <w:proofErr w:type="spellStart"/>
            <w:r w:rsidR="00340E67">
              <w:rPr>
                <w:color w:val="333333"/>
                <w:sz w:val="19"/>
                <w:szCs w:val="19"/>
                <w:shd w:val="clear" w:color="auto" w:fill="FFFFFF"/>
              </w:rPr>
              <w:t>hexabromocyclododécane</w:t>
            </w:r>
            <w:proofErr w:type="spellEnd"/>
            <w:r w:rsidR="00340E67">
              <w:rPr>
                <w:color w:val="333333"/>
                <w:sz w:val="19"/>
                <w:szCs w:val="19"/>
                <w:shd w:val="clear" w:color="auto" w:fill="FFFFFF"/>
              </w:rPr>
              <w:t>.</w:t>
            </w:r>
          </w:p>
        </w:tc>
        <w:tc>
          <w:tcPr>
            <w:tcW w:w="1430" w:type="dxa"/>
            <w:tcBorders>
              <w:top w:val="single" w:sz="4" w:space="0" w:color="auto"/>
              <w:left w:val="single" w:sz="4" w:space="0" w:color="auto"/>
              <w:bottom w:val="single" w:sz="4" w:space="0" w:color="auto"/>
              <w:right w:val="single" w:sz="4" w:space="0" w:color="auto"/>
            </w:tcBorders>
          </w:tcPr>
          <w:p w:rsidR="00235D54" w:rsidRPr="006C4359" w:rsidRDefault="00235D54" w:rsidP="005243F2">
            <w:pPr>
              <w:pStyle w:val="Normal6a"/>
            </w:pPr>
          </w:p>
        </w:tc>
        <w:tc>
          <w:tcPr>
            <w:tcW w:w="1237" w:type="dxa"/>
            <w:tcBorders>
              <w:top w:val="single" w:sz="4" w:space="0" w:color="auto"/>
              <w:left w:val="single" w:sz="4" w:space="0" w:color="auto"/>
              <w:bottom w:val="single" w:sz="4" w:space="0" w:color="auto"/>
              <w:right w:val="single" w:sz="4" w:space="0" w:color="auto"/>
            </w:tcBorders>
          </w:tcPr>
          <w:p w:rsidR="00235D54" w:rsidRPr="006C4359" w:rsidRDefault="00235D54" w:rsidP="005243F2">
            <w:pPr>
              <w:pStyle w:val="Normal6a"/>
            </w:pPr>
          </w:p>
        </w:tc>
        <w:tc>
          <w:tcPr>
            <w:tcW w:w="3278" w:type="dxa"/>
            <w:tcBorders>
              <w:top w:val="single" w:sz="4" w:space="0" w:color="auto"/>
              <w:left w:val="single" w:sz="4" w:space="0" w:color="auto"/>
              <w:bottom w:val="single" w:sz="4" w:space="0" w:color="auto"/>
              <w:right w:val="single" w:sz="4" w:space="0" w:color="auto"/>
            </w:tcBorders>
          </w:tcPr>
          <w:p w:rsidR="00235D54" w:rsidRPr="006C4359" w:rsidRDefault="00235D54" w:rsidP="005243F2">
            <w:pPr>
              <w:pStyle w:val="Normal6a"/>
            </w:pPr>
          </w:p>
        </w:tc>
      </w:tr>
    </w:tbl>
    <w:p w:rsidR="00235D54" w:rsidRPr="006C4359" w:rsidRDefault="00235D54" w:rsidP="00235D54"/>
    <w:p w:rsidR="00235D54" w:rsidRPr="006C4359" w:rsidRDefault="00235D54" w:rsidP="00235D54">
      <w:pPr>
        <w:pStyle w:val="AmNumberTabs"/>
      </w:pPr>
      <w:r w:rsidRPr="006C4359">
        <w:t>Amendement</w:t>
      </w:r>
      <w:r w:rsidRPr="006C4359">
        <w:tab/>
        <w:t>18</w:t>
      </w:r>
    </w:p>
    <w:p w:rsidR="00235D54" w:rsidRPr="006C4359" w:rsidRDefault="00235D54" w:rsidP="00235D54">
      <w:pPr>
        <w:pStyle w:val="NormalBold"/>
      </w:pPr>
      <w:r w:rsidRPr="006C4359">
        <w:t>Proposition de règlement</w:t>
      </w:r>
    </w:p>
    <w:p w:rsidR="00235D54" w:rsidRPr="006C4359" w:rsidRDefault="00235D54" w:rsidP="00235D54">
      <w:pPr>
        <w:pStyle w:val="NormalBold"/>
      </w:pPr>
      <w:r w:rsidRPr="006C4359">
        <w:t>Article 4 – alinéa 1 – point 5 – sous-point c </w:t>
      </w:r>
      <w:proofErr w:type="spellStart"/>
      <w:r w:rsidRPr="006C4359">
        <w:t>quinquies</w:t>
      </w:r>
      <w:proofErr w:type="spellEnd"/>
      <w:r w:rsidRPr="006C4359">
        <w:t xml:space="preserve"> (nouveau)</w:t>
      </w:r>
    </w:p>
    <w:p w:rsidR="00235D54" w:rsidRPr="006C4359" w:rsidRDefault="00235D54" w:rsidP="00235D54">
      <w:r w:rsidRPr="006C4359">
        <w:t>Règlement (UE) 2019/1021</w:t>
      </w:r>
    </w:p>
    <w:p w:rsidR="00235D54" w:rsidRPr="006C4359" w:rsidRDefault="00235D54" w:rsidP="00235D54">
      <w:r w:rsidRPr="006C4359">
        <w:t>Annexe IV – tableau 1 – ligne 30</w:t>
      </w:r>
    </w:p>
    <w:p w:rsidR="00235D54" w:rsidRPr="006C4359" w:rsidRDefault="00235D54" w:rsidP="00235D54">
      <w:pPr>
        <w:pStyle w:val="Normal0"/>
        <w:rPr>
          <w:rStyle w:val="HideTWBExt"/>
          <w:rFonts w:ascii="Times New Roman" w:hAnsi="Times New Roman"/>
          <w:noProof w:val="0"/>
          <w:vanish w:val="0"/>
          <w:color w:val="auto"/>
          <w:sz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235D54" w:rsidRPr="006C4359" w:rsidTr="005243F2">
        <w:tc>
          <w:tcPr>
            <w:tcW w:w="9060" w:type="dxa"/>
            <w:gridSpan w:val="4"/>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AmColumnHeading"/>
            </w:pPr>
            <w:r w:rsidRPr="006C4359">
              <w:t>Texte en vigueur</w:t>
            </w:r>
          </w:p>
        </w:tc>
      </w:tr>
      <w:tr w:rsidR="00235D54" w:rsidRPr="006C4359" w:rsidTr="005243F2">
        <w:tc>
          <w:tcPr>
            <w:tcW w:w="2265"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t xml:space="preserve">Acide </w:t>
            </w:r>
            <w:proofErr w:type="spellStart"/>
            <w:r w:rsidRPr="006C4359">
              <w:t>perfluorooctanoïque</w:t>
            </w:r>
            <w:proofErr w:type="spellEnd"/>
            <w:r w:rsidRPr="006C4359">
              <w:t xml:space="preserve"> (PFOA), ses sels et les composés apparentés au PFOA, tels que visés à l’annexe I</w:t>
            </w:r>
          </w:p>
        </w:tc>
        <w:tc>
          <w:tcPr>
            <w:tcW w:w="1558"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t>335-67-1 et autres</w:t>
            </w:r>
          </w:p>
        </w:tc>
        <w:tc>
          <w:tcPr>
            <w:tcW w:w="1417"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t>206-397-9 et autres</w:t>
            </w:r>
          </w:p>
        </w:tc>
        <w:tc>
          <w:tcPr>
            <w:tcW w:w="3820"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t>1 mg/kg</w:t>
            </w:r>
          </w:p>
          <w:p w:rsidR="00235D54" w:rsidRPr="006C4359" w:rsidRDefault="00235D54" w:rsidP="005243F2">
            <w:pPr>
              <w:pStyle w:val="Normal6a"/>
            </w:pPr>
            <w:r w:rsidRPr="006C4359">
              <w:t>(PFOA et ses sels),</w:t>
            </w:r>
          </w:p>
          <w:p w:rsidR="00235D54" w:rsidRPr="006C4359" w:rsidRDefault="00235D54" w:rsidP="005243F2">
            <w:pPr>
              <w:pStyle w:val="Normal6a"/>
            </w:pPr>
            <w:r w:rsidRPr="006C4359">
              <w:t>40 mg/kg</w:t>
            </w:r>
          </w:p>
          <w:p w:rsidR="00235D54" w:rsidRPr="006C4359" w:rsidRDefault="00235D54" w:rsidP="005243F2">
            <w:pPr>
              <w:pStyle w:val="Normal6a"/>
            </w:pPr>
            <w:r w:rsidRPr="006C4359">
              <w:t>(</w:t>
            </w:r>
            <w:proofErr w:type="gramStart"/>
            <w:r w:rsidRPr="006C4359">
              <w:t>somme</w:t>
            </w:r>
            <w:proofErr w:type="gramEnd"/>
            <w:r w:rsidRPr="006C4359">
              <w:t xml:space="preserve"> des composés apparentés au PFOA)</w:t>
            </w:r>
          </w:p>
          <w:p w:rsidR="00235D54" w:rsidRPr="006C4359" w:rsidRDefault="00235D54" w:rsidP="005243F2">
            <w:pPr>
              <w:pStyle w:val="Normal6a"/>
            </w:pPr>
            <w:r w:rsidRPr="006C4359">
              <w:rPr>
                <w:b/>
                <w:i/>
              </w:rPr>
              <w:t>La</w:t>
            </w:r>
            <w:r w:rsidRPr="006C4359">
              <w:t xml:space="preserve"> Commission réexamine cette limite de concentration et adopte, s’il y a lieu, </w:t>
            </w:r>
            <w:r w:rsidRPr="006C4359">
              <w:rPr>
                <w:b/>
                <w:i/>
              </w:rPr>
              <w:t>une proposition législative</w:t>
            </w:r>
            <w:r w:rsidRPr="006C4359">
              <w:t xml:space="preserve"> visant à abaisser cette valeur</w:t>
            </w:r>
            <w:r w:rsidRPr="006C4359">
              <w:rPr>
                <w:b/>
                <w:i/>
              </w:rPr>
              <w:t>, lorsque c’est possible compte tenu des progrès scientifiques et techniques, au plus tard le 30 décembre 2027</w:t>
            </w:r>
            <w:r w:rsidRPr="006C4359">
              <w:t>.</w:t>
            </w:r>
          </w:p>
        </w:tc>
      </w:tr>
    </w:tbl>
    <w:p w:rsidR="00235D54" w:rsidRPr="006C4359" w:rsidRDefault="00235D54" w:rsidP="00235D5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235D54" w:rsidRPr="006C4359" w:rsidTr="005243F2">
        <w:tc>
          <w:tcPr>
            <w:tcW w:w="9060" w:type="dxa"/>
            <w:gridSpan w:val="4"/>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AmColumnHeading"/>
            </w:pPr>
            <w:r w:rsidRPr="006C4359">
              <w:t>Amendement</w:t>
            </w:r>
          </w:p>
        </w:tc>
      </w:tr>
      <w:tr w:rsidR="00235D54" w:rsidRPr="006C4359" w:rsidTr="005243F2">
        <w:tc>
          <w:tcPr>
            <w:tcW w:w="9060" w:type="dxa"/>
            <w:gridSpan w:val="4"/>
            <w:tcBorders>
              <w:top w:val="single" w:sz="4" w:space="0" w:color="auto"/>
              <w:left w:val="single" w:sz="4" w:space="0" w:color="auto"/>
              <w:bottom w:val="single" w:sz="4" w:space="0" w:color="auto"/>
              <w:right w:val="single" w:sz="4" w:space="0" w:color="auto"/>
            </w:tcBorders>
          </w:tcPr>
          <w:p w:rsidR="00235D54" w:rsidRPr="006C4359" w:rsidRDefault="00235D54" w:rsidP="005243F2">
            <w:pPr>
              <w:pStyle w:val="AmColumnHeading"/>
              <w:jc w:val="left"/>
              <w:rPr>
                <w:b/>
              </w:rPr>
            </w:pPr>
            <w:r w:rsidRPr="006C4359">
              <w:rPr>
                <w:b/>
              </w:rPr>
              <w:t>(c </w:t>
            </w:r>
            <w:proofErr w:type="spellStart"/>
            <w:r w:rsidRPr="006C4359">
              <w:rPr>
                <w:b/>
              </w:rPr>
              <w:t>quinquies</w:t>
            </w:r>
            <w:proofErr w:type="spellEnd"/>
            <w:r w:rsidRPr="006C4359">
              <w:rPr>
                <w:b/>
              </w:rPr>
              <w:t>)</w:t>
            </w:r>
            <w:r w:rsidRPr="006C4359">
              <w:rPr>
                <w:b/>
              </w:rPr>
              <w:tab/>
              <w:t>à l’annexe IV, tableau 1, la ligne 30 est remplacée par le texte suivant:</w:t>
            </w:r>
          </w:p>
        </w:tc>
      </w:tr>
      <w:tr w:rsidR="00235D54" w:rsidRPr="006C4359" w:rsidTr="005243F2">
        <w:tc>
          <w:tcPr>
            <w:tcW w:w="2265"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t xml:space="preserve">Acide </w:t>
            </w:r>
            <w:proofErr w:type="spellStart"/>
            <w:r w:rsidRPr="006C4359">
              <w:t>perfluorooctanoïque</w:t>
            </w:r>
            <w:proofErr w:type="spellEnd"/>
            <w:r w:rsidRPr="006C4359">
              <w:t xml:space="preserve"> </w:t>
            </w:r>
            <w:r w:rsidRPr="006C4359">
              <w:lastRenderedPageBreak/>
              <w:t>(PFOA), ses sels et les composés apparentés au PFOA, tels que visés à l’annexe I</w:t>
            </w:r>
          </w:p>
        </w:tc>
        <w:tc>
          <w:tcPr>
            <w:tcW w:w="1558"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lastRenderedPageBreak/>
              <w:t xml:space="preserve">335-67-1 et </w:t>
            </w:r>
            <w:r w:rsidRPr="006C4359">
              <w:lastRenderedPageBreak/>
              <w:t>autres</w:t>
            </w:r>
          </w:p>
        </w:tc>
        <w:tc>
          <w:tcPr>
            <w:tcW w:w="1417"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lastRenderedPageBreak/>
              <w:t xml:space="preserve">206-397-9 </w:t>
            </w:r>
            <w:r w:rsidRPr="006C4359">
              <w:lastRenderedPageBreak/>
              <w:t>et autres</w:t>
            </w:r>
          </w:p>
        </w:tc>
        <w:tc>
          <w:tcPr>
            <w:tcW w:w="3820"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lastRenderedPageBreak/>
              <w:t>1 mg/kg</w:t>
            </w:r>
          </w:p>
          <w:p w:rsidR="00235D54" w:rsidRPr="006C4359" w:rsidRDefault="00235D54" w:rsidP="005243F2">
            <w:pPr>
              <w:pStyle w:val="Normal6a"/>
            </w:pPr>
            <w:r w:rsidRPr="006C4359">
              <w:lastRenderedPageBreak/>
              <w:t>(PFOA et ses sels),</w:t>
            </w:r>
          </w:p>
          <w:p w:rsidR="00235D54" w:rsidRPr="006C4359" w:rsidRDefault="00235D54" w:rsidP="005243F2">
            <w:pPr>
              <w:pStyle w:val="Normal6a"/>
            </w:pPr>
            <w:r w:rsidRPr="006C4359">
              <w:t>40 mg/kg</w:t>
            </w:r>
          </w:p>
          <w:p w:rsidR="00235D54" w:rsidRPr="006C4359" w:rsidRDefault="00235D54" w:rsidP="005243F2">
            <w:pPr>
              <w:pStyle w:val="Normal6a"/>
            </w:pPr>
            <w:r w:rsidRPr="006C4359">
              <w:t>(</w:t>
            </w:r>
            <w:proofErr w:type="gramStart"/>
            <w:r w:rsidRPr="006C4359">
              <w:t>somme</w:t>
            </w:r>
            <w:proofErr w:type="gramEnd"/>
            <w:r w:rsidRPr="006C4359">
              <w:t xml:space="preserve"> des composés apparentés au PFOA)</w:t>
            </w:r>
          </w:p>
          <w:p w:rsidR="00235D54" w:rsidRPr="006C4359" w:rsidRDefault="00235D54" w:rsidP="005243F2">
            <w:pPr>
              <w:pStyle w:val="Normal6a"/>
            </w:pPr>
            <w:r w:rsidRPr="006C4359">
              <w:rPr>
                <w:b/>
                <w:i/>
              </w:rPr>
              <w:t>Au plus tard le 30 décembre 2027, la</w:t>
            </w:r>
            <w:r w:rsidRPr="006C4359">
              <w:t xml:space="preserve"> Commission réexamine cette limite de concentration et adopte, s’il y a lieu, </w:t>
            </w:r>
            <w:r w:rsidRPr="006C4359">
              <w:rPr>
                <w:b/>
                <w:i/>
              </w:rPr>
              <w:t>un acte délégué conformément à l’article 15, paragraphe 2,</w:t>
            </w:r>
            <w:r w:rsidRPr="006C4359">
              <w:t xml:space="preserve"> visant à abaisser cette valeur.</w:t>
            </w:r>
          </w:p>
        </w:tc>
      </w:tr>
    </w:tbl>
    <w:p w:rsidR="00235D54" w:rsidRPr="006C4359" w:rsidRDefault="00235D54" w:rsidP="00235D54"/>
    <w:p w:rsidR="00235D54" w:rsidRPr="006C4359" w:rsidRDefault="00235D54" w:rsidP="00235D54">
      <w:pPr>
        <w:pStyle w:val="AmNumberTabs"/>
      </w:pPr>
      <w:r w:rsidRPr="006C4359">
        <w:t>Amendement</w:t>
      </w:r>
      <w:r w:rsidRPr="006C4359">
        <w:tab/>
        <w:t>19</w:t>
      </w:r>
    </w:p>
    <w:p w:rsidR="00235D54" w:rsidRPr="006C4359" w:rsidRDefault="00235D54" w:rsidP="00235D54">
      <w:pPr>
        <w:rPr>
          <w:b/>
        </w:rPr>
      </w:pPr>
      <w:r w:rsidRPr="006C4359">
        <w:t>Proposition de règlement</w:t>
      </w:r>
    </w:p>
    <w:p w:rsidR="00235D54" w:rsidRPr="006C4359" w:rsidRDefault="00235D54" w:rsidP="00235D54">
      <w:pPr>
        <w:pStyle w:val="NormalBold"/>
      </w:pPr>
      <w:r w:rsidRPr="006C4359">
        <w:t>Article 4 – alinéa 1 – point 5 – sous-point c </w:t>
      </w:r>
      <w:proofErr w:type="spellStart"/>
      <w:r w:rsidRPr="006C4359">
        <w:t>sexies</w:t>
      </w:r>
      <w:proofErr w:type="spellEnd"/>
      <w:r w:rsidRPr="006C4359">
        <w:t xml:space="preserve"> (nouveau)</w:t>
      </w:r>
    </w:p>
    <w:p w:rsidR="00235D54" w:rsidRPr="006C4359" w:rsidRDefault="00235D54" w:rsidP="00235D54">
      <w:r w:rsidRPr="006C4359">
        <w:t>Règlement (UE) 2019/1021</w:t>
      </w:r>
    </w:p>
    <w:p w:rsidR="00235D54" w:rsidRPr="006C4359" w:rsidRDefault="00235D54" w:rsidP="00235D54">
      <w:r w:rsidRPr="006C4359">
        <w:t>Annexe IV – tableau 1 – ligne 31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235D54" w:rsidRPr="006C4359" w:rsidTr="005243F2">
        <w:tc>
          <w:tcPr>
            <w:tcW w:w="9060" w:type="dxa"/>
            <w:gridSpan w:val="4"/>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AmColumnHeading"/>
            </w:pPr>
            <w:r w:rsidRPr="006C4359">
              <w:t>Texte en vigueur</w:t>
            </w:r>
          </w:p>
        </w:tc>
      </w:tr>
      <w:tr w:rsidR="00235D54" w:rsidRPr="006C4359" w:rsidTr="005243F2">
        <w:tc>
          <w:tcPr>
            <w:tcW w:w="2265"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t xml:space="preserve">Acide </w:t>
            </w:r>
            <w:proofErr w:type="spellStart"/>
            <w:r w:rsidRPr="006C4359">
              <w:t>perfluorohexane</w:t>
            </w:r>
            <w:proofErr w:type="spellEnd"/>
            <w:r w:rsidRPr="006C4359">
              <w:t xml:space="preserve"> sulfonique (</w:t>
            </w:r>
            <w:proofErr w:type="spellStart"/>
            <w:r w:rsidRPr="006C4359">
              <w:t>PFHxS</w:t>
            </w:r>
            <w:proofErr w:type="spellEnd"/>
            <w:r w:rsidRPr="006C4359">
              <w:t xml:space="preserve">), ses sels et les composés apparentés au </w:t>
            </w:r>
            <w:proofErr w:type="spellStart"/>
            <w:r w:rsidRPr="006C4359">
              <w:t>PFHxS</w:t>
            </w:r>
            <w:proofErr w:type="spellEnd"/>
          </w:p>
        </w:tc>
        <w:tc>
          <w:tcPr>
            <w:tcW w:w="1558"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t>355-46-4 et autres</w:t>
            </w:r>
          </w:p>
        </w:tc>
        <w:tc>
          <w:tcPr>
            <w:tcW w:w="1417"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t>206-587-1 et autres</w:t>
            </w:r>
          </w:p>
        </w:tc>
        <w:tc>
          <w:tcPr>
            <w:tcW w:w="3820"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t>1 mg/kg</w:t>
            </w:r>
          </w:p>
          <w:p w:rsidR="00235D54" w:rsidRPr="006C4359" w:rsidRDefault="00235D54" w:rsidP="005243F2">
            <w:pPr>
              <w:pStyle w:val="Normal6a"/>
            </w:pPr>
            <w:r w:rsidRPr="006C4359">
              <w:t>(</w:t>
            </w:r>
            <w:proofErr w:type="spellStart"/>
            <w:r w:rsidRPr="006C4359">
              <w:t>PFHxS</w:t>
            </w:r>
            <w:proofErr w:type="spellEnd"/>
            <w:r w:rsidRPr="006C4359">
              <w:t xml:space="preserve"> et ses sels), 40 mg/kg</w:t>
            </w:r>
          </w:p>
          <w:p w:rsidR="00235D54" w:rsidRPr="006C4359" w:rsidRDefault="00235D54" w:rsidP="005243F2">
            <w:pPr>
              <w:pStyle w:val="Normal6a"/>
            </w:pPr>
            <w:r w:rsidRPr="006C4359">
              <w:t>(</w:t>
            </w:r>
            <w:proofErr w:type="gramStart"/>
            <w:r w:rsidRPr="006C4359">
              <w:t>somme</w:t>
            </w:r>
            <w:proofErr w:type="gramEnd"/>
            <w:r w:rsidRPr="006C4359">
              <w:t xml:space="preserve"> des composés apparentés au </w:t>
            </w:r>
            <w:proofErr w:type="spellStart"/>
            <w:r w:rsidRPr="006C4359">
              <w:t>PFHxS</w:t>
            </w:r>
            <w:proofErr w:type="spellEnd"/>
            <w:r w:rsidRPr="006C4359">
              <w:t>)</w:t>
            </w:r>
          </w:p>
          <w:p w:rsidR="00235D54" w:rsidRPr="006C4359" w:rsidRDefault="00235D54" w:rsidP="005243F2">
            <w:pPr>
              <w:pStyle w:val="Normal6a"/>
            </w:pPr>
            <w:r w:rsidRPr="006C4359">
              <w:rPr>
                <w:b/>
                <w:i/>
              </w:rPr>
              <w:t>La</w:t>
            </w:r>
            <w:r w:rsidRPr="006C4359">
              <w:t xml:space="preserve"> Commission réexamine cette limite de concentration et adopte, s’il y a lieu, </w:t>
            </w:r>
            <w:r w:rsidRPr="006C4359">
              <w:rPr>
                <w:b/>
                <w:i/>
              </w:rPr>
              <w:t>une proposition législative</w:t>
            </w:r>
            <w:r w:rsidRPr="006C4359">
              <w:t xml:space="preserve"> visant à abaisser cette valeur</w:t>
            </w:r>
            <w:r w:rsidRPr="006C4359">
              <w:rPr>
                <w:b/>
                <w:i/>
              </w:rPr>
              <w:t>, lorsque c’est possible compte tenu des progrès scientifiques et techniques, au plus tard le 30 décembre 2027</w:t>
            </w:r>
            <w:r w:rsidRPr="006C4359">
              <w:t>.</w:t>
            </w:r>
          </w:p>
        </w:tc>
      </w:tr>
    </w:tbl>
    <w:p w:rsidR="00235D54" w:rsidRPr="006C4359" w:rsidRDefault="00235D54" w:rsidP="00235D5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235D54" w:rsidRPr="006C4359" w:rsidTr="005243F2">
        <w:tc>
          <w:tcPr>
            <w:tcW w:w="9060" w:type="dxa"/>
            <w:gridSpan w:val="4"/>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AmColumnHeading"/>
            </w:pPr>
            <w:r w:rsidRPr="006C4359">
              <w:t>Amendement</w:t>
            </w:r>
          </w:p>
        </w:tc>
      </w:tr>
      <w:tr w:rsidR="00235D54" w:rsidRPr="006C4359" w:rsidTr="005243F2">
        <w:tc>
          <w:tcPr>
            <w:tcW w:w="9060" w:type="dxa"/>
            <w:gridSpan w:val="4"/>
            <w:tcBorders>
              <w:top w:val="single" w:sz="4" w:space="0" w:color="auto"/>
              <w:left w:val="single" w:sz="4" w:space="0" w:color="auto"/>
              <w:bottom w:val="single" w:sz="4" w:space="0" w:color="auto"/>
              <w:right w:val="single" w:sz="4" w:space="0" w:color="auto"/>
            </w:tcBorders>
          </w:tcPr>
          <w:p w:rsidR="00235D54" w:rsidRPr="006C4359" w:rsidRDefault="00235D54" w:rsidP="005243F2">
            <w:pPr>
              <w:pStyle w:val="AmColumnHeading"/>
              <w:jc w:val="left"/>
              <w:rPr>
                <w:b/>
              </w:rPr>
            </w:pPr>
            <w:r w:rsidRPr="006C4359">
              <w:rPr>
                <w:b/>
              </w:rPr>
              <w:t>(c </w:t>
            </w:r>
            <w:proofErr w:type="spellStart"/>
            <w:r w:rsidRPr="006C4359">
              <w:rPr>
                <w:b/>
              </w:rPr>
              <w:t>sexies</w:t>
            </w:r>
            <w:proofErr w:type="spellEnd"/>
            <w:r w:rsidRPr="006C4359">
              <w:rPr>
                <w:b/>
              </w:rPr>
              <w:t>)</w:t>
            </w:r>
            <w:r w:rsidRPr="006C4359">
              <w:rPr>
                <w:b/>
              </w:rPr>
              <w:tab/>
              <w:t>à l’annexe IV, tableau 1, la ligne 31 est remplacée par le texte suivant:</w:t>
            </w:r>
          </w:p>
        </w:tc>
      </w:tr>
      <w:tr w:rsidR="00235D54" w:rsidRPr="006C4359" w:rsidTr="005243F2">
        <w:tc>
          <w:tcPr>
            <w:tcW w:w="2265"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t xml:space="preserve">Acide </w:t>
            </w:r>
            <w:proofErr w:type="spellStart"/>
            <w:r w:rsidRPr="006C4359">
              <w:t>perfluorohexane</w:t>
            </w:r>
            <w:proofErr w:type="spellEnd"/>
            <w:r w:rsidRPr="006C4359">
              <w:t xml:space="preserve"> sulfonique (</w:t>
            </w:r>
            <w:proofErr w:type="spellStart"/>
            <w:r w:rsidRPr="006C4359">
              <w:t>PFHxS</w:t>
            </w:r>
            <w:proofErr w:type="spellEnd"/>
            <w:r w:rsidRPr="006C4359">
              <w:t xml:space="preserve">), ses sels et les composés apparentés au </w:t>
            </w:r>
            <w:proofErr w:type="spellStart"/>
            <w:r w:rsidRPr="006C4359">
              <w:t>PFHxS</w:t>
            </w:r>
            <w:proofErr w:type="spellEnd"/>
          </w:p>
        </w:tc>
        <w:tc>
          <w:tcPr>
            <w:tcW w:w="1558"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t>355-46-4 et autres</w:t>
            </w:r>
          </w:p>
        </w:tc>
        <w:tc>
          <w:tcPr>
            <w:tcW w:w="1417"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t>206-587-1 et autres</w:t>
            </w:r>
          </w:p>
        </w:tc>
        <w:tc>
          <w:tcPr>
            <w:tcW w:w="3820" w:type="dxa"/>
            <w:tcBorders>
              <w:top w:val="single" w:sz="4" w:space="0" w:color="auto"/>
              <w:left w:val="single" w:sz="4" w:space="0" w:color="auto"/>
              <w:bottom w:val="single" w:sz="4" w:space="0" w:color="auto"/>
              <w:right w:val="single" w:sz="4" w:space="0" w:color="auto"/>
            </w:tcBorders>
            <w:hideMark/>
          </w:tcPr>
          <w:p w:rsidR="00235D54" w:rsidRPr="006C4359" w:rsidRDefault="00235D54" w:rsidP="005243F2">
            <w:pPr>
              <w:pStyle w:val="Normal6a"/>
            </w:pPr>
            <w:r w:rsidRPr="006C4359">
              <w:t>1 mg/kg</w:t>
            </w:r>
          </w:p>
          <w:p w:rsidR="00235D54" w:rsidRPr="006C4359" w:rsidRDefault="00235D54" w:rsidP="005243F2">
            <w:pPr>
              <w:pStyle w:val="Normal6a"/>
            </w:pPr>
            <w:r w:rsidRPr="006C4359">
              <w:t>(</w:t>
            </w:r>
            <w:proofErr w:type="spellStart"/>
            <w:r w:rsidRPr="006C4359">
              <w:t>PFHxS</w:t>
            </w:r>
            <w:proofErr w:type="spellEnd"/>
            <w:r w:rsidRPr="006C4359">
              <w:t xml:space="preserve"> et ses sels), 40 mg/kg</w:t>
            </w:r>
          </w:p>
          <w:p w:rsidR="00235D54" w:rsidRPr="006C4359" w:rsidRDefault="00235D54" w:rsidP="005243F2">
            <w:pPr>
              <w:pStyle w:val="Normal6a"/>
            </w:pPr>
            <w:r w:rsidRPr="006C4359">
              <w:t>(</w:t>
            </w:r>
            <w:proofErr w:type="gramStart"/>
            <w:r w:rsidRPr="006C4359">
              <w:t>somme</w:t>
            </w:r>
            <w:proofErr w:type="gramEnd"/>
            <w:r w:rsidRPr="006C4359">
              <w:t xml:space="preserve"> des composés apparentés au </w:t>
            </w:r>
            <w:proofErr w:type="spellStart"/>
            <w:r w:rsidRPr="006C4359">
              <w:t>PFHxS</w:t>
            </w:r>
            <w:proofErr w:type="spellEnd"/>
            <w:r w:rsidRPr="006C4359">
              <w:t>)</w:t>
            </w:r>
          </w:p>
          <w:p w:rsidR="00235D54" w:rsidRPr="006C4359" w:rsidRDefault="00235D54" w:rsidP="005243F2">
            <w:pPr>
              <w:pStyle w:val="Normal6a"/>
            </w:pPr>
            <w:r w:rsidRPr="006C4359">
              <w:rPr>
                <w:b/>
                <w:i/>
              </w:rPr>
              <w:t xml:space="preserve">Au plus tard le 30 décembre 2027, la </w:t>
            </w:r>
            <w:r w:rsidRPr="006C4359">
              <w:t xml:space="preserve">Commission réexamine cette limite de concentration et adopte, s’il y a lieu, </w:t>
            </w:r>
            <w:r w:rsidRPr="006C4359">
              <w:rPr>
                <w:b/>
                <w:i/>
              </w:rPr>
              <w:t>un acte délégué conformément à l’article 15, paragraphe 2,</w:t>
            </w:r>
            <w:r w:rsidRPr="006C4359">
              <w:t xml:space="preserve"> visant à abaisser cette </w:t>
            </w:r>
            <w:r w:rsidRPr="006C4359">
              <w:lastRenderedPageBreak/>
              <w:t>valeur.</w:t>
            </w:r>
          </w:p>
        </w:tc>
      </w:tr>
    </w:tbl>
    <w:p w:rsidR="00E365E1" w:rsidRPr="006C4359" w:rsidRDefault="00E365E1" w:rsidP="00470A49"/>
    <w:sectPr w:rsidR="00E365E1" w:rsidRPr="006C4359" w:rsidSect="006C435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0A49" w:rsidRPr="006C4359" w:rsidRDefault="00470A49">
      <w:r w:rsidRPr="006C4359">
        <w:separator/>
      </w:r>
    </w:p>
  </w:endnote>
  <w:endnote w:type="continuationSeparator" w:id="0">
    <w:p w:rsidR="00470A49" w:rsidRPr="006C4359" w:rsidRDefault="00470A49">
      <w:r w:rsidRPr="006C43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435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435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435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0A49" w:rsidRPr="006C4359" w:rsidRDefault="00470A49">
      <w:r w:rsidRPr="006C4359">
        <w:separator/>
      </w:r>
    </w:p>
  </w:footnote>
  <w:footnote w:type="continuationSeparator" w:id="0">
    <w:p w:rsidR="00470A49" w:rsidRPr="006C4359" w:rsidRDefault="00470A49">
      <w:r w:rsidRPr="006C4359">
        <w:continuationSeparator/>
      </w:r>
    </w:p>
  </w:footnote>
  <w:footnote w:id="1">
    <w:p w:rsidR="00F72F41" w:rsidRPr="00DB30E7" w:rsidRDefault="00F72F41" w:rsidP="00DB30E7">
      <w:pPr>
        <w:ind w:left="567" w:hanging="567"/>
      </w:pPr>
      <w:r>
        <w:rPr>
          <w:rStyle w:val="FootnoteReference"/>
        </w:rPr>
        <w:footnoteRef/>
      </w:r>
      <w:r w:rsidRPr="00DB30E7">
        <w:t xml:space="preserve"> </w:t>
      </w:r>
      <w:r w:rsidRPr="00DB30E7">
        <w:tab/>
      </w:r>
      <w:r w:rsidRPr="000B2E43">
        <w:t xml:space="preserve">La question a été renvoyée à la commission compétente, aux fins de négociations interinstitutionnelles, conformément à l’article </w:t>
      </w:r>
      <w:r>
        <w:t>60</w:t>
      </w:r>
      <w:r w:rsidRPr="000B2E43">
        <w:t>, paragraphe 4, quatrième alinéa, du règlement intérieur (A</w:t>
      </w:r>
      <w:r>
        <w:t>10-0020</w:t>
      </w:r>
      <w:r w:rsidRPr="000B2E43">
        <w:t>/202</w:t>
      </w:r>
      <w:r>
        <w:t>5</w:t>
      </w:r>
      <w:r w:rsidRPr="000B2E43">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435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435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435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5"/>
    <w:docVar w:name="dvlangue" w:val="FR"/>
    <w:docVar w:name="dvnumam" w:val="19"/>
    <w:docVar w:name="dvpe" w:val="763.253"/>
    <w:docVar w:name="dvrapporteur" w:val="Rapporteur: "/>
    <w:docVar w:name="dvstar" w:val="***I"/>
    <w:docVar w:name="dvtitre" w:val="Résolution législative du Parlement européen du ... 2025 sur la proposition de règlement du Parlement européen et du Conseil modifiant les règlements (CE) nº 178/2002, (CE) nº 401/2009, (UE) 2017/745 et (UE) 2019/1021 du Parlement européen et du Conseil en ce qui concerne la réattribution de tâches scientifiques et techniques et améliorant la coopération entre les agences de l’Union dans le domaine des produits chimiques(COM(2023)0783 – C9-0447/2023 – 2023/0455(COD))"/>
  </w:docVars>
  <w:rsids>
    <w:rsidRoot w:val="00470A49"/>
    <w:rsid w:val="00002272"/>
    <w:rsid w:val="00064002"/>
    <w:rsid w:val="000677B9"/>
    <w:rsid w:val="000831BA"/>
    <w:rsid w:val="000A42CC"/>
    <w:rsid w:val="000E7DD9"/>
    <w:rsid w:val="0010095E"/>
    <w:rsid w:val="00125B37"/>
    <w:rsid w:val="00187494"/>
    <w:rsid w:val="001F32AE"/>
    <w:rsid w:val="00235D54"/>
    <w:rsid w:val="002767FF"/>
    <w:rsid w:val="002B18FE"/>
    <w:rsid w:val="002B5493"/>
    <w:rsid w:val="00340E67"/>
    <w:rsid w:val="00343214"/>
    <w:rsid w:val="00361C00"/>
    <w:rsid w:val="00395FA1"/>
    <w:rsid w:val="003E15D4"/>
    <w:rsid w:val="00411CCE"/>
    <w:rsid w:val="0041666E"/>
    <w:rsid w:val="00421060"/>
    <w:rsid w:val="00470A49"/>
    <w:rsid w:val="00471C19"/>
    <w:rsid w:val="004867E3"/>
    <w:rsid w:val="00494A28"/>
    <w:rsid w:val="004B3323"/>
    <w:rsid w:val="004C0004"/>
    <w:rsid w:val="004C5D52"/>
    <w:rsid w:val="0050519A"/>
    <w:rsid w:val="005072A1"/>
    <w:rsid w:val="00514517"/>
    <w:rsid w:val="00545827"/>
    <w:rsid w:val="00560270"/>
    <w:rsid w:val="005C2568"/>
    <w:rsid w:val="005F1B17"/>
    <w:rsid w:val="006037C0"/>
    <w:rsid w:val="006631B6"/>
    <w:rsid w:val="00680577"/>
    <w:rsid w:val="006C4359"/>
    <w:rsid w:val="006F74FA"/>
    <w:rsid w:val="00731ADD"/>
    <w:rsid w:val="00734777"/>
    <w:rsid w:val="00747932"/>
    <w:rsid w:val="00751A4A"/>
    <w:rsid w:val="00756632"/>
    <w:rsid w:val="00762C74"/>
    <w:rsid w:val="00786EC0"/>
    <w:rsid w:val="007D1690"/>
    <w:rsid w:val="007E22AD"/>
    <w:rsid w:val="008063E1"/>
    <w:rsid w:val="00817416"/>
    <w:rsid w:val="00842779"/>
    <w:rsid w:val="00865F67"/>
    <w:rsid w:val="00881A7B"/>
    <w:rsid w:val="008840E5"/>
    <w:rsid w:val="00887B3E"/>
    <w:rsid w:val="008C2AC6"/>
    <w:rsid w:val="008E07B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4152"/>
    <w:rsid w:val="00D058B8"/>
    <w:rsid w:val="00D56C11"/>
    <w:rsid w:val="00D834A0"/>
    <w:rsid w:val="00D872DF"/>
    <w:rsid w:val="00D91E21"/>
    <w:rsid w:val="00DA7FCD"/>
    <w:rsid w:val="00DB30E7"/>
    <w:rsid w:val="00E365E1"/>
    <w:rsid w:val="00E820A4"/>
    <w:rsid w:val="00EB006A"/>
    <w:rsid w:val="00EB4772"/>
    <w:rsid w:val="00ED169E"/>
    <w:rsid w:val="00ED4235"/>
    <w:rsid w:val="00F04346"/>
    <w:rsid w:val="00F075DC"/>
    <w:rsid w:val="00F149E9"/>
    <w:rsid w:val="00F24AEF"/>
    <w:rsid w:val="00F5134D"/>
    <w:rsid w:val="00F72F4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B7E7DBD-28B1-4206-8733-FD47FB942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235D54"/>
    <w:pPr>
      <w:spacing w:after="120"/>
    </w:pPr>
  </w:style>
  <w:style w:type="paragraph" w:customStyle="1" w:styleId="NormalBold">
    <w:name w:val="NormalBold"/>
    <w:basedOn w:val="Normal"/>
    <w:link w:val="NormalBoldChar"/>
    <w:rsid w:val="00235D54"/>
    <w:rPr>
      <w:b/>
    </w:rPr>
  </w:style>
  <w:style w:type="paragraph" w:customStyle="1" w:styleId="NormalHanging12a">
    <w:name w:val="NormalHanging12a"/>
    <w:basedOn w:val="Normal"/>
    <w:rsid w:val="00235D54"/>
    <w:pPr>
      <w:spacing w:after="240"/>
      <w:ind w:left="567" w:hanging="567"/>
    </w:pPr>
  </w:style>
  <w:style w:type="paragraph" w:customStyle="1" w:styleId="AmColumnHeading">
    <w:name w:val="AmColumnHeading"/>
    <w:basedOn w:val="Normal"/>
    <w:rsid w:val="00235D54"/>
    <w:pPr>
      <w:spacing w:after="240"/>
      <w:jc w:val="center"/>
    </w:pPr>
    <w:rPr>
      <w:i/>
    </w:rPr>
  </w:style>
  <w:style w:type="paragraph" w:customStyle="1" w:styleId="AmNumberTabs">
    <w:name w:val="AmNumberTabs"/>
    <w:basedOn w:val="Normal"/>
    <w:rsid w:val="00235D5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235D54"/>
    <w:pPr>
      <w:spacing w:before="480" w:after="240"/>
    </w:pPr>
  </w:style>
  <w:style w:type="character" w:customStyle="1" w:styleId="NormalBoldChar">
    <w:name w:val="NormalBold Char"/>
    <w:basedOn w:val="DefaultParagraphFont"/>
    <w:link w:val="NormalBold"/>
    <w:locked/>
    <w:rsid w:val="00235D54"/>
    <w:rPr>
      <w:b/>
      <w:sz w:val="24"/>
      <w:lang w:val="fr-FR"/>
    </w:rPr>
  </w:style>
  <w:style w:type="character" w:customStyle="1" w:styleId="Normal6Char">
    <w:name w:val="Normal6 Char"/>
    <w:basedOn w:val="DefaultParagraphFont"/>
    <w:link w:val="Normal6"/>
    <w:locked/>
    <w:rsid w:val="00235D54"/>
    <w:rPr>
      <w:sz w:val="24"/>
      <w:lang w:val="fr-FR"/>
    </w:rPr>
  </w:style>
  <w:style w:type="paragraph" w:customStyle="1" w:styleId="Normal6">
    <w:name w:val="Normal6"/>
    <w:basedOn w:val="Normal"/>
    <w:link w:val="Normal6Char"/>
    <w:rsid w:val="00235D54"/>
    <w:pPr>
      <w:spacing w:after="120"/>
    </w:pPr>
  </w:style>
  <w:style w:type="paragraph" w:customStyle="1" w:styleId="ColumnHeading">
    <w:name w:val="ColumnHeading"/>
    <w:basedOn w:val="Normal"/>
    <w:rsid w:val="00235D54"/>
    <w:pPr>
      <w:spacing w:after="240"/>
      <w:jc w:val="center"/>
    </w:pPr>
    <w:rPr>
      <w:i/>
    </w:rPr>
  </w:style>
  <w:style w:type="paragraph" w:customStyle="1" w:styleId="Normal0">
    <w:name w:val="Normal0"/>
    <w:basedOn w:val="Normal"/>
    <w:rsid w:val="00235D54"/>
    <w:rPr>
      <w:sz w:val="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01D7A-9A77-4FA5-8005-6948274CD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3419</Words>
  <Characters>19811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2025-04-01T12:25:00Z</dcterms:created>
  <dcterms:modified xsi:type="dcterms:W3CDTF">2025-04-01T12:25:00Z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A10-0020/2025</vt:lpwstr>
  </property>
  <property fmtid="{D5CDD505-2E9C-101B-9397-08002B2CF9AE}" pid="4" name="&lt;Type&gt;">
    <vt:lpwstr>RR</vt:lpwstr>
  </property>
</Properties>
</file>