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180" w:rsidTr="0010095E">
        <w:trPr>
          <w:trHeight w:hRule="exact" w:val="1418"/>
        </w:trPr>
        <w:tc>
          <w:tcPr>
            <w:tcW w:w="6804" w:type="dxa"/>
            <w:shd w:val="clear" w:color="auto" w:fill="auto"/>
            <w:vAlign w:val="center"/>
          </w:tcPr>
          <w:p w:rsidR="00751A4A" w:rsidRPr="00A94180" w:rsidRDefault="00737451" w:rsidP="0010095E">
            <w:pPr>
              <w:pStyle w:val="EPName"/>
            </w:pPr>
            <w:r w:rsidRPr="00A94180">
              <w:t>Eiropas Parlaments</w:t>
            </w:r>
          </w:p>
          <w:p w:rsidR="00751A4A" w:rsidRPr="00A94180" w:rsidRDefault="005F1B17" w:rsidP="005F1B17">
            <w:pPr>
              <w:pStyle w:val="EPTerm"/>
              <w:rPr>
                <w:rStyle w:val="HideTWBExt"/>
                <w:noProof w:val="0"/>
                <w:vanish w:val="0"/>
                <w:color w:val="auto"/>
              </w:rPr>
            </w:pPr>
            <w:r w:rsidRPr="00A94180">
              <w:t>2024</w:t>
            </w:r>
            <w:r w:rsidR="00817416" w:rsidRPr="00A94180">
              <w:t>-202</w:t>
            </w:r>
            <w:r w:rsidRPr="00A94180">
              <w:t>9</w:t>
            </w:r>
          </w:p>
        </w:tc>
        <w:tc>
          <w:tcPr>
            <w:tcW w:w="2268" w:type="dxa"/>
            <w:shd w:val="clear" w:color="auto" w:fill="auto"/>
          </w:tcPr>
          <w:p w:rsidR="00751A4A" w:rsidRPr="00A94180" w:rsidRDefault="00187494" w:rsidP="0010095E">
            <w:pPr>
              <w:pStyle w:val="EPLogo"/>
            </w:pPr>
            <w:r w:rsidRPr="00A941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4180" w:rsidRDefault="00D058B8" w:rsidP="004C5D52">
      <w:pPr>
        <w:pStyle w:val="LineTop"/>
      </w:pPr>
    </w:p>
    <w:p w:rsidR="00680577" w:rsidRPr="00A94180" w:rsidRDefault="00737451" w:rsidP="00680577">
      <w:pPr>
        <w:pStyle w:val="EPBodyTA1"/>
      </w:pPr>
      <w:r w:rsidRPr="00A94180">
        <w:t>PIEŅEMTIE TEKSTI</w:t>
      </w:r>
    </w:p>
    <w:p w:rsidR="00D058B8" w:rsidRPr="00A94180" w:rsidRDefault="00D058B8" w:rsidP="00D058B8">
      <w:pPr>
        <w:pStyle w:val="LineBottom"/>
      </w:pPr>
    </w:p>
    <w:p w:rsidR="00737451" w:rsidRPr="00A94180" w:rsidRDefault="00737451" w:rsidP="00737451">
      <w:pPr>
        <w:pStyle w:val="ATHeading1"/>
      </w:pPr>
      <w:bookmarkStart w:id="0" w:name="TANumber"/>
      <w:r w:rsidRPr="00A94180">
        <w:t>P10_TA(2025)0</w:t>
      </w:r>
      <w:r w:rsidR="00FA0105" w:rsidRPr="00A94180">
        <w:t>047</w:t>
      </w:r>
      <w:bookmarkStart w:id="1" w:name="_GoBack"/>
      <w:bookmarkEnd w:id="0"/>
      <w:bookmarkEnd w:id="1"/>
    </w:p>
    <w:p w:rsidR="00737451" w:rsidRPr="00A94180" w:rsidRDefault="00727C02" w:rsidP="00727C02">
      <w:pPr>
        <w:pStyle w:val="ATHeading2"/>
      </w:pPr>
      <w:bookmarkStart w:id="2" w:name="title"/>
      <w:r w:rsidRPr="00A94180">
        <w:t>Zinātnisko un tehnisko uzdevumu pārdalīšana un Savienības aģentūru sadarbības uzlabošana ķimikāliju jomā</w:t>
      </w:r>
      <w:bookmarkEnd w:id="2"/>
    </w:p>
    <w:p w:rsidR="00737451" w:rsidRPr="00A94180" w:rsidRDefault="00737451" w:rsidP="00737451">
      <w:pPr>
        <w:rPr>
          <w:i/>
          <w:vanish/>
        </w:rPr>
      </w:pPr>
      <w:r w:rsidRPr="00A94180">
        <w:rPr>
          <w:i/>
        </w:rPr>
        <w:fldChar w:fldCharType="begin"/>
      </w:r>
      <w:r w:rsidRPr="00A94180">
        <w:rPr>
          <w:i/>
        </w:rPr>
        <w:instrText xml:space="preserve"> TC"(</w:instrText>
      </w:r>
      <w:bookmarkStart w:id="3" w:name="DocNumber"/>
      <w:r w:rsidRPr="00A94180">
        <w:rPr>
          <w:i/>
        </w:rPr>
        <w:instrText>A10-0020/2025</w:instrText>
      </w:r>
      <w:bookmarkEnd w:id="3"/>
      <w:r w:rsidRPr="00A94180">
        <w:rPr>
          <w:i/>
        </w:rPr>
        <w:instrText xml:space="preserve"> - Referents: Dimitris Tsiodras)"\l3 \n&gt; \* MERGEFORMAT </w:instrText>
      </w:r>
      <w:r w:rsidRPr="00A94180">
        <w:rPr>
          <w:i/>
        </w:rPr>
        <w:fldChar w:fldCharType="end"/>
      </w:r>
    </w:p>
    <w:p w:rsidR="00737451" w:rsidRPr="00A94180" w:rsidRDefault="00737451" w:rsidP="00737451">
      <w:pPr>
        <w:rPr>
          <w:vanish/>
        </w:rPr>
      </w:pPr>
      <w:bookmarkStart w:id="4" w:name="Commission"/>
      <w:r w:rsidRPr="00A94180">
        <w:rPr>
          <w:vanish/>
        </w:rPr>
        <w:t>Vides, sabiedrības veselības un pārtikas nekaitīguma komiteja</w:t>
      </w:r>
      <w:bookmarkEnd w:id="4"/>
    </w:p>
    <w:p w:rsidR="00737451" w:rsidRPr="00A94180" w:rsidRDefault="00737451" w:rsidP="00737451">
      <w:pPr>
        <w:rPr>
          <w:vanish/>
        </w:rPr>
      </w:pPr>
      <w:bookmarkStart w:id="5" w:name="PE"/>
      <w:r w:rsidRPr="00A94180">
        <w:rPr>
          <w:vanish/>
        </w:rPr>
        <w:t>PE763.253</w:t>
      </w:r>
      <w:bookmarkEnd w:id="5"/>
    </w:p>
    <w:p w:rsidR="00737451" w:rsidRPr="00A94180" w:rsidRDefault="00737451" w:rsidP="00737451">
      <w:pPr>
        <w:pStyle w:val="ATHeading3"/>
      </w:pPr>
      <w:bookmarkStart w:id="6" w:name="Sujet"/>
      <w:r w:rsidRPr="00A94180">
        <w:t xml:space="preserve">Eiropas Parlamenta 2025. gada </w:t>
      </w:r>
      <w:r w:rsidR="00410C30" w:rsidRPr="00A94180">
        <w:t>1. aprī</w:t>
      </w:r>
      <w:r w:rsidR="00241E3A" w:rsidRPr="00A94180">
        <w:t>lī</w:t>
      </w:r>
      <w:r w:rsidRPr="00A94180">
        <w:t xml:space="preserve"> </w:t>
      </w:r>
      <w:r w:rsidR="00241E3A" w:rsidRPr="00A94180">
        <w:t xml:space="preserve">pieņemtie grozījumi priekšlikumā </w:t>
      </w:r>
      <w:r w:rsidRPr="00A94180">
        <w:t>Eiropas Parlamenta un Padomes regulai, ar ko attiecībā uz zinātnisko un tehnisko uzdevumu pārdalīšanu un Savienības aģentūru sadarbības uzlabošanu ķimikāliju jomā groza Eiropas Parlamenta un Padomes Regulu (EK) Nr. 178/2002, Regulu (EK) Nr. 401/2009, Regulu (ES) 2017/745 un Regulu (ES) 2019/1021;</w:t>
      </w:r>
      <w:bookmarkEnd w:id="6"/>
      <w:r w:rsidRPr="00A94180">
        <w:t xml:space="preserve"> </w:t>
      </w:r>
      <w:bookmarkStart w:id="7" w:name="References"/>
      <w:r w:rsidRPr="00A94180">
        <w:t>(COM(2023)0783 – C9-0447/2023 – 2023/0455(COD))</w:t>
      </w:r>
      <w:bookmarkEnd w:id="7"/>
      <w:r w:rsidR="00241E3A" w:rsidRPr="00A94180">
        <w:rPr>
          <w:rStyle w:val="FootnoteReference"/>
        </w:rPr>
        <w:footnoteReference w:id="1"/>
      </w:r>
    </w:p>
    <w:p w:rsidR="001006F6" w:rsidRPr="00A94180" w:rsidRDefault="001006F6" w:rsidP="001006F6">
      <w:pPr>
        <w:pStyle w:val="NormalBold"/>
      </w:pPr>
      <w:r w:rsidRPr="00A94180">
        <w:t>(Parastā likumdošanas procedūra: pirmais lasījums)</w:t>
      </w:r>
    </w:p>
    <w:p w:rsidR="001006F6" w:rsidRPr="00A94180" w:rsidRDefault="001006F6" w:rsidP="001006F6">
      <w:pPr>
        <w:pStyle w:val="AmNumberTabs"/>
      </w:pPr>
      <w:r w:rsidRPr="00A94180">
        <w:t>Grozījums Nr.</w:t>
      </w:r>
      <w:r w:rsidRPr="00A94180">
        <w:tab/>
      </w:r>
      <w:r w:rsidRPr="00A94180">
        <w:tab/>
        <w:t>1</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(8)</w:t>
            </w:r>
            <w:r w:rsidRPr="00A94180">
              <w:tab/>
              <w:t xml:space="preserve">Attiecīgi šīs regulas mērķis ir novērst iespējamās atšķirības starp Eiropas Pārtikas nekaitīguma iestādes un citu Savienības aģentūru zinātniskajiem atzinumiem. Eiropas Parlamenta un Padomes Regulā (EK) Nr. 178/2002 jau ir iekļauti noteikumi, kas nosaka atšķirīgu zinātnisko atzinumu problēmas risināšanas procedūru. Minētās risināšanas procedūras būtu jāstiprina tādā nozīmē, ka Eiropas Pārtikas nekaitīguma iestādei un attiecīgajai citai aģentūrai, kura sagatavojusi atšķirīgu atzinumu, būtu jāpieliek visas pūles, lai nokārtotu viedokļu atšķirības vispārīgos zinātniskos jautājumos, </w:t>
            </w:r>
            <w:r w:rsidRPr="00A94180">
              <w:rPr>
                <w:b/>
                <w:i/>
              </w:rPr>
              <w:t>un</w:t>
            </w:r>
            <w:r w:rsidRPr="00A94180">
              <w:t xml:space="preserve"> tikai tad, ja tās šīs atšķirības novērst nespēj, tām būtu jāvēršas pie riska pārvaldītājiem.</w:t>
            </w:r>
          </w:p>
        </w:tc>
        <w:tc>
          <w:tcPr>
            <w:tcW w:w="4876" w:type="dxa"/>
            <w:hideMark/>
          </w:tcPr>
          <w:p w:rsidR="001006F6" w:rsidRPr="00A94180" w:rsidRDefault="001006F6" w:rsidP="00522E5A">
            <w:pPr>
              <w:pStyle w:val="Normal6"/>
              <w:rPr>
                <w:szCs w:val="24"/>
              </w:rPr>
            </w:pPr>
            <w:r w:rsidRPr="00A94180">
              <w:t>(8)</w:t>
            </w:r>
            <w:r w:rsidRPr="00A94180">
              <w:tab/>
              <w:t>Attiecīgi šīs regulas mērķis ir novērst iespējamās atšķirības starp Eiropas Pārtikas nekaitīguma iestādes un citu Savienības aģentūru zinātniskajiem atzinumiem. Eiropas Parlamenta un Padomes Regulā (EK) Nr. 178/2002 jau ir iekļauti noteikumi, kas nosaka atšķirīgu zinātnisko atzinumu problēmas risināšanas procedūru. Minētās risināšanas procedūras būtu jāstiprina tādā nozīmē, ka Eiropas Pārtikas nekaitīguma iestādei un attiecīgajai citai aģentūrai, kura sagatavojusi atšķirīgu atzinumu, būtu jāpieliek visas pūles, lai nokārtotu viedokļu atšķirības vispārīgos zinātniskos jautājumos</w:t>
            </w:r>
            <w:r w:rsidRPr="00A94180">
              <w:rPr>
                <w:b/>
                <w:i/>
              </w:rPr>
              <w:t xml:space="preserve">. Atšķirības novērtēšanas metodoloģijās, kuru rezultātā rodas atšķirīgi atzinumi, jo īpaši attiecībā uz </w:t>
            </w:r>
            <w:r w:rsidRPr="00A94180">
              <w:rPr>
                <w:b/>
                <w:i/>
              </w:rPr>
              <w:lastRenderedPageBreak/>
              <w:t>neaizsargāto grupu aizsardzību, būtu pienācīgi jāpamato. Šādos gadījumos prioritāte būtu jāpiešķir visaizsargājošākajam atzinumam, lai aizsargātu neaizsargātas grupas.</w:t>
            </w:r>
            <w:r w:rsidRPr="00A94180">
              <w:t xml:space="preserve"> Tikai tad, ja tās šīs atšķirības novērst nespēj, tām būtu jāvēršas pie riska pārvaldītājiem.</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2</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(9)</w:t>
            </w:r>
            <w:r w:rsidRPr="00A94180">
              <w:tab/>
              <w:t xml:space="preserve">Konkrētāk, ja pastāv zinātniskā viedokļa atšķirības attiecībā uz ķimikāliju bīstamības identifikāciju, būtu jāizstrādā jauna procedūra, kas dotu iespēju radušās atšķirības nokārtot. Šai procedūrai būtu Komisijai jādod iespēja lūgt, lai Eiropas Ķimikāliju aģentūra kā Savienības </w:t>
            </w:r>
            <w:r w:rsidRPr="00A94180">
              <w:rPr>
                <w:b/>
                <w:i/>
              </w:rPr>
              <w:t>aģentūrai</w:t>
            </w:r>
            <w:r w:rsidRPr="00A94180">
              <w:t>, kurai piemīt vislielākā lietpratība un spējas bīstamības novērtēšanas jomā, kā arī ilggadēja saskaņotās klasificēšanas un marķēšanas pieredze, izstrādā saskaņotas klasificēšanas un marķēšanas priekšlikumu saskaņā ar Eiropas Parlamenta un Padomes Regulu (EK) Nr. 1272/2008, tādējādi attiecībā uz ķimikāliju bīstamības novērtējumu saskaņotību visā Savienībā tuvojoties redzējumam “viena viela — viens novērtējums”. Šī iespēja būtu jāatspoguļo attiecīgajā noteikumā, kas paredz atšķirīgu zinātnisko atzinumu problēmas atrisināšanu, kā noteikts Regulā (EK) Nr. 178/2002.</w:t>
            </w:r>
          </w:p>
        </w:tc>
        <w:tc>
          <w:tcPr>
            <w:tcW w:w="4876" w:type="dxa"/>
            <w:hideMark/>
          </w:tcPr>
          <w:p w:rsidR="001006F6" w:rsidRPr="00A94180" w:rsidRDefault="001006F6" w:rsidP="00522E5A">
            <w:pPr>
              <w:pStyle w:val="Normal6"/>
              <w:rPr>
                <w:szCs w:val="24"/>
              </w:rPr>
            </w:pPr>
            <w:r w:rsidRPr="00A94180">
              <w:t>(9)</w:t>
            </w:r>
            <w:r w:rsidRPr="00A94180">
              <w:tab/>
              <w:t xml:space="preserve">Konkrētāk, ja pastāv zinātniskā viedokļa atšķirības attiecībā uz ķimikāliju bīstamības identifikāciju, būtu jāizstrādā jauna procedūra, kas dotu iespēju radušās atšķirības nokārtot. Šai procedūrai būtu Komisijai jādod iespēja lūgt, lai Eiropas Ķimikāliju aģentūra kā Savienības </w:t>
            </w:r>
            <w:r w:rsidRPr="00A94180">
              <w:rPr>
                <w:b/>
                <w:i/>
              </w:rPr>
              <w:t>aģentūra</w:t>
            </w:r>
            <w:r w:rsidRPr="00A94180">
              <w:t>, kurai piemīt vislielākā lietpratība un spējas bīstamības novērtēšanas jomā, kā arī ilggadēja saskaņotās klasificēšanas un marķēšanas pieredze, izstrādā saskaņotas klasificēšanas un marķēšanas priekšlikumu saskaņā ar Eiropas Parlamenta un Padomes Regulu (EK) Nr. 1272/2008, tādējādi attiecībā uz ķimikāliju bīstamības novērtējumu saskaņotību visā Savienībā tuvojoties redzējumam “viena viela — viens novērtējums”</w:t>
            </w:r>
            <w:r w:rsidRPr="00A94180">
              <w:rPr>
                <w:b/>
                <w:i/>
              </w:rPr>
              <w:t xml:space="preserve"> un uzlabojot veselības un vides aizsardzību</w:t>
            </w:r>
            <w:r w:rsidRPr="00A94180">
              <w:t>. Šī iespēja būtu jāatspoguļo attiecīgajā noteikumā, kas paredz atšķirīgu zinātnisko atzinumu problēmas atrisināšanu, kā noteikts Regulā (EK) Nr. 178/2002.</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3</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14.a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tcPr>
          <w:p w:rsidR="001006F6" w:rsidRPr="00A94180" w:rsidRDefault="001006F6" w:rsidP="00522E5A">
            <w:pPr>
              <w:pStyle w:val="Normal6"/>
            </w:pPr>
          </w:p>
        </w:tc>
        <w:tc>
          <w:tcPr>
            <w:tcW w:w="4876" w:type="dxa"/>
            <w:hideMark/>
          </w:tcPr>
          <w:p w:rsidR="001006F6" w:rsidRPr="00A94180" w:rsidRDefault="001006F6" w:rsidP="00522E5A">
            <w:pPr>
              <w:pStyle w:val="Normal6"/>
              <w:rPr>
                <w:szCs w:val="24"/>
              </w:rPr>
            </w:pPr>
            <w:r w:rsidRPr="00A94180">
              <w:rPr>
                <w:b/>
                <w:i/>
              </w:rPr>
              <w:t>(14a)</w:t>
            </w:r>
            <w:r w:rsidRPr="00A94180">
              <w:rPr>
                <w:b/>
                <w:i/>
              </w:rPr>
              <w:tab/>
              <w:t xml:space="preserve">Ar šo regulu paplašina Eiropas Ķimikāliju aģentūras zinātnisko komiteju </w:t>
            </w:r>
            <w:r w:rsidRPr="00A94180">
              <w:rPr>
                <w:b/>
                <w:i/>
              </w:rPr>
              <w:lastRenderedPageBreak/>
              <w:t>uzdevumus, darba slodzi un kompetenci. Lai nodrošinātu atbilstīgas speciālās zināšanas, atbalstu un rūpīgus zinātniskus novērtējumus, zinātniskajām komitejām būtu jānodrošina atbilstoši un stabili resursi, spējas un pārvaldība. Šajā sakarā Eiropas Komisijai būtu regulāri jāuzrauga no šīs regulas izrietošās Eiropas Ķimikāliju aģentūras vajadzības un jānodrošina Aģentūrai pietiekami un stabili resursi.</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4</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1. pants – 1. daļa – 2. punkts</w:t>
      </w:r>
    </w:p>
    <w:p w:rsidR="001006F6" w:rsidRPr="00A94180" w:rsidRDefault="001006F6" w:rsidP="001006F6">
      <w:pPr>
        <w:keepNext/>
      </w:pPr>
      <w:r w:rsidRPr="00A94180">
        <w:t>Regula (EK) Nr. 178/2002</w:t>
      </w:r>
    </w:p>
    <w:p w:rsidR="001006F6" w:rsidRPr="00A94180" w:rsidRDefault="001006F6" w:rsidP="001006F6">
      <w:r w:rsidRPr="00A94180">
        <w:t>30.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Ja Iestāde identificē kādu potenciālu atšķirības avotu, tā sazinās ar attiecīgo struktūru, lai pārliecinātos, ka ir kopīgota visa relevantā zinātniskā un tehniskā informācija, un lai apzinātu potenciāli strīdīgos zinātniskos vai tehniskos jautājumus.</w:t>
            </w:r>
          </w:p>
        </w:tc>
        <w:tc>
          <w:tcPr>
            <w:tcW w:w="4876" w:type="dxa"/>
            <w:hideMark/>
          </w:tcPr>
          <w:p w:rsidR="001006F6" w:rsidRPr="00A94180" w:rsidRDefault="001006F6" w:rsidP="00522E5A">
            <w:pPr>
              <w:pStyle w:val="Normal6"/>
              <w:rPr>
                <w:szCs w:val="24"/>
              </w:rPr>
            </w:pPr>
            <w:r w:rsidRPr="00A94180">
              <w:t xml:space="preserve">Ja Iestāde identificē kādu potenciālu atšķirības avotu, tā sazinās ar attiecīgo struktūru, lai pārliecinātos, ka ir kopīgota visa relevantā zinātniskā un tehniskā informācija, un lai apzinātu potenciāli strīdīgos zinātniskos vai tehniskos jautājumus. </w:t>
            </w:r>
            <w:r w:rsidRPr="00A94180">
              <w:rPr>
                <w:b/>
                <w:i/>
              </w:rPr>
              <w:t>Atšķirības novērtēšanas metodikās, kuru rezultātā rodas atšķirīgi atzinumi, ir pienācīgi jāpamato, jo īpaši attiecībā uz neaizsargāto grupu aizsardzību.</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5</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1. pants – 1. daļa – 2. punkts</w:t>
      </w:r>
    </w:p>
    <w:p w:rsidR="001006F6" w:rsidRPr="00A94180" w:rsidRDefault="001006F6" w:rsidP="001006F6">
      <w:pPr>
        <w:keepNext/>
      </w:pPr>
      <w:r w:rsidRPr="00A94180">
        <w:t>Regula (EK) Nr. 178/2002</w:t>
      </w:r>
    </w:p>
    <w:p w:rsidR="001006F6" w:rsidRPr="00A94180" w:rsidRDefault="001006F6" w:rsidP="001006F6">
      <w:r w:rsidRPr="00A94180">
        <w:t>30. pants – 2.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 xml:space="preserve">Iestāde un attiecīgā struktūra sadarbojas, lai atšķirību novērstu. Ja Iestāde un attiecīgā struktūra atšķirību novērst nespēj, tās sagatavo kopīgu ziņojumu. Ziņojumā skaidri izklāsta strīdīgos zinātniskos jautājumus un norāda </w:t>
            </w:r>
            <w:proofErr w:type="spellStart"/>
            <w:r w:rsidRPr="00A94180">
              <w:t>relevantās</w:t>
            </w:r>
            <w:proofErr w:type="spellEnd"/>
            <w:r w:rsidRPr="00A94180">
              <w:t xml:space="preserve"> datu </w:t>
            </w:r>
            <w:r w:rsidRPr="00A94180">
              <w:lastRenderedPageBreak/>
              <w:t>nenoteiktības, un to dara publiski pieejamu.</w:t>
            </w:r>
          </w:p>
        </w:tc>
        <w:tc>
          <w:tcPr>
            <w:tcW w:w="4876" w:type="dxa"/>
            <w:hideMark/>
          </w:tcPr>
          <w:p w:rsidR="001006F6" w:rsidRPr="00A94180" w:rsidRDefault="001006F6" w:rsidP="00522E5A">
            <w:pPr>
              <w:pStyle w:val="Normal6"/>
              <w:rPr>
                <w:szCs w:val="24"/>
              </w:rPr>
            </w:pPr>
            <w:r w:rsidRPr="00A94180">
              <w:lastRenderedPageBreak/>
              <w:t>Iestāde un attiecīgā struktūra sadarbojas, lai atšķirību novērstu</w:t>
            </w:r>
            <w:r w:rsidRPr="00A94180">
              <w:rPr>
                <w:b/>
                <w:i/>
              </w:rPr>
              <w:t xml:space="preserve">, ievērojot mērķi nodrošināt visaugstāko veselības un vides aizsardzības līmeni. Prioritāti piešķir tam atzinumam, kas paredz visaugstāko aizsardzības līmeni, lai aizsargātu </w:t>
            </w:r>
            <w:r w:rsidRPr="00A94180">
              <w:rPr>
                <w:b/>
                <w:i/>
              </w:rPr>
              <w:lastRenderedPageBreak/>
              <w:t>visneaizsargātākās grupas</w:t>
            </w:r>
            <w:r w:rsidRPr="00A94180">
              <w:t xml:space="preserve">. Ja Iestāde un attiecīgā struktūra atšķirību novērst nespēj, tās sagatavo kopīgu ziņojumu. Ziņojumā skaidri izklāsta strīdīgos zinātniskos jautājumus un norāda </w:t>
            </w:r>
            <w:proofErr w:type="spellStart"/>
            <w:r w:rsidRPr="00A94180">
              <w:t>relevantās</w:t>
            </w:r>
            <w:proofErr w:type="spellEnd"/>
            <w:r w:rsidRPr="00A94180">
              <w:t xml:space="preserve"> datu nenoteiktības</w:t>
            </w:r>
            <w:r w:rsidRPr="00A94180">
              <w:rPr>
                <w:b/>
                <w:i/>
              </w:rPr>
              <w:t xml:space="preserve"> un iespējamos atšķirīgo atzinumu cēloņus, tostarp saistībā ar metodikas atšķirībām</w:t>
            </w:r>
            <w:r w:rsidRPr="00A94180">
              <w:t>, un to dara publiski pieejamu.</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6</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1. pants – 1. daļa – 2. punkts</w:t>
      </w:r>
    </w:p>
    <w:p w:rsidR="001006F6" w:rsidRPr="00A94180" w:rsidRDefault="001006F6" w:rsidP="001006F6">
      <w:pPr>
        <w:keepNext/>
      </w:pPr>
      <w:r w:rsidRPr="00A94180">
        <w:t>Regula (EK) Nr. 178/2002</w:t>
      </w:r>
    </w:p>
    <w:p w:rsidR="001006F6" w:rsidRPr="00A94180" w:rsidRDefault="001006F6" w:rsidP="001006F6">
      <w:r w:rsidRPr="00A94180">
        <w:t>30.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tcPr>
          <w:p w:rsidR="001006F6" w:rsidRPr="00A94180" w:rsidRDefault="001006F6" w:rsidP="00522E5A">
            <w:pPr>
              <w:pStyle w:val="Normal6"/>
            </w:pPr>
          </w:p>
        </w:tc>
        <w:tc>
          <w:tcPr>
            <w:tcW w:w="4876" w:type="dxa"/>
            <w:hideMark/>
          </w:tcPr>
          <w:p w:rsidR="001006F6" w:rsidRPr="00A94180" w:rsidRDefault="001006F6" w:rsidP="00522E5A">
            <w:pPr>
              <w:pStyle w:val="Normal6"/>
              <w:rPr>
                <w:szCs w:val="24"/>
              </w:rPr>
            </w:pPr>
            <w:r w:rsidRPr="00A94180">
              <w:rPr>
                <w:b/>
                <w:i/>
              </w:rPr>
              <w:t>3.a</w:t>
            </w:r>
            <w:r w:rsidRPr="00A94180">
              <w:rPr>
                <w:b/>
                <w:i/>
              </w:rPr>
              <w:tab/>
              <w:t>Ja ir identificēta ievērojama atšķirība attiecībā uz zinātniskiem jautājumiem un attiecīgā struktūra ir kādas dalībvalsts struktūra, tad Iestādei un attiecīgajai valsts struktūrai jāsadarbojas, lai vai nu atrisinātu atšķirības, vai sagatavotu kopīgu dokumentu, kurā izskaidrotu strīdīgos zinātniskos jautājumus un identificētu attiecīgās neprecizitātes datos. Šo dokumentu dara publiski pieejamu.</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7</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1. pants – 1. daļa – 2. punkts</w:t>
      </w:r>
    </w:p>
    <w:p w:rsidR="001006F6" w:rsidRPr="00A94180" w:rsidRDefault="001006F6" w:rsidP="001006F6">
      <w:pPr>
        <w:keepNext/>
      </w:pPr>
      <w:r w:rsidRPr="00A94180">
        <w:t>Regula (EK) Nr. 178/2002</w:t>
      </w:r>
    </w:p>
    <w:p w:rsidR="001006F6" w:rsidRPr="00A94180" w:rsidRDefault="001006F6" w:rsidP="001006F6">
      <w:r w:rsidRPr="00A94180">
        <w:t>3. pants – 3.b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tcPr>
          <w:p w:rsidR="001006F6" w:rsidRPr="00A94180" w:rsidRDefault="001006F6" w:rsidP="00522E5A">
            <w:pPr>
              <w:pStyle w:val="Normal6"/>
            </w:pPr>
          </w:p>
        </w:tc>
        <w:tc>
          <w:tcPr>
            <w:tcW w:w="4876" w:type="dxa"/>
            <w:hideMark/>
          </w:tcPr>
          <w:p w:rsidR="001006F6" w:rsidRPr="00A94180" w:rsidRDefault="001006F6" w:rsidP="00522E5A">
            <w:pPr>
              <w:pStyle w:val="Normal6"/>
              <w:rPr>
                <w:szCs w:val="24"/>
              </w:rPr>
            </w:pPr>
            <w:r w:rsidRPr="00A94180">
              <w:rPr>
                <w:b/>
                <w:i/>
              </w:rPr>
              <w:t>3.b</w:t>
            </w:r>
            <w:r w:rsidRPr="00A94180">
              <w:rPr>
                <w:b/>
                <w:i/>
              </w:rPr>
              <w:tab/>
              <w:t xml:space="preserve">Gadījumos, kad tiek konstatēta atšķirība un Iestāde pieprasa papildu informāciju no citas Savienības vai dalībvalsts struktūras, laikposmu, kurā attiecīgajām iestādēm ir jāpieņem savs attiecīgais rezultāts vai šā panta 2. punktā minētais kopīgais ziņojums, var pagarināt. Pēc apspriešanās ar attiecīgo </w:t>
            </w:r>
            <w:r w:rsidRPr="00A94180">
              <w:rPr>
                <w:b/>
                <w:i/>
              </w:rPr>
              <w:lastRenderedPageBreak/>
              <w:t>struktūru Iestāde nosaka laikposmu, kurā šo informāciju ir jāsniedz, un informē Komisiju par vajadzīgo papildu laikposmu. Komisija informē attiecīgos uzņēmējus un dalībvalstis par pagarinājumu.</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8</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3. pants – 1. daļa – 1. punkts</w:t>
      </w:r>
    </w:p>
    <w:p w:rsidR="001006F6" w:rsidRPr="00A94180" w:rsidRDefault="001006F6" w:rsidP="001006F6">
      <w:pPr>
        <w:keepNext/>
      </w:pPr>
      <w:r w:rsidRPr="00A94180">
        <w:t>Regula (ES) 2017/745</w:t>
      </w:r>
    </w:p>
    <w:p w:rsidR="001006F6" w:rsidRPr="00A94180" w:rsidRDefault="001006F6" w:rsidP="001006F6">
      <w:r w:rsidRPr="00A94180">
        <w:t>I pielikums – 10.4.1.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b)</w:t>
            </w:r>
            <w:r w:rsidRPr="00A94180">
              <w:tab/>
              <w:t xml:space="preserve">1. kategorijas vielas, kas ir </w:t>
            </w:r>
            <w:r w:rsidRPr="00A94180">
              <w:rPr>
                <w:b/>
                <w:i/>
              </w:rPr>
              <w:t>identificētas</w:t>
            </w:r>
            <w:r w:rsidRPr="00A94180">
              <w:t xml:space="preserve"> kā cilvēka veselības endokrīnie </w:t>
            </w:r>
            <w:proofErr w:type="spellStart"/>
            <w:r w:rsidRPr="00A94180">
              <w:t>disruptori</w:t>
            </w:r>
            <w:proofErr w:type="spellEnd"/>
            <w:r w:rsidRPr="00A94180">
              <w:t xml:space="preserve"> saskaņā ar Eiropas Parlamenta un Padomes Regulas (EK) Nr. 1272/2008 VI pielikuma 3. daļu, un vielas, kam piemīt endokrīni </w:t>
            </w:r>
            <w:proofErr w:type="spellStart"/>
            <w:r w:rsidRPr="00A94180">
              <w:t>disruptīvas</w:t>
            </w:r>
            <w:proofErr w:type="spellEnd"/>
            <w:r w:rsidRPr="00A94180">
              <w:t xml:space="preserve"> īpašības, kuru gadījumā ir zinātniski pierādījumi par varbūtīgu nopietnu ietekmi uz cilvēka veselību, un kas ir identificētas saskaņā ar Eiropas Parlamenta un Padomes Regulas (EK) Nr. 1907/2006 59. pantā izklāstīto procedūru, vai vielas, kam piemīt cilvēka veselībai </w:t>
            </w:r>
            <w:proofErr w:type="spellStart"/>
            <w:r w:rsidRPr="00A94180">
              <w:t>relevantas</w:t>
            </w:r>
            <w:proofErr w:type="spellEnd"/>
            <w:r w:rsidRPr="00A94180">
              <w:t xml:space="preserve"> endokrīni </w:t>
            </w:r>
            <w:proofErr w:type="spellStart"/>
            <w:r w:rsidRPr="00A94180">
              <w:t>disruptīvas</w:t>
            </w:r>
            <w:proofErr w:type="spellEnd"/>
            <w:r w:rsidRPr="00A94180">
              <w:t xml:space="preserve"> īpašības un kas ir identificētas saskaņā ar Regulu (ES) Nr. 528/2012.</w:t>
            </w:r>
          </w:p>
        </w:tc>
        <w:tc>
          <w:tcPr>
            <w:tcW w:w="4876" w:type="dxa"/>
            <w:hideMark/>
          </w:tcPr>
          <w:p w:rsidR="001006F6" w:rsidRPr="00A94180" w:rsidRDefault="001006F6" w:rsidP="00522E5A">
            <w:pPr>
              <w:pStyle w:val="Normal6"/>
              <w:rPr>
                <w:szCs w:val="24"/>
              </w:rPr>
            </w:pPr>
            <w:r w:rsidRPr="00A94180">
              <w:t>b)</w:t>
            </w:r>
            <w:r w:rsidRPr="00A94180">
              <w:tab/>
              <w:t xml:space="preserve">1. kategorijas vielas, kas ir </w:t>
            </w:r>
            <w:r w:rsidRPr="00A94180">
              <w:rPr>
                <w:b/>
                <w:i/>
              </w:rPr>
              <w:t>klasificētas</w:t>
            </w:r>
            <w:r w:rsidRPr="00A94180">
              <w:t xml:space="preserve"> kā cilvēka veselības endokrīnie </w:t>
            </w:r>
            <w:proofErr w:type="spellStart"/>
            <w:r w:rsidRPr="00A94180">
              <w:t>disruptori</w:t>
            </w:r>
            <w:proofErr w:type="spellEnd"/>
            <w:r w:rsidRPr="00A94180">
              <w:t xml:space="preserve"> saskaņā ar Eiropas Parlamenta un Padomes Regulas (EK) Nr. 1272/2008 VI pielikuma 3. daļu, un vielas, kam piemīt endokrīni </w:t>
            </w:r>
            <w:proofErr w:type="spellStart"/>
            <w:r w:rsidRPr="00A94180">
              <w:t>disruptīvas</w:t>
            </w:r>
            <w:proofErr w:type="spellEnd"/>
            <w:r w:rsidRPr="00A94180">
              <w:t xml:space="preserve"> īpašības, kuru gadījumā ir zinātniski pierādījumi par varbūtīgu nopietnu ietekmi uz cilvēka veselību, un kas ir identificētas saskaņā ar Eiropas Parlamenta un Padomes Regulas (EK) Nr. 1907/2006 59. pantā izklāstīto procedūru, vai vielas, kam piemīt cilvēka veselībai </w:t>
            </w:r>
            <w:proofErr w:type="spellStart"/>
            <w:r w:rsidRPr="00A94180">
              <w:t>relevantas</w:t>
            </w:r>
            <w:proofErr w:type="spellEnd"/>
            <w:r w:rsidRPr="00A94180">
              <w:t xml:space="preserve"> endokrīni </w:t>
            </w:r>
            <w:proofErr w:type="spellStart"/>
            <w:r w:rsidRPr="00A94180">
              <w:t>disruptīvas</w:t>
            </w:r>
            <w:proofErr w:type="spellEnd"/>
            <w:r w:rsidRPr="00A94180">
              <w:t xml:space="preserve"> īpašības un kas ir identificētas saskaņā ar Regulu (ES) Nr. 528/2012.</w:t>
            </w:r>
          </w:p>
        </w:tc>
      </w:tr>
      <w:tr w:rsidR="00410C30" w:rsidRPr="00A94180" w:rsidTr="00522E5A">
        <w:trPr>
          <w:jc w:val="center"/>
        </w:trPr>
        <w:tc>
          <w:tcPr>
            <w:tcW w:w="4876" w:type="dxa"/>
            <w:hideMark/>
          </w:tcPr>
          <w:p w:rsidR="001006F6" w:rsidRPr="00A94180" w:rsidRDefault="001006F6" w:rsidP="00522E5A">
            <w:pPr>
              <w:pStyle w:val="Normal6"/>
            </w:pPr>
            <w:r w:rsidRPr="00A94180">
              <w:t>__________________</w:t>
            </w:r>
          </w:p>
        </w:tc>
        <w:tc>
          <w:tcPr>
            <w:tcW w:w="4876" w:type="dxa"/>
            <w:hideMark/>
          </w:tcPr>
          <w:p w:rsidR="001006F6" w:rsidRPr="00A94180" w:rsidRDefault="001006F6" w:rsidP="00522E5A">
            <w:pPr>
              <w:pStyle w:val="Normal6"/>
              <w:rPr>
                <w:szCs w:val="24"/>
              </w:rPr>
            </w:pPr>
            <w:r w:rsidRPr="00A94180">
              <w:t>__________________</w:t>
            </w:r>
          </w:p>
        </w:tc>
      </w:tr>
      <w:tr w:rsidR="00410C30" w:rsidRPr="00A94180" w:rsidTr="00522E5A">
        <w:trPr>
          <w:jc w:val="center"/>
        </w:trPr>
        <w:tc>
          <w:tcPr>
            <w:tcW w:w="4876" w:type="dxa"/>
            <w:hideMark/>
          </w:tcPr>
          <w:p w:rsidR="001006F6" w:rsidRPr="00A94180" w:rsidRDefault="001006F6" w:rsidP="00522E5A">
            <w:pPr>
              <w:pStyle w:val="Normal6"/>
            </w:pPr>
            <w:r w:rsidRPr="00A94180">
              <w:rPr>
                <w:vertAlign w:val="superscript"/>
              </w:rPr>
              <w:t>12</w:t>
            </w:r>
            <w:r w:rsidRPr="00A94180">
              <w:t xml:space="preserve"> Eiropas Parlamenta un Padomes Regula (EK) Nr. 1272/2008 (2008. gada 16. decembris) par vielu un maisījumu klasificēšanu, marķēšanu un iepakošanu un ar ko groza un atceļ Direktīvas 67/548/EEK un 1999/45/EK un groza Regulu (EK) Nr. 1907/2006 (OV L 353, 31.12.2008., 1. lpp.).</w:t>
            </w:r>
          </w:p>
        </w:tc>
        <w:tc>
          <w:tcPr>
            <w:tcW w:w="4876" w:type="dxa"/>
            <w:hideMark/>
          </w:tcPr>
          <w:p w:rsidR="001006F6" w:rsidRPr="00A94180" w:rsidRDefault="001006F6" w:rsidP="00522E5A">
            <w:pPr>
              <w:pStyle w:val="Normal6"/>
              <w:rPr>
                <w:szCs w:val="24"/>
              </w:rPr>
            </w:pPr>
            <w:r w:rsidRPr="00A94180">
              <w:rPr>
                <w:vertAlign w:val="superscript"/>
              </w:rPr>
              <w:t>12</w:t>
            </w:r>
            <w:r w:rsidRPr="00A94180">
              <w:t xml:space="preserve"> Eiropas Parlamenta un Padomes Regula (EK) Nr. 1272/2008 (2008. gada 16. decembris) par vielu un maisījumu klasificēšanu, marķēšanu un iepakošanu un ar ko groza un atceļ Direktīvas 67/548/EEK un 1999/45/EK un groza Regulu (EK) Nr. 1907/2006 (OV L 353, 31.12.2008., 1. lpp.).</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9</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4. pants – 1. daļa – 2. punkts</w:t>
      </w:r>
    </w:p>
    <w:p w:rsidR="001006F6" w:rsidRPr="00A94180" w:rsidRDefault="001006F6" w:rsidP="001006F6">
      <w:pPr>
        <w:keepNext/>
      </w:pPr>
      <w:r w:rsidRPr="00A94180">
        <w:t>Regula (ES) 2019/1021</w:t>
      </w:r>
    </w:p>
    <w:p w:rsidR="001006F6" w:rsidRPr="00A94180" w:rsidRDefault="001006F6" w:rsidP="001006F6">
      <w:r w:rsidRPr="00A94180">
        <w:t>8. pants – 1.a punkts – 1. daļa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a)</w:t>
            </w:r>
            <w:r w:rsidRPr="00A94180">
              <w:tab/>
            </w:r>
            <w:r w:rsidRPr="00A94180">
              <w:rPr>
                <w:b/>
                <w:i/>
              </w:rPr>
              <w:t xml:space="preserve">attiecīgā gadījumā </w:t>
            </w:r>
            <w:r w:rsidRPr="00A94180">
              <w:t xml:space="preserve">informācija par tādu atkritumu ietekmi uz cilvēka veselību un vidi, kuri sastāv no NOP, tos satur vai ir ar tiem </w:t>
            </w:r>
            <w:proofErr w:type="spellStart"/>
            <w:r w:rsidRPr="00A94180">
              <w:t>kontaminēti</w:t>
            </w:r>
            <w:proofErr w:type="spellEnd"/>
            <w:r w:rsidRPr="00A94180">
              <w:t>, arī par to ietekmi uz atkritumu apsaimniekošanu;</w:t>
            </w:r>
          </w:p>
        </w:tc>
        <w:tc>
          <w:tcPr>
            <w:tcW w:w="4876" w:type="dxa"/>
            <w:hideMark/>
          </w:tcPr>
          <w:p w:rsidR="001006F6" w:rsidRPr="00A94180" w:rsidRDefault="001006F6" w:rsidP="00522E5A">
            <w:pPr>
              <w:pStyle w:val="Normal6"/>
              <w:rPr>
                <w:szCs w:val="24"/>
              </w:rPr>
            </w:pPr>
            <w:r w:rsidRPr="00A94180">
              <w:t>a)</w:t>
            </w:r>
            <w:r w:rsidRPr="00A94180">
              <w:tab/>
              <w:t xml:space="preserve">informācija par tādu atkritumu ietekmi uz cilvēka veselību un vidi, kuri sastāv no NOP, tos satur vai ir ar tiem </w:t>
            </w:r>
            <w:proofErr w:type="spellStart"/>
            <w:r w:rsidRPr="00A94180">
              <w:t>kontaminēti</w:t>
            </w:r>
            <w:proofErr w:type="spellEnd"/>
            <w:r w:rsidRPr="00A94180">
              <w:t>, arī par to ietekmi uz atkritumu apsaimniekošanu;</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10</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4. pants – 1. daļa – 2. punkts</w:t>
      </w:r>
    </w:p>
    <w:p w:rsidR="001006F6" w:rsidRPr="00A94180" w:rsidRDefault="001006F6" w:rsidP="001006F6">
      <w:pPr>
        <w:keepNext/>
      </w:pPr>
      <w:r w:rsidRPr="00A94180">
        <w:t>Regula (ES) 2019/1021</w:t>
      </w:r>
    </w:p>
    <w:p w:rsidR="001006F6" w:rsidRPr="00A94180" w:rsidRDefault="001006F6" w:rsidP="001006F6">
      <w:r w:rsidRPr="00A94180">
        <w:t>8. pants – 1.a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 xml:space="preserve">Tiklīdz Aģentūra saņem </w:t>
            </w:r>
            <w:r w:rsidRPr="00A94180">
              <w:rPr>
                <w:b/>
                <w:i/>
              </w:rPr>
              <w:t>pirmās daļas</w:t>
            </w:r>
            <w:r w:rsidRPr="00A94180">
              <w:t xml:space="preserve"> i) apakšpunktā minēto pieprasījumu, tā savā vietnē publicē paziņojumu par to, ka tiks sagatavots ziņojums par iespējamiem IV vai V pielikuma grozījumiem, aicinot visas ieinteresētās personas — arī atkritumu </w:t>
            </w:r>
            <w:proofErr w:type="spellStart"/>
            <w:r w:rsidRPr="00A94180">
              <w:t>apsaimniekotājus</w:t>
            </w:r>
            <w:proofErr w:type="spellEnd"/>
            <w:r w:rsidRPr="00A94180">
              <w:t xml:space="preserve"> un </w:t>
            </w:r>
            <w:proofErr w:type="spellStart"/>
            <w:r w:rsidRPr="00A94180">
              <w:t>reciklētu</w:t>
            </w:r>
            <w:proofErr w:type="spellEnd"/>
            <w:r w:rsidRPr="00A94180">
              <w:t xml:space="preserve"> materiālu lietotājus — 8 nedēļu laikā iesniegt piezīmes. Aģentūra minētās piezīmes publicē savā vietnē.</w:t>
            </w:r>
          </w:p>
        </w:tc>
        <w:tc>
          <w:tcPr>
            <w:tcW w:w="4876" w:type="dxa"/>
            <w:hideMark/>
          </w:tcPr>
          <w:p w:rsidR="001006F6" w:rsidRPr="00A94180" w:rsidRDefault="001006F6" w:rsidP="00F30469">
            <w:pPr>
              <w:pStyle w:val="Normal6"/>
              <w:rPr>
                <w:szCs w:val="24"/>
              </w:rPr>
            </w:pPr>
            <w:r w:rsidRPr="00A94180">
              <w:t xml:space="preserve">Tiklīdz Aģentūra saņem </w:t>
            </w:r>
            <w:r w:rsidRPr="00A94180">
              <w:rPr>
                <w:b/>
                <w:i/>
              </w:rPr>
              <w:t>8. panta 1. punkta</w:t>
            </w:r>
            <w:r w:rsidRPr="00A94180">
              <w:t xml:space="preserve"> i) apakšpunktā minēto pieprasījumu, tā savā vietnē publicē paziņojumu par to, ka tiks sagatavots ziņojums par iespējamiem IV vai V pielikuma grozījumiem, aicinot visas ieinteresētās personas — arī atkritumu </w:t>
            </w:r>
            <w:proofErr w:type="spellStart"/>
            <w:r w:rsidRPr="00A94180">
              <w:t>apsaimniekotājus</w:t>
            </w:r>
            <w:proofErr w:type="spellEnd"/>
            <w:r w:rsidRPr="00A94180">
              <w:t xml:space="preserve"> un </w:t>
            </w:r>
            <w:proofErr w:type="spellStart"/>
            <w:r w:rsidRPr="00A94180">
              <w:t>reciklētu</w:t>
            </w:r>
            <w:proofErr w:type="spellEnd"/>
            <w:r w:rsidRPr="00A94180">
              <w:t xml:space="preserve"> materiālu lietotājus — </w:t>
            </w:r>
            <w:r w:rsidR="00F30469" w:rsidRPr="00A94180">
              <w:t>astoņu </w:t>
            </w:r>
            <w:r w:rsidRPr="00A94180">
              <w:t>nedēļu laikā iesniegt piezīmes. Aģentūra minētās piezīmes publicē savā vietnē.</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11</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4. pants – 1. daļa – 2. punkts</w:t>
      </w:r>
    </w:p>
    <w:p w:rsidR="001006F6" w:rsidRPr="00A94180" w:rsidRDefault="001006F6" w:rsidP="001006F6">
      <w:pPr>
        <w:keepNext/>
      </w:pPr>
      <w:r w:rsidRPr="00A94180">
        <w:t>Regula (ES) 2019/1021</w:t>
      </w:r>
    </w:p>
    <w:p w:rsidR="001006F6" w:rsidRPr="00A94180" w:rsidRDefault="001006F6" w:rsidP="001006F6">
      <w:r w:rsidRPr="00A94180">
        <w:t>8. pants – 1.a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 xml:space="preserve">Vēlākais 9 mēnešus pēc minētā ziņojuma iesniegšanas Aģentūras Sociālās un ekonomiskās analīzes komiteja, kas izveidota saskaņā ar Regulas (EK) Nr. 1907/2006 76. panta 1. punkta d) apakšpunktu, pieņem atzinumu par ziņojumu un tajā ierosinātajām </w:t>
            </w:r>
            <w:proofErr w:type="spellStart"/>
            <w:r w:rsidRPr="00A94180">
              <w:t>robežkoncentrācijas</w:t>
            </w:r>
            <w:proofErr w:type="spellEnd"/>
            <w:r w:rsidRPr="00A94180">
              <w:t xml:space="preserve"> vērtībām. Lai par šo ziņojumu pieņemtu atzinumu, Regulas (EK) Nr. 1907/2006 87. pantu piemēro </w:t>
            </w:r>
            <w:proofErr w:type="spellStart"/>
            <w:r w:rsidRPr="00A94180">
              <w:lastRenderedPageBreak/>
              <w:t>mutatis</w:t>
            </w:r>
            <w:proofErr w:type="spellEnd"/>
            <w:r w:rsidRPr="00A94180">
              <w:t xml:space="preserve"> </w:t>
            </w:r>
            <w:proofErr w:type="spellStart"/>
            <w:r w:rsidRPr="00A94180">
              <w:t>mutandis</w:t>
            </w:r>
            <w:proofErr w:type="spellEnd"/>
            <w:r w:rsidRPr="00A94180">
              <w:t>.</w:t>
            </w:r>
          </w:p>
        </w:tc>
        <w:tc>
          <w:tcPr>
            <w:tcW w:w="4876" w:type="dxa"/>
            <w:hideMark/>
          </w:tcPr>
          <w:p w:rsidR="001006F6" w:rsidRPr="00A94180" w:rsidRDefault="001006F6" w:rsidP="00F30469">
            <w:pPr>
              <w:pStyle w:val="Normal6"/>
              <w:rPr>
                <w:szCs w:val="24"/>
              </w:rPr>
            </w:pPr>
            <w:r w:rsidRPr="00A94180">
              <w:lastRenderedPageBreak/>
              <w:t xml:space="preserve">Vēlākais </w:t>
            </w:r>
            <w:r w:rsidR="00F30469" w:rsidRPr="00A94180">
              <w:t>deviņus </w:t>
            </w:r>
            <w:r w:rsidRPr="00A94180">
              <w:t xml:space="preserve">mēnešus pēc </w:t>
            </w:r>
            <w:r w:rsidRPr="00A94180">
              <w:rPr>
                <w:b/>
                <w:i/>
              </w:rPr>
              <w:t xml:space="preserve">8. panta 1. punkta i) apakšpunktā </w:t>
            </w:r>
            <w:r w:rsidRPr="00A94180">
              <w:t xml:space="preserve">minētā ziņojuma iesniegšanas Aģentūras Sociālās un ekonomiskās analīzes komiteja, kas izveidota saskaņā ar Regulas (EK) Nr. 1907/2006 76. panta 1. punkta d) apakšpunktu, pieņem atzinumu par ziņojumu un tajā ierosinātajām </w:t>
            </w:r>
            <w:proofErr w:type="spellStart"/>
            <w:r w:rsidRPr="00A94180">
              <w:t>robežkoncentrācijas</w:t>
            </w:r>
            <w:proofErr w:type="spellEnd"/>
            <w:r w:rsidRPr="00A94180">
              <w:t xml:space="preserve"> vērtībām. Lai par šo ziņojumu pieņemtu atzinumu, Regulas </w:t>
            </w:r>
            <w:r w:rsidRPr="00A94180">
              <w:lastRenderedPageBreak/>
              <w:t xml:space="preserve">(EK) Nr. 1907/2006 87. pantu piemēro </w:t>
            </w:r>
            <w:proofErr w:type="spellStart"/>
            <w:r w:rsidRPr="00A94180">
              <w:t>mutatis</w:t>
            </w:r>
            <w:proofErr w:type="spellEnd"/>
            <w:r w:rsidRPr="00A94180">
              <w:t xml:space="preserve"> </w:t>
            </w:r>
            <w:proofErr w:type="spellStart"/>
            <w:r w:rsidRPr="00A94180">
              <w:t>mutandis</w:t>
            </w:r>
            <w:proofErr w:type="spellEnd"/>
            <w:r w:rsidRPr="00A94180">
              <w:t>.</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12</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4. pants – 1. daļa – 4. punkts</w:t>
      </w:r>
    </w:p>
    <w:p w:rsidR="001006F6" w:rsidRPr="00A94180" w:rsidRDefault="001006F6" w:rsidP="001006F6">
      <w:pPr>
        <w:keepNext/>
      </w:pPr>
      <w:r w:rsidRPr="00A94180">
        <w:t>Regula (ES) 2019/1021</w:t>
      </w:r>
    </w:p>
    <w:p w:rsidR="001006F6" w:rsidRPr="00A94180" w:rsidRDefault="001006F6" w:rsidP="001006F6">
      <w:r w:rsidRPr="00A94180">
        <w:t>15.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2.</w:t>
            </w:r>
            <w:r w:rsidRPr="00A94180">
              <w:tab/>
              <w:t>Komisija ir pilnvarota saskaņā ar 18. pantu pieņemt deleģētos aktus, lai grozītu IV un V pielikumu, tos pielāgojot izmaiņām Konvencijas vai Protokola pielikumos iekļautajā vielu sarakstā vai zinātnes un tehnikas attīstībai.</w:t>
            </w:r>
          </w:p>
        </w:tc>
        <w:tc>
          <w:tcPr>
            <w:tcW w:w="4876" w:type="dxa"/>
            <w:hideMark/>
          </w:tcPr>
          <w:p w:rsidR="001006F6" w:rsidRPr="00A94180" w:rsidRDefault="001006F6" w:rsidP="00522E5A">
            <w:pPr>
              <w:pStyle w:val="Normal6"/>
              <w:rPr>
                <w:szCs w:val="24"/>
              </w:rPr>
            </w:pPr>
            <w:r w:rsidRPr="00A94180">
              <w:t>2.</w:t>
            </w:r>
            <w:r w:rsidRPr="00A94180">
              <w:tab/>
              <w:t xml:space="preserve">Komisija ir pilnvarota saskaņā ar 18. pantu pieņemt deleģētos aktus, lai grozītu IV un V pielikumu, tos pielāgojot izmaiņām </w:t>
            </w:r>
            <w:r w:rsidRPr="00A94180">
              <w:rPr>
                <w:b/>
                <w:i/>
              </w:rPr>
              <w:t xml:space="preserve">Regulas (ES) 2019/1021 I, II vai III pielikumā vai </w:t>
            </w:r>
            <w:r w:rsidRPr="00A94180">
              <w:t>Konvencijas vai Protokola pielikumos iekļautajā vielu sarakstā vai zinātnes un tehnikas attīstībai.</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13</w:t>
      </w:r>
    </w:p>
    <w:p w:rsidR="001006F6" w:rsidRPr="00A94180" w:rsidRDefault="001006F6" w:rsidP="001006F6"/>
    <w:p w:rsidR="001006F6" w:rsidRPr="00A94180" w:rsidRDefault="001006F6" w:rsidP="001006F6">
      <w:pPr>
        <w:pStyle w:val="NormalBold"/>
        <w:keepNext/>
      </w:pPr>
      <w:r w:rsidRPr="00A94180">
        <w:t>Regulas priekšlikums</w:t>
      </w:r>
    </w:p>
    <w:p w:rsidR="001006F6" w:rsidRPr="00A94180" w:rsidRDefault="001006F6" w:rsidP="001006F6">
      <w:pPr>
        <w:pStyle w:val="NormalBold"/>
      </w:pPr>
      <w:r w:rsidRPr="00A94180">
        <w:t>4. pants – 1. daļa – 4.a punkts (jauns)</w:t>
      </w:r>
    </w:p>
    <w:p w:rsidR="001006F6" w:rsidRPr="00A94180" w:rsidRDefault="001006F6" w:rsidP="001006F6">
      <w:pPr>
        <w:keepNext/>
      </w:pPr>
      <w:r w:rsidRPr="00A94180">
        <w:t>Regula (ES) 2019/1021</w:t>
      </w:r>
    </w:p>
    <w:p w:rsidR="001006F6" w:rsidRPr="00A94180" w:rsidRDefault="001006F6" w:rsidP="001006F6">
      <w:r w:rsidRPr="00A94180">
        <w:t>16.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tcPr>
          <w:p w:rsidR="001006F6" w:rsidRPr="00A94180" w:rsidRDefault="001006F6" w:rsidP="00522E5A">
            <w:pPr>
              <w:pStyle w:val="Normal6"/>
            </w:pPr>
          </w:p>
        </w:tc>
        <w:tc>
          <w:tcPr>
            <w:tcW w:w="4876" w:type="dxa"/>
            <w:hideMark/>
          </w:tcPr>
          <w:p w:rsidR="001006F6" w:rsidRPr="00A94180" w:rsidRDefault="001006F6" w:rsidP="00522E5A">
            <w:pPr>
              <w:pStyle w:val="Normal6"/>
              <w:rPr>
                <w:szCs w:val="24"/>
              </w:rPr>
            </w:pPr>
            <w:r w:rsidRPr="00A94180">
              <w:rPr>
                <w:b/>
                <w:i/>
              </w:rPr>
              <w:t>(4a)</w:t>
            </w:r>
            <w:r w:rsidRPr="00A94180">
              <w:rPr>
                <w:b/>
                <w:i/>
              </w:rPr>
              <w:tab/>
              <w:t>regulas 16. pantam pievieno šādu punktu:</w:t>
            </w:r>
          </w:p>
        </w:tc>
      </w:tr>
      <w:tr w:rsidR="00410C30" w:rsidRPr="00A94180" w:rsidTr="00522E5A">
        <w:trPr>
          <w:jc w:val="center"/>
        </w:trPr>
        <w:tc>
          <w:tcPr>
            <w:tcW w:w="4876" w:type="dxa"/>
          </w:tcPr>
          <w:p w:rsidR="001006F6" w:rsidRPr="00A94180" w:rsidRDefault="001006F6" w:rsidP="00522E5A">
            <w:pPr>
              <w:pStyle w:val="Normal6"/>
            </w:pPr>
          </w:p>
        </w:tc>
        <w:tc>
          <w:tcPr>
            <w:tcW w:w="4876" w:type="dxa"/>
            <w:hideMark/>
          </w:tcPr>
          <w:p w:rsidR="001006F6" w:rsidRPr="00A94180" w:rsidRDefault="001006F6" w:rsidP="00F30469">
            <w:pPr>
              <w:pStyle w:val="Normal6"/>
              <w:rPr>
                <w:szCs w:val="24"/>
              </w:rPr>
            </w:pPr>
            <w:r w:rsidRPr="00A94180">
              <w:rPr>
                <w:b/>
                <w:i/>
              </w:rPr>
              <w:t>“2.a</w:t>
            </w:r>
            <w:r w:rsidRPr="00A94180">
              <w:rPr>
                <w:b/>
                <w:i/>
              </w:rPr>
              <w:tab/>
              <w:t xml:space="preserve">Komisija uzrauga situāciju attiecībā uz Eiropas Ķimikāliju aģentūras resursiem un Eiropas Ķimikāliju aģentūras zinātnisko komiteju uzdevumiem, darba apjomu un uzdevumiem, un vajadzības gadījumā iesniedz </w:t>
            </w:r>
            <w:r w:rsidR="00F30469" w:rsidRPr="00A94180">
              <w:rPr>
                <w:b/>
                <w:i/>
              </w:rPr>
              <w:t xml:space="preserve">leģislatīvā </w:t>
            </w:r>
            <w:r w:rsidRPr="00A94180">
              <w:rPr>
                <w:b/>
                <w:i/>
              </w:rPr>
              <w:t>akta priekšlikumu, lai atspoguļotu visas Eiropas Ķimikāliju aģentūras vajadzības, kas izriet no šajā regulā noteiktajiem uzdevumiem, un lai uzlabotu tās zinātnisko komiteju pārvaldību.”</w:t>
            </w:r>
          </w:p>
        </w:tc>
      </w:tr>
    </w:tbl>
    <w:p w:rsidR="001006F6" w:rsidRPr="00A94180" w:rsidRDefault="001006F6" w:rsidP="001006F6"/>
    <w:p w:rsidR="001006F6" w:rsidRPr="00A94180" w:rsidRDefault="001006F6" w:rsidP="001006F6">
      <w:pPr>
        <w:pStyle w:val="AmNumberTabs"/>
      </w:pPr>
      <w:r w:rsidRPr="00A94180">
        <w:t>Grozījums Nr.</w:t>
      </w:r>
      <w:r w:rsidRPr="00A94180">
        <w:tab/>
      </w:r>
      <w:r w:rsidRPr="00A94180">
        <w:tab/>
        <w:t>14</w:t>
      </w:r>
    </w:p>
    <w:p w:rsidR="001006F6" w:rsidRPr="00A94180" w:rsidRDefault="001006F6" w:rsidP="001006F6"/>
    <w:p w:rsidR="001006F6" w:rsidRPr="00A94180" w:rsidRDefault="001006F6" w:rsidP="001006F6">
      <w:pPr>
        <w:pStyle w:val="NormalBold"/>
        <w:keepNext/>
      </w:pPr>
      <w:r w:rsidRPr="00A94180">
        <w:lastRenderedPageBreak/>
        <w:t>Regulas priekšlikums</w:t>
      </w:r>
    </w:p>
    <w:p w:rsidR="001006F6" w:rsidRPr="00A94180" w:rsidRDefault="001006F6" w:rsidP="001006F6">
      <w:pPr>
        <w:pStyle w:val="NormalBold"/>
      </w:pPr>
      <w:r w:rsidRPr="00A94180">
        <w:t>4. pants – 1. daļa – 5. punkts – c apakšpunkts</w:t>
      </w:r>
    </w:p>
    <w:p w:rsidR="001006F6" w:rsidRPr="00A94180" w:rsidRDefault="001006F6" w:rsidP="001006F6">
      <w:pPr>
        <w:keepNext/>
      </w:pPr>
      <w:r w:rsidRPr="00A94180">
        <w:t>Regula (ES) 2019/1021</w:t>
      </w:r>
    </w:p>
    <w:p w:rsidR="001006F6" w:rsidRPr="00A94180" w:rsidRDefault="001006F6" w:rsidP="001006F6">
      <w:r w:rsidRPr="00A94180">
        <w:t>18.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C30" w:rsidRPr="00A94180" w:rsidTr="00522E5A">
        <w:trPr>
          <w:jc w:val="center"/>
        </w:trPr>
        <w:tc>
          <w:tcPr>
            <w:tcW w:w="9752" w:type="dxa"/>
            <w:gridSpan w:val="2"/>
          </w:tcPr>
          <w:p w:rsidR="001006F6" w:rsidRPr="00A94180" w:rsidRDefault="001006F6" w:rsidP="00522E5A">
            <w:pPr>
              <w:keepNext/>
            </w:pPr>
          </w:p>
        </w:tc>
      </w:tr>
      <w:tr w:rsidR="00410C30" w:rsidRPr="00A94180" w:rsidTr="00522E5A">
        <w:trPr>
          <w:jc w:val="center"/>
        </w:trPr>
        <w:tc>
          <w:tcPr>
            <w:tcW w:w="4876" w:type="dxa"/>
            <w:hideMark/>
          </w:tcPr>
          <w:p w:rsidR="001006F6" w:rsidRPr="00A94180" w:rsidRDefault="001006F6" w:rsidP="00522E5A">
            <w:pPr>
              <w:pStyle w:val="ColumnHeading"/>
              <w:keepNext/>
            </w:pPr>
            <w:r w:rsidRPr="00A94180">
              <w:t>Komisijas ierosinātais teksts</w:t>
            </w:r>
          </w:p>
        </w:tc>
        <w:tc>
          <w:tcPr>
            <w:tcW w:w="4876" w:type="dxa"/>
            <w:hideMark/>
          </w:tcPr>
          <w:p w:rsidR="001006F6" w:rsidRPr="00A94180" w:rsidRDefault="001006F6" w:rsidP="00522E5A">
            <w:pPr>
              <w:pStyle w:val="ColumnHeading"/>
              <w:keepNext/>
            </w:pPr>
            <w:r w:rsidRPr="00A94180">
              <w:t>Grozījums</w:t>
            </w:r>
          </w:p>
        </w:tc>
      </w:tr>
      <w:tr w:rsidR="00410C30" w:rsidRPr="00A94180" w:rsidTr="00522E5A">
        <w:trPr>
          <w:jc w:val="center"/>
        </w:trPr>
        <w:tc>
          <w:tcPr>
            <w:tcW w:w="4876" w:type="dxa"/>
            <w:hideMark/>
          </w:tcPr>
          <w:p w:rsidR="001006F6" w:rsidRPr="00A94180" w:rsidRDefault="001006F6" w:rsidP="00522E5A">
            <w:pPr>
              <w:pStyle w:val="Normal6"/>
            </w:pPr>
            <w:r w:rsidRPr="00A94180">
              <w:t>6.</w:t>
            </w:r>
            <w:r w:rsidRPr="00A94180">
              <w:tab/>
              <w:t>Saskaņā ar 4. panta 3. punktu, 10. panta 2. punktu un 15. panta 1.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w:t>
            </w:r>
          </w:p>
        </w:tc>
        <w:tc>
          <w:tcPr>
            <w:tcW w:w="4876" w:type="dxa"/>
            <w:hideMark/>
          </w:tcPr>
          <w:p w:rsidR="001006F6" w:rsidRPr="00A94180" w:rsidRDefault="001006F6" w:rsidP="00522E5A">
            <w:pPr>
              <w:pStyle w:val="Normal6"/>
              <w:rPr>
                <w:szCs w:val="24"/>
              </w:rPr>
            </w:pPr>
            <w:r w:rsidRPr="00A94180">
              <w:t>6.</w:t>
            </w:r>
            <w:r w:rsidRPr="00A94180">
              <w:tab/>
              <w:t xml:space="preserve">Saskaņā ar 4. panta 3. punktu, 10. panta 2. punktu un 15. panta 1.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w:t>
            </w:r>
            <w:r w:rsidRPr="00A94180">
              <w:rPr>
                <w:b/>
                <w:i/>
              </w:rPr>
              <w:t>Pēc Eiropas Parlamenta vai Padomes iniciatīvas šo laikposmu var pagarināt par diviem mēnešiem.</w:t>
            </w:r>
          </w:p>
        </w:tc>
      </w:tr>
    </w:tbl>
    <w:p w:rsidR="001006F6" w:rsidRPr="00A94180" w:rsidRDefault="001006F6" w:rsidP="001006F6"/>
    <w:p w:rsidR="001006F6" w:rsidRPr="00A94180" w:rsidRDefault="001006F6" w:rsidP="001006F6">
      <w:pPr>
        <w:pStyle w:val="AmNumberTabs"/>
      </w:pPr>
      <w:r w:rsidRPr="00A94180">
        <w:t>Grozījums Nr.</w:t>
      </w:r>
      <w:r w:rsidRPr="00A94180">
        <w:tab/>
        <w:t>15</w:t>
      </w:r>
    </w:p>
    <w:p w:rsidR="001006F6" w:rsidRPr="00A94180" w:rsidRDefault="001006F6" w:rsidP="001006F6">
      <w:pPr>
        <w:rPr>
          <w:b/>
        </w:rPr>
      </w:pPr>
      <w:r w:rsidRPr="00A94180">
        <w:t>Regulas priekšlikums</w:t>
      </w:r>
    </w:p>
    <w:p w:rsidR="001006F6" w:rsidRPr="00A94180" w:rsidRDefault="001006F6" w:rsidP="001006F6">
      <w:pPr>
        <w:pStyle w:val="NormalBold"/>
      </w:pPr>
      <w:r w:rsidRPr="00A94180">
        <w:t xml:space="preserve">4. pants – 1. daļa – 5. punkts – </w:t>
      </w:r>
      <w:proofErr w:type="spellStart"/>
      <w:r w:rsidRPr="00A94180">
        <w:t>ca</w:t>
      </w:r>
      <w:proofErr w:type="spellEnd"/>
      <w:r w:rsidRPr="00A94180">
        <w:t xml:space="preserve"> apakšpunkts (jauns)</w:t>
      </w:r>
    </w:p>
    <w:p w:rsidR="001006F6" w:rsidRPr="00A94180" w:rsidRDefault="001006F6" w:rsidP="001006F6">
      <w:r w:rsidRPr="00A94180">
        <w:t>Regula (ES) 2019/1021</w:t>
      </w:r>
    </w:p>
    <w:p w:rsidR="001006F6" w:rsidRPr="00A94180" w:rsidRDefault="001006F6" w:rsidP="001006F6">
      <w:r w:rsidRPr="00A94180">
        <w:t>IV pielikums – 1. tabula – 5. rinda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Spēkā esošais teksts</w:t>
            </w:r>
          </w:p>
        </w:tc>
      </w:tr>
      <w:tr w:rsidR="00410C30" w:rsidRPr="00A94180" w:rsidTr="00522E5A">
        <w:tc>
          <w:tcPr>
            <w:tcW w:w="226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proofErr w:type="spellStart"/>
            <w:r w:rsidRPr="00A94180">
              <w:t>Hloralkāni</w:t>
            </w:r>
            <w:proofErr w:type="spellEnd"/>
            <w:r w:rsidRPr="00A94180">
              <w:t xml:space="preserve"> C10-C13 (īsās ķēdes </w:t>
            </w:r>
            <w:proofErr w:type="spellStart"/>
            <w:r w:rsidRPr="00A94180">
              <w:t>hlorparafīni</w:t>
            </w:r>
            <w:proofErr w:type="spellEnd"/>
            <w:r w:rsidRPr="00A94180">
              <w:t>) (SCCP)</w:t>
            </w:r>
          </w:p>
        </w:tc>
        <w:tc>
          <w:tcPr>
            <w:tcW w:w="155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85535-84-8</w:t>
            </w:r>
          </w:p>
        </w:tc>
        <w:tc>
          <w:tcPr>
            <w:tcW w:w="141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287-476-5</w:t>
            </w: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1 500 mg/kg</w:t>
            </w:r>
          </w:p>
          <w:p w:rsidR="001006F6" w:rsidRPr="00A94180" w:rsidRDefault="001006F6" w:rsidP="00522E5A">
            <w:pPr>
              <w:pStyle w:val="Normal6a"/>
            </w:pPr>
            <w:r w:rsidRPr="00A94180">
              <w:t xml:space="preserve">Komisija pārskata minēto </w:t>
            </w:r>
            <w:proofErr w:type="spellStart"/>
            <w:r w:rsidRPr="00A94180">
              <w:t>robežkoncentrāciju</w:t>
            </w:r>
            <w:proofErr w:type="spellEnd"/>
            <w:r w:rsidRPr="00A94180">
              <w:t xml:space="preserve"> un attiecīgā gadījumā </w:t>
            </w:r>
            <w:r w:rsidRPr="00A94180">
              <w:rPr>
                <w:b/>
                <w:bCs/>
                <w:i/>
                <w:iCs/>
              </w:rPr>
              <w:t>ne vēlāk kā līdz 2027. gada 30. decembrim</w:t>
            </w:r>
            <w:r w:rsidRPr="00A94180">
              <w:t xml:space="preserve"> pieņem </w:t>
            </w:r>
            <w:r w:rsidRPr="00A94180">
              <w:rPr>
                <w:b/>
                <w:bCs/>
                <w:i/>
                <w:iCs/>
              </w:rPr>
              <w:t>leģislatīvā akta priekšlikumu</w:t>
            </w:r>
            <w:r w:rsidRPr="00A94180">
              <w:t xml:space="preserve"> par minētās vērtības samazināšanu.</w:t>
            </w:r>
          </w:p>
        </w:tc>
      </w:tr>
    </w:tbl>
    <w:p w:rsidR="001006F6" w:rsidRPr="00A94180" w:rsidRDefault="001006F6" w:rsidP="001006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Grozījums</w:t>
            </w:r>
          </w:p>
        </w:tc>
      </w:tr>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AmColumnHeading"/>
              <w:jc w:val="left"/>
              <w:rPr>
                <w:b/>
              </w:rPr>
            </w:pPr>
            <w:r w:rsidRPr="00A94180">
              <w:rPr>
                <w:b/>
              </w:rPr>
              <w:t>(</w:t>
            </w:r>
            <w:proofErr w:type="spellStart"/>
            <w:r w:rsidRPr="00A94180">
              <w:rPr>
                <w:b/>
              </w:rPr>
              <w:t>ca</w:t>
            </w:r>
            <w:proofErr w:type="spellEnd"/>
            <w:r w:rsidRPr="00A94180">
              <w:rPr>
                <w:b/>
              </w:rPr>
              <w:t>)</w:t>
            </w:r>
            <w:r w:rsidRPr="00A94180">
              <w:rPr>
                <w:b/>
              </w:rPr>
              <w:tab/>
              <w:t>regulas IV pielikuma 1. tabulas 5. rindu aizstāj ar šādu:</w:t>
            </w:r>
          </w:p>
        </w:tc>
      </w:tr>
      <w:tr w:rsidR="00410C30" w:rsidRPr="00A94180" w:rsidTr="00522E5A">
        <w:tc>
          <w:tcPr>
            <w:tcW w:w="226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proofErr w:type="spellStart"/>
            <w:r w:rsidRPr="00A94180">
              <w:t>Hloralkāni</w:t>
            </w:r>
            <w:proofErr w:type="spellEnd"/>
            <w:r w:rsidRPr="00A94180">
              <w:t xml:space="preserve"> C10-C13 (īsās ķēdes </w:t>
            </w:r>
            <w:proofErr w:type="spellStart"/>
            <w:r w:rsidRPr="00A94180">
              <w:t>hlorparafīni</w:t>
            </w:r>
            <w:proofErr w:type="spellEnd"/>
            <w:r w:rsidRPr="00A94180">
              <w:t>) (SCCP)</w:t>
            </w:r>
          </w:p>
        </w:tc>
        <w:tc>
          <w:tcPr>
            <w:tcW w:w="155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85535-84-8</w:t>
            </w:r>
          </w:p>
        </w:tc>
        <w:tc>
          <w:tcPr>
            <w:tcW w:w="141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287-476-5</w:t>
            </w: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1 500 mg/kg</w:t>
            </w:r>
          </w:p>
          <w:p w:rsidR="001006F6" w:rsidRPr="00A94180" w:rsidRDefault="001006F6" w:rsidP="00522E5A">
            <w:pPr>
              <w:pStyle w:val="Normal6a"/>
            </w:pPr>
            <w:r w:rsidRPr="00A94180">
              <w:t xml:space="preserve">Komisija līdz </w:t>
            </w:r>
            <w:r w:rsidRPr="00A94180">
              <w:rPr>
                <w:b/>
                <w:bCs/>
                <w:i/>
                <w:iCs/>
              </w:rPr>
              <w:t>2027. gada 30. decembrim</w:t>
            </w:r>
            <w:r w:rsidRPr="00A94180">
              <w:t xml:space="preserve"> pārskata minēto </w:t>
            </w:r>
            <w:proofErr w:type="spellStart"/>
            <w:r w:rsidRPr="00A94180">
              <w:t>robežkoncentrāciju</w:t>
            </w:r>
            <w:proofErr w:type="spellEnd"/>
            <w:r w:rsidRPr="00A94180">
              <w:t xml:space="preserve"> un attiecīgā gadījumā pieņem </w:t>
            </w:r>
            <w:r w:rsidRPr="00A94180">
              <w:rPr>
                <w:b/>
                <w:bCs/>
                <w:i/>
                <w:iCs/>
              </w:rPr>
              <w:t>deleģēto aktu saskaņā ar 15. panta 2. punktu</w:t>
            </w:r>
            <w:r w:rsidRPr="00A94180">
              <w:rPr>
                <w:b/>
                <w:bCs/>
              </w:rPr>
              <w:t xml:space="preserve"> </w:t>
            </w:r>
            <w:r w:rsidRPr="00A94180">
              <w:t xml:space="preserve">par </w:t>
            </w:r>
            <w:r w:rsidRPr="00A94180">
              <w:lastRenderedPageBreak/>
              <w:t>minētās vērtības samazināšanu.</w:t>
            </w:r>
          </w:p>
        </w:tc>
      </w:tr>
    </w:tbl>
    <w:p w:rsidR="001006F6" w:rsidRPr="00A94180" w:rsidRDefault="001006F6" w:rsidP="001006F6"/>
    <w:p w:rsidR="001006F6" w:rsidRPr="00A94180" w:rsidRDefault="001006F6" w:rsidP="001006F6">
      <w:pPr>
        <w:pStyle w:val="AmNumberTabs"/>
      </w:pPr>
      <w:r w:rsidRPr="00A94180">
        <w:t>Grozījums Nr.</w:t>
      </w:r>
      <w:r w:rsidRPr="00A94180">
        <w:tab/>
        <w:t>16</w:t>
      </w:r>
    </w:p>
    <w:p w:rsidR="001006F6" w:rsidRPr="00A94180" w:rsidRDefault="001006F6" w:rsidP="001006F6">
      <w:pPr>
        <w:pStyle w:val="NormalBold"/>
      </w:pPr>
      <w:r w:rsidRPr="00A94180">
        <w:t>Regulas priekšlikums</w:t>
      </w:r>
    </w:p>
    <w:p w:rsidR="001006F6" w:rsidRPr="00A94180" w:rsidRDefault="001006F6" w:rsidP="001006F6">
      <w:pPr>
        <w:pStyle w:val="NormalBold"/>
      </w:pPr>
      <w:r w:rsidRPr="00A94180">
        <w:t xml:space="preserve">4. pants – 1. daļa – 5. punkts - </w:t>
      </w:r>
      <w:proofErr w:type="spellStart"/>
      <w:r w:rsidRPr="00A94180">
        <w:t>cb</w:t>
      </w:r>
      <w:proofErr w:type="spellEnd"/>
      <w:r w:rsidRPr="00A94180">
        <w:t xml:space="preserve"> apakšpunkts (jauns)</w:t>
      </w:r>
    </w:p>
    <w:p w:rsidR="001006F6" w:rsidRPr="00A94180" w:rsidRDefault="001006F6" w:rsidP="001006F6">
      <w:r w:rsidRPr="00A94180">
        <w:t>Regula (ES) 2019/1021</w:t>
      </w:r>
    </w:p>
    <w:p w:rsidR="001006F6" w:rsidRPr="00A94180" w:rsidRDefault="001006F6" w:rsidP="001006F6">
      <w:r w:rsidRPr="00A94180">
        <w:t>IV pielikums – 1. tabula – 12. rinda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Spēkā esošais teksts</w:t>
            </w:r>
          </w:p>
        </w:tc>
      </w:tr>
      <w:tr w:rsidR="00410C30" w:rsidRPr="00A94180" w:rsidTr="00522E5A">
        <w:tc>
          <w:tcPr>
            <w:tcW w:w="226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proofErr w:type="spellStart"/>
            <w:r w:rsidRPr="00A94180">
              <w:t>Polihlordibenz</w:t>
            </w:r>
            <w:proofErr w:type="spellEnd"/>
            <w:r w:rsidRPr="00A94180">
              <w:t xml:space="preserve">-p-dioksīni un </w:t>
            </w:r>
            <w:proofErr w:type="spellStart"/>
            <w:r w:rsidRPr="00A94180">
              <w:t>polihlordibenzfurāni</w:t>
            </w:r>
            <w:proofErr w:type="spellEnd"/>
            <w:r w:rsidRPr="00A94180">
              <w:t xml:space="preserve"> (PHDD/PHDF) un dioksīniem līdzīgi </w:t>
            </w:r>
            <w:proofErr w:type="spellStart"/>
            <w:r w:rsidRPr="00A94180">
              <w:t>polihlorbifenili</w:t>
            </w:r>
            <w:proofErr w:type="spellEnd"/>
            <w:r w:rsidRPr="00A94180">
              <w:t xml:space="preserve"> (dl-PHB)</w:t>
            </w:r>
          </w:p>
        </w:tc>
        <w:tc>
          <w:tcPr>
            <w:tcW w:w="1558"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1417"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 xml:space="preserve">5 </w:t>
            </w:r>
            <w:proofErr w:type="spellStart"/>
            <w:r w:rsidRPr="00A94180">
              <w:t>μg</w:t>
            </w:r>
            <w:proofErr w:type="spellEnd"/>
            <w:r w:rsidRPr="00A94180">
              <w:t>/kg</w:t>
            </w:r>
          </w:p>
          <w:p w:rsidR="001006F6" w:rsidRPr="00A94180" w:rsidRDefault="001006F6" w:rsidP="00522E5A">
            <w:pPr>
              <w:pStyle w:val="Normal6a"/>
            </w:pPr>
            <w:r w:rsidRPr="00A94180">
              <w:t xml:space="preserve">Komisija pārskata minēto </w:t>
            </w:r>
            <w:proofErr w:type="spellStart"/>
            <w:r w:rsidRPr="00A94180">
              <w:t>robežkoncentrāciju</w:t>
            </w:r>
            <w:proofErr w:type="spellEnd"/>
            <w:r w:rsidRPr="00A94180">
              <w:t xml:space="preserve"> un attiecīgā gadījumā </w:t>
            </w:r>
            <w:r w:rsidRPr="00A94180">
              <w:rPr>
                <w:b/>
                <w:bCs/>
                <w:i/>
                <w:iCs/>
              </w:rPr>
              <w:t>ne vēlāk kā līdz 2027. gada 30. decembrim</w:t>
            </w:r>
            <w:r w:rsidRPr="00A94180">
              <w:t xml:space="preserve"> pieņem </w:t>
            </w:r>
            <w:r w:rsidRPr="00A94180">
              <w:rPr>
                <w:b/>
                <w:bCs/>
                <w:i/>
                <w:iCs/>
              </w:rPr>
              <w:t>leģislatīvā akta priekšlikumu</w:t>
            </w:r>
            <w:r w:rsidRPr="00A94180">
              <w:t xml:space="preserve"> par minētās vērtības samazināšanu</w:t>
            </w:r>
            <w:r w:rsidRPr="00A94180">
              <w:rPr>
                <w:b/>
                <w:bCs/>
                <w:i/>
                <w:iCs/>
              </w:rPr>
              <w:t>, ja šāda samazināšana ir iespējama saskaņā ar zinātnes un tehnikas attīstību</w:t>
            </w:r>
            <w:r w:rsidRPr="00A94180">
              <w:t>.</w:t>
            </w:r>
          </w:p>
        </w:tc>
      </w:tr>
    </w:tbl>
    <w:p w:rsidR="001006F6" w:rsidRPr="00A94180" w:rsidRDefault="001006F6" w:rsidP="001006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Grozījums</w:t>
            </w:r>
          </w:p>
        </w:tc>
      </w:tr>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AmColumnHeading"/>
              <w:jc w:val="left"/>
              <w:rPr>
                <w:b/>
              </w:rPr>
            </w:pPr>
            <w:proofErr w:type="spellStart"/>
            <w:r w:rsidRPr="00A94180">
              <w:rPr>
                <w:b/>
              </w:rPr>
              <w:t>cb</w:t>
            </w:r>
            <w:proofErr w:type="spellEnd"/>
            <w:r w:rsidRPr="00A94180">
              <w:rPr>
                <w:b/>
              </w:rPr>
              <w:t>)</w:t>
            </w:r>
            <w:r w:rsidRPr="00A94180">
              <w:rPr>
                <w:b/>
              </w:rPr>
              <w:tab/>
              <w:t>regulas IV pielikuma 1. tabulas 12. rindu aizstāj ar šādu:</w:t>
            </w:r>
          </w:p>
        </w:tc>
      </w:tr>
      <w:tr w:rsidR="00410C30" w:rsidRPr="00A94180" w:rsidTr="00522E5A">
        <w:tc>
          <w:tcPr>
            <w:tcW w:w="226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proofErr w:type="spellStart"/>
            <w:r w:rsidRPr="00A94180">
              <w:t>Polihlordibenz</w:t>
            </w:r>
            <w:proofErr w:type="spellEnd"/>
            <w:r w:rsidRPr="00A94180">
              <w:t xml:space="preserve">-p-dioksīni un </w:t>
            </w:r>
            <w:proofErr w:type="spellStart"/>
            <w:r w:rsidRPr="00A94180">
              <w:t>polihlordibenzfurāni</w:t>
            </w:r>
            <w:proofErr w:type="spellEnd"/>
            <w:r w:rsidRPr="00A94180">
              <w:t xml:space="preserve"> (PHDD/PHDF) un dioksīniem līdzīgi </w:t>
            </w:r>
            <w:proofErr w:type="spellStart"/>
            <w:r w:rsidRPr="00A94180">
              <w:t>polihlorbifenili</w:t>
            </w:r>
            <w:proofErr w:type="spellEnd"/>
            <w:r w:rsidRPr="00A94180">
              <w:t xml:space="preserve"> (dl-PHB)</w:t>
            </w:r>
          </w:p>
        </w:tc>
        <w:tc>
          <w:tcPr>
            <w:tcW w:w="1558"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1417"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 xml:space="preserve">5 </w:t>
            </w:r>
            <w:proofErr w:type="spellStart"/>
            <w:r w:rsidRPr="00A94180">
              <w:t>μg</w:t>
            </w:r>
            <w:proofErr w:type="spellEnd"/>
            <w:r w:rsidRPr="00A94180">
              <w:t>/kg</w:t>
            </w:r>
          </w:p>
          <w:p w:rsidR="001006F6" w:rsidRPr="00A94180" w:rsidRDefault="001006F6" w:rsidP="00522E5A">
            <w:pPr>
              <w:pStyle w:val="Normal6a"/>
            </w:pPr>
            <w:r w:rsidRPr="00A94180">
              <w:t xml:space="preserve">Komisija </w:t>
            </w:r>
            <w:r w:rsidRPr="00A94180">
              <w:rPr>
                <w:b/>
                <w:bCs/>
                <w:i/>
                <w:iCs/>
              </w:rPr>
              <w:t>līdz 2027. gada 30. decembrim</w:t>
            </w:r>
            <w:r w:rsidRPr="00A94180">
              <w:t xml:space="preserve"> pārskata minēto </w:t>
            </w:r>
            <w:proofErr w:type="spellStart"/>
            <w:r w:rsidRPr="00A94180">
              <w:t>robežkoncentrāciju</w:t>
            </w:r>
            <w:proofErr w:type="spellEnd"/>
            <w:r w:rsidRPr="00A94180">
              <w:t xml:space="preserve"> un attiecīgā gadījumā pieņem </w:t>
            </w:r>
            <w:r w:rsidRPr="00A94180">
              <w:rPr>
                <w:b/>
                <w:bCs/>
                <w:i/>
                <w:iCs/>
              </w:rPr>
              <w:t>deleģēto aktu saskaņā ar 15. panta 2. punktu</w:t>
            </w:r>
            <w:r w:rsidRPr="00A94180">
              <w:rPr>
                <w:b/>
                <w:bCs/>
              </w:rPr>
              <w:t xml:space="preserve"> </w:t>
            </w:r>
            <w:r w:rsidRPr="00A94180">
              <w:t>par minētās vērtības samazināšanu.</w:t>
            </w:r>
          </w:p>
        </w:tc>
      </w:tr>
    </w:tbl>
    <w:p w:rsidR="001006F6" w:rsidRPr="00A94180" w:rsidRDefault="001006F6" w:rsidP="001006F6"/>
    <w:p w:rsidR="001006F6" w:rsidRPr="00A94180" w:rsidRDefault="001006F6" w:rsidP="001006F6">
      <w:pPr>
        <w:pStyle w:val="AmNumberTabs"/>
      </w:pPr>
      <w:r w:rsidRPr="00A94180">
        <w:t>Grozījums Nr.</w:t>
      </w:r>
      <w:r w:rsidRPr="00A94180">
        <w:tab/>
        <w:t>17</w:t>
      </w:r>
    </w:p>
    <w:p w:rsidR="001006F6" w:rsidRPr="00A94180" w:rsidRDefault="001006F6" w:rsidP="001006F6">
      <w:pPr>
        <w:rPr>
          <w:b/>
        </w:rPr>
      </w:pPr>
      <w:r w:rsidRPr="00A94180">
        <w:t>Regulas priekšlikums</w:t>
      </w:r>
    </w:p>
    <w:p w:rsidR="001006F6" w:rsidRPr="00A94180" w:rsidRDefault="001006F6" w:rsidP="001006F6">
      <w:pPr>
        <w:pStyle w:val="NormalBold"/>
      </w:pPr>
      <w:r w:rsidRPr="00A94180">
        <w:t>4. pants – 1. dala – 5. punkts – cc apakšpunkts (jauns)</w:t>
      </w:r>
    </w:p>
    <w:p w:rsidR="001006F6" w:rsidRPr="00A94180" w:rsidRDefault="001006F6" w:rsidP="001006F6">
      <w:r w:rsidRPr="00A94180">
        <w:t>Regula (ES) 2019/1021</w:t>
      </w:r>
    </w:p>
    <w:p w:rsidR="001006F6" w:rsidRPr="00A94180" w:rsidRDefault="001006F6" w:rsidP="001006F6">
      <w:r w:rsidRPr="00A94180">
        <w:t>IV pielikums – 1. tabula – 27. rinda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Spēkā esošais teksts</w:t>
            </w:r>
          </w:p>
        </w:tc>
      </w:tr>
      <w:tr w:rsidR="00410C30" w:rsidRPr="00A94180" w:rsidTr="00522E5A">
        <w:tc>
          <w:tcPr>
            <w:tcW w:w="311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Heksabromciklododekāns</w:t>
            </w:r>
            <w:r w:rsidR="00410C30" w:rsidRPr="00A94180">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247-148-4</w:t>
            </w:r>
            <w:r w:rsidRPr="00A94180">
              <w:br/>
              <w:t>221-695-9</w:t>
            </w:r>
          </w:p>
        </w:tc>
        <w:tc>
          <w:tcPr>
            <w:tcW w:w="327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500 mg/kg</w:t>
            </w:r>
          </w:p>
          <w:p w:rsidR="001006F6" w:rsidRPr="00A94180" w:rsidRDefault="001006F6" w:rsidP="00522E5A">
            <w:pPr>
              <w:pStyle w:val="Normal6a"/>
            </w:pPr>
            <w:r w:rsidRPr="00A94180">
              <w:t xml:space="preserve">Komisija pārskata minēto </w:t>
            </w:r>
            <w:proofErr w:type="spellStart"/>
            <w:r w:rsidRPr="00A94180">
              <w:t>robežkoncentrāciju</w:t>
            </w:r>
            <w:proofErr w:type="spellEnd"/>
            <w:r w:rsidRPr="00A94180">
              <w:t xml:space="preserve"> un attiecīgā gadījumā </w:t>
            </w:r>
            <w:r w:rsidRPr="00A94180">
              <w:rPr>
                <w:b/>
                <w:bCs/>
                <w:i/>
                <w:iCs/>
              </w:rPr>
              <w:t>ne vēlāk kā līdz 2027. gada 30. decembrim</w:t>
            </w:r>
            <w:r w:rsidRPr="00A94180">
              <w:t xml:space="preserve"> pieņem </w:t>
            </w:r>
            <w:r w:rsidRPr="00A94180">
              <w:rPr>
                <w:b/>
                <w:bCs/>
                <w:i/>
                <w:iCs/>
              </w:rPr>
              <w:t>leģislatīvā akta priekšlikumu</w:t>
            </w:r>
            <w:r w:rsidRPr="00A94180">
              <w:t xml:space="preserve"> par minētās </w:t>
            </w:r>
            <w:r w:rsidRPr="00A94180">
              <w:lastRenderedPageBreak/>
              <w:t>vērtības samazināšanu līdz ne vairāk kā 200 mg/kg.</w:t>
            </w:r>
          </w:p>
        </w:tc>
      </w:tr>
      <w:tr w:rsidR="00410C30" w:rsidRPr="00A94180" w:rsidTr="00522E5A">
        <w:tc>
          <w:tcPr>
            <w:tcW w:w="3115" w:type="dxa"/>
            <w:tcBorders>
              <w:top w:val="single" w:sz="4" w:space="0" w:color="auto"/>
              <w:left w:val="single" w:sz="4" w:space="0" w:color="auto"/>
              <w:bottom w:val="single" w:sz="4" w:space="0" w:color="auto"/>
              <w:right w:val="single" w:sz="4" w:space="0" w:color="auto"/>
            </w:tcBorders>
            <w:hideMark/>
          </w:tcPr>
          <w:p w:rsidR="001006F6" w:rsidRPr="00A94180" w:rsidRDefault="00410C30" w:rsidP="00410C30">
            <w:pPr>
              <w:pStyle w:val="Normal6a"/>
              <w:tabs>
                <w:tab w:val="left" w:pos="314"/>
              </w:tabs>
              <w:rPr>
                <w:sz w:val="20"/>
              </w:rPr>
            </w:pPr>
            <w:r w:rsidRPr="00A94180">
              <w:rPr>
                <w:sz w:val="20"/>
              </w:rPr>
              <w:lastRenderedPageBreak/>
              <w:t>(</w:t>
            </w:r>
            <w:r w:rsidRPr="00A94180">
              <w:rPr>
                <w:sz w:val="20"/>
                <w:vertAlign w:val="superscript"/>
              </w:rPr>
              <w:t>4</w:t>
            </w:r>
            <w:r w:rsidRPr="00A94180">
              <w:rPr>
                <w:sz w:val="20"/>
              </w:rPr>
              <w:t>) “</w:t>
            </w:r>
            <w:proofErr w:type="spellStart"/>
            <w:r w:rsidRPr="00A94180">
              <w:rPr>
                <w:sz w:val="20"/>
              </w:rPr>
              <w:t>Heksabromciklododekāns</w:t>
            </w:r>
            <w:proofErr w:type="spellEnd"/>
            <w:r w:rsidRPr="00A94180">
              <w:rPr>
                <w:sz w:val="20"/>
              </w:rPr>
              <w:t xml:space="preserve">” ir </w:t>
            </w:r>
            <w:proofErr w:type="spellStart"/>
            <w:r w:rsidRPr="00A94180">
              <w:rPr>
                <w:sz w:val="20"/>
              </w:rPr>
              <w:t>heksabromciklododekāns</w:t>
            </w:r>
            <w:proofErr w:type="spellEnd"/>
            <w:r w:rsidRPr="00A94180">
              <w:rPr>
                <w:sz w:val="20"/>
              </w:rPr>
              <w:t xml:space="preserve">, 1,2,5,6,9,10-heksabromci, </w:t>
            </w:r>
            <w:proofErr w:type="spellStart"/>
            <w:r w:rsidRPr="00A94180">
              <w:rPr>
                <w:sz w:val="20"/>
              </w:rPr>
              <w:t>klododekāns</w:t>
            </w:r>
            <w:proofErr w:type="spellEnd"/>
            <w:r w:rsidRPr="00A94180">
              <w:rPr>
                <w:sz w:val="20"/>
              </w:rPr>
              <w:t xml:space="preserve"> un tā galvenie </w:t>
            </w:r>
            <w:proofErr w:type="spellStart"/>
            <w:r w:rsidRPr="00A94180">
              <w:rPr>
                <w:sz w:val="20"/>
              </w:rPr>
              <w:t>diastereoizomēri</w:t>
            </w:r>
            <w:proofErr w:type="spellEnd"/>
            <w:r w:rsidRPr="00A94180">
              <w:rPr>
                <w:sz w:val="20"/>
              </w:rPr>
              <w:t>: alfa-</w:t>
            </w:r>
            <w:proofErr w:type="spellStart"/>
            <w:r w:rsidRPr="00A94180">
              <w:rPr>
                <w:sz w:val="20"/>
              </w:rPr>
              <w:t>heksa</w:t>
            </w:r>
            <w:proofErr w:type="spellEnd"/>
            <w:r w:rsidRPr="00A94180">
              <w:rPr>
                <w:sz w:val="20"/>
              </w:rPr>
              <w:t xml:space="preserve">, </w:t>
            </w:r>
            <w:proofErr w:type="spellStart"/>
            <w:r w:rsidRPr="00A94180">
              <w:rPr>
                <w:sz w:val="20"/>
              </w:rPr>
              <w:t>bromciklododekāns</w:t>
            </w:r>
            <w:proofErr w:type="spellEnd"/>
            <w:r w:rsidRPr="00A94180">
              <w:rPr>
                <w:sz w:val="20"/>
              </w:rPr>
              <w:t xml:space="preserve">, beta, </w:t>
            </w:r>
            <w:proofErr w:type="spellStart"/>
            <w:r w:rsidRPr="00A94180">
              <w:rPr>
                <w:sz w:val="20"/>
              </w:rPr>
              <w:t>heksabromciklododekāns</w:t>
            </w:r>
            <w:proofErr w:type="spellEnd"/>
            <w:r w:rsidRPr="00A94180">
              <w:rPr>
                <w:sz w:val="20"/>
              </w:rPr>
              <w:t xml:space="preserve"> un gamma-</w:t>
            </w:r>
            <w:proofErr w:type="spellStart"/>
            <w:r w:rsidRPr="00A94180">
              <w:rPr>
                <w:sz w:val="20"/>
              </w:rPr>
              <w:t>heksabromciklodo</w:t>
            </w:r>
            <w:proofErr w:type="spellEnd"/>
            <w:r w:rsidRPr="00A94180">
              <w:rPr>
                <w:sz w:val="20"/>
              </w:rPr>
              <w:t>, dekāns.</w:t>
            </w:r>
          </w:p>
        </w:tc>
        <w:tc>
          <w:tcPr>
            <w:tcW w:w="1430"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1237"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3278"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r>
    </w:tbl>
    <w:p w:rsidR="001006F6" w:rsidRPr="00A94180" w:rsidRDefault="001006F6" w:rsidP="001006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Grozījums</w:t>
            </w:r>
          </w:p>
        </w:tc>
      </w:tr>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AmColumnHeading"/>
              <w:jc w:val="left"/>
              <w:rPr>
                <w:b/>
              </w:rPr>
            </w:pPr>
            <w:r w:rsidRPr="00A94180">
              <w:rPr>
                <w:b/>
              </w:rPr>
              <w:t>cc)</w:t>
            </w:r>
            <w:r w:rsidRPr="00A94180">
              <w:rPr>
                <w:b/>
              </w:rPr>
              <w:tab/>
              <w:t>regulas IV pielikuma 1. tabulas 27. rindu aizstāj ar šādu:</w:t>
            </w:r>
          </w:p>
        </w:tc>
      </w:tr>
      <w:tr w:rsidR="00410C30" w:rsidRPr="00A94180" w:rsidTr="00522E5A">
        <w:tc>
          <w:tcPr>
            <w:tcW w:w="311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Heksabromciklododekāns</w:t>
            </w:r>
            <w:r w:rsidR="00410C30" w:rsidRPr="00A94180">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247-148-4</w:t>
            </w:r>
            <w:r w:rsidRPr="00A94180">
              <w:br/>
              <w:t>221-695-9</w:t>
            </w:r>
          </w:p>
        </w:tc>
        <w:tc>
          <w:tcPr>
            <w:tcW w:w="327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500 mg/kg</w:t>
            </w:r>
          </w:p>
          <w:p w:rsidR="001006F6" w:rsidRPr="00A94180" w:rsidRDefault="001006F6" w:rsidP="00522E5A">
            <w:pPr>
              <w:pStyle w:val="Normal6a"/>
            </w:pPr>
            <w:r w:rsidRPr="00A94180">
              <w:t xml:space="preserve">Komisija </w:t>
            </w:r>
            <w:r w:rsidRPr="00A94180">
              <w:rPr>
                <w:b/>
                <w:bCs/>
                <w:i/>
                <w:iCs/>
              </w:rPr>
              <w:t>līdz 2027. gada 30. decembrim</w:t>
            </w:r>
            <w:r w:rsidRPr="00A94180">
              <w:t xml:space="preserve"> pārskata minēto </w:t>
            </w:r>
            <w:proofErr w:type="spellStart"/>
            <w:r w:rsidRPr="00A94180">
              <w:t>robežkoncentrāciju</w:t>
            </w:r>
            <w:proofErr w:type="spellEnd"/>
            <w:r w:rsidRPr="00A94180">
              <w:t xml:space="preserve"> un attiecīgā gadījumā pieņem </w:t>
            </w:r>
            <w:r w:rsidRPr="00A94180">
              <w:rPr>
                <w:b/>
                <w:bCs/>
                <w:i/>
                <w:iCs/>
              </w:rPr>
              <w:t>deleģēto aktu saskaņā ar 15. panta 2. punktu</w:t>
            </w:r>
            <w:r w:rsidRPr="00A94180">
              <w:rPr>
                <w:b/>
                <w:bCs/>
              </w:rPr>
              <w:t xml:space="preserve"> </w:t>
            </w:r>
            <w:r w:rsidRPr="00A94180">
              <w:t>par minētās vērtības samazināšanu līdz ne vairāk kā 200 mg/kg.</w:t>
            </w:r>
          </w:p>
        </w:tc>
      </w:tr>
      <w:tr w:rsidR="00410C30" w:rsidRPr="00A94180" w:rsidTr="00522E5A">
        <w:tc>
          <w:tcPr>
            <w:tcW w:w="3115" w:type="dxa"/>
            <w:tcBorders>
              <w:top w:val="single" w:sz="4" w:space="0" w:color="auto"/>
              <w:left w:val="single" w:sz="4" w:space="0" w:color="auto"/>
              <w:bottom w:val="single" w:sz="4" w:space="0" w:color="auto"/>
              <w:right w:val="single" w:sz="4" w:space="0" w:color="auto"/>
            </w:tcBorders>
            <w:hideMark/>
          </w:tcPr>
          <w:p w:rsidR="001006F6" w:rsidRPr="00A94180" w:rsidRDefault="00410C30" w:rsidP="00410C30">
            <w:pPr>
              <w:pStyle w:val="Normal6a"/>
              <w:tabs>
                <w:tab w:val="left" w:pos="314"/>
              </w:tabs>
              <w:rPr>
                <w:sz w:val="20"/>
              </w:rPr>
            </w:pPr>
            <w:r w:rsidRPr="00A94180">
              <w:rPr>
                <w:sz w:val="20"/>
              </w:rPr>
              <w:t>(</w:t>
            </w:r>
            <w:r w:rsidRPr="00A94180">
              <w:rPr>
                <w:sz w:val="20"/>
                <w:vertAlign w:val="superscript"/>
              </w:rPr>
              <w:t>4</w:t>
            </w:r>
            <w:r w:rsidRPr="00A94180">
              <w:rPr>
                <w:sz w:val="20"/>
              </w:rPr>
              <w:t>) “</w:t>
            </w:r>
            <w:proofErr w:type="spellStart"/>
            <w:r w:rsidRPr="00A94180">
              <w:rPr>
                <w:sz w:val="20"/>
              </w:rPr>
              <w:t>Heksabromciklododekāns</w:t>
            </w:r>
            <w:proofErr w:type="spellEnd"/>
            <w:r w:rsidRPr="00A94180">
              <w:rPr>
                <w:sz w:val="20"/>
              </w:rPr>
              <w:t xml:space="preserve">” ir </w:t>
            </w:r>
            <w:proofErr w:type="spellStart"/>
            <w:r w:rsidRPr="00A94180">
              <w:rPr>
                <w:sz w:val="20"/>
              </w:rPr>
              <w:t>heksabromciklododekāns</w:t>
            </w:r>
            <w:proofErr w:type="spellEnd"/>
            <w:r w:rsidRPr="00A94180">
              <w:rPr>
                <w:sz w:val="20"/>
              </w:rPr>
              <w:t xml:space="preserve">, 1,2,5,6,9,10-heksabromci, </w:t>
            </w:r>
            <w:proofErr w:type="spellStart"/>
            <w:r w:rsidRPr="00A94180">
              <w:rPr>
                <w:sz w:val="20"/>
              </w:rPr>
              <w:t>klododekāns</w:t>
            </w:r>
            <w:proofErr w:type="spellEnd"/>
            <w:r w:rsidRPr="00A94180">
              <w:rPr>
                <w:sz w:val="20"/>
              </w:rPr>
              <w:t xml:space="preserve"> un tā galvenie </w:t>
            </w:r>
            <w:proofErr w:type="spellStart"/>
            <w:r w:rsidRPr="00A94180">
              <w:rPr>
                <w:sz w:val="20"/>
              </w:rPr>
              <w:t>diastereoizomēri</w:t>
            </w:r>
            <w:proofErr w:type="spellEnd"/>
            <w:r w:rsidRPr="00A94180">
              <w:rPr>
                <w:sz w:val="20"/>
              </w:rPr>
              <w:t>: alfa-</w:t>
            </w:r>
            <w:proofErr w:type="spellStart"/>
            <w:r w:rsidRPr="00A94180">
              <w:rPr>
                <w:sz w:val="20"/>
              </w:rPr>
              <w:t>heksa</w:t>
            </w:r>
            <w:proofErr w:type="spellEnd"/>
            <w:r w:rsidRPr="00A94180">
              <w:rPr>
                <w:sz w:val="20"/>
              </w:rPr>
              <w:t xml:space="preserve">, </w:t>
            </w:r>
            <w:proofErr w:type="spellStart"/>
            <w:r w:rsidRPr="00A94180">
              <w:rPr>
                <w:sz w:val="20"/>
              </w:rPr>
              <w:t>bromciklododekāns</w:t>
            </w:r>
            <w:proofErr w:type="spellEnd"/>
            <w:r w:rsidRPr="00A94180">
              <w:rPr>
                <w:sz w:val="20"/>
              </w:rPr>
              <w:t xml:space="preserve">, beta, </w:t>
            </w:r>
            <w:proofErr w:type="spellStart"/>
            <w:r w:rsidRPr="00A94180">
              <w:rPr>
                <w:sz w:val="20"/>
              </w:rPr>
              <w:t>heksabromciklododekāns</w:t>
            </w:r>
            <w:proofErr w:type="spellEnd"/>
            <w:r w:rsidRPr="00A94180">
              <w:rPr>
                <w:sz w:val="20"/>
              </w:rPr>
              <w:t xml:space="preserve"> un gamma-</w:t>
            </w:r>
            <w:proofErr w:type="spellStart"/>
            <w:r w:rsidRPr="00A94180">
              <w:rPr>
                <w:sz w:val="20"/>
              </w:rPr>
              <w:t>heksabromciklodo</w:t>
            </w:r>
            <w:proofErr w:type="spellEnd"/>
            <w:r w:rsidRPr="00A94180">
              <w:rPr>
                <w:sz w:val="20"/>
              </w:rPr>
              <w:t>, dekāns.</w:t>
            </w:r>
          </w:p>
        </w:tc>
        <w:tc>
          <w:tcPr>
            <w:tcW w:w="1430"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1237"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3278"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r>
    </w:tbl>
    <w:p w:rsidR="001006F6" w:rsidRPr="00A94180" w:rsidRDefault="001006F6" w:rsidP="001006F6"/>
    <w:p w:rsidR="001006F6" w:rsidRPr="00A94180" w:rsidRDefault="001006F6" w:rsidP="001006F6">
      <w:pPr>
        <w:pStyle w:val="AmNumberTabs"/>
      </w:pPr>
      <w:r w:rsidRPr="00A94180">
        <w:t>Grozījums Nr.</w:t>
      </w:r>
      <w:r w:rsidRPr="00A94180">
        <w:tab/>
        <w:t>18</w:t>
      </w:r>
    </w:p>
    <w:p w:rsidR="001006F6" w:rsidRPr="00A94180" w:rsidRDefault="001006F6" w:rsidP="001006F6">
      <w:pPr>
        <w:pStyle w:val="NormalBold"/>
      </w:pPr>
      <w:r w:rsidRPr="00A94180">
        <w:t>Regulas priekšlikums</w:t>
      </w:r>
    </w:p>
    <w:p w:rsidR="001006F6" w:rsidRPr="00A94180" w:rsidRDefault="001006F6" w:rsidP="001006F6">
      <w:pPr>
        <w:pStyle w:val="NormalBold"/>
      </w:pPr>
      <w:r w:rsidRPr="00A94180">
        <w:t>4. pants – 1. daļa – 5. punkts – cd apakšpunkts (jauns)</w:t>
      </w:r>
    </w:p>
    <w:p w:rsidR="001006F6" w:rsidRPr="00A94180" w:rsidRDefault="001006F6" w:rsidP="001006F6">
      <w:r w:rsidRPr="00A94180">
        <w:t>Regula (ES) 2019/1021</w:t>
      </w:r>
    </w:p>
    <w:p w:rsidR="001006F6" w:rsidRPr="00A94180" w:rsidRDefault="001006F6" w:rsidP="001006F6">
      <w:r w:rsidRPr="00A94180">
        <w:t>IV pielikums – 1. tabula – 30. rinda</w:t>
      </w:r>
    </w:p>
    <w:p w:rsidR="001006F6" w:rsidRPr="00A94180" w:rsidRDefault="001006F6" w:rsidP="001006F6">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Spēkā esošais teksts</w:t>
            </w:r>
          </w:p>
        </w:tc>
      </w:tr>
      <w:tr w:rsidR="00410C30" w:rsidRPr="00A94180" w:rsidTr="00522E5A">
        <w:tc>
          <w:tcPr>
            <w:tcW w:w="226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proofErr w:type="spellStart"/>
            <w:r w:rsidRPr="00A94180">
              <w:t>Perfluoroktānskābe</w:t>
            </w:r>
            <w:proofErr w:type="spellEnd"/>
            <w:r w:rsidRPr="00A94180">
              <w:t xml:space="preserve"> (PFOA), tās sāļi un ar PFOA saistīti savienojumi, kas noteikti I pielikumā</w:t>
            </w:r>
          </w:p>
        </w:tc>
        <w:tc>
          <w:tcPr>
            <w:tcW w:w="155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335-67-1 un citi</w:t>
            </w:r>
          </w:p>
        </w:tc>
        <w:tc>
          <w:tcPr>
            <w:tcW w:w="141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206-397-9 un citi</w:t>
            </w: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1 mg/kg</w:t>
            </w:r>
          </w:p>
          <w:p w:rsidR="001006F6" w:rsidRPr="00A94180" w:rsidRDefault="001006F6" w:rsidP="00522E5A">
            <w:pPr>
              <w:pStyle w:val="Normal6a"/>
            </w:pPr>
            <w:r w:rsidRPr="00A94180">
              <w:t>(PFOA un tās sāļi),</w:t>
            </w:r>
          </w:p>
          <w:p w:rsidR="001006F6" w:rsidRPr="00A94180" w:rsidRDefault="001006F6" w:rsidP="00522E5A">
            <w:pPr>
              <w:pStyle w:val="Normal6a"/>
            </w:pPr>
            <w:r w:rsidRPr="00A94180">
              <w:t>40 mg/kg</w:t>
            </w:r>
          </w:p>
          <w:p w:rsidR="001006F6" w:rsidRPr="00A94180" w:rsidRDefault="001006F6" w:rsidP="00522E5A">
            <w:pPr>
              <w:pStyle w:val="Normal6a"/>
            </w:pPr>
            <w:r w:rsidRPr="00A94180">
              <w:t>(ar PFOA saistīti savienojumi)</w:t>
            </w:r>
          </w:p>
          <w:p w:rsidR="001006F6" w:rsidRPr="00A94180" w:rsidRDefault="001006F6" w:rsidP="00522E5A">
            <w:pPr>
              <w:pStyle w:val="Normal6a"/>
            </w:pPr>
            <w:r w:rsidRPr="00A94180">
              <w:t xml:space="preserve">Komisija pārskata minēto </w:t>
            </w:r>
            <w:proofErr w:type="spellStart"/>
            <w:r w:rsidRPr="00A94180">
              <w:t>robežkoncentrāciju</w:t>
            </w:r>
            <w:proofErr w:type="spellEnd"/>
            <w:r w:rsidRPr="00A94180">
              <w:t xml:space="preserve"> un attiecīgā gadījumā </w:t>
            </w:r>
            <w:r w:rsidRPr="00A94180">
              <w:rPr>
                <w:b/>
                <w:bCs/>
                <w:i/>
                <w:iCs/>
              </w:rPr>
              <w:t>ne vēlāk kā līdz 2027. gada 30. decembrim</w:t>
            </w:r>
            <w:r w:rsidRPr="00A94180">
              <w:t xml:space="preserve"> pieņem </w:t>
            </w:r>
            <w:r w:rsidRPr="00A94180">
              <w:rPr>
                <w:b/>
                <w:bCs/>
                <w:i/>
                <w:iCs/>
              </w:rPr>
              <w:lastRenderedPageBreak/>
              <w:t>leģislatīvā akta priekšlikumu</w:t>
            </w:r>
            <w:r w:rsidRPr="00A94180">
              <w:t xml:space="preserve"> par minētās vērtības samazināšanu</w:t>
            </w:r>
            <w:r w:rsidRPr="00A94180">
              <w:rPr>
                <w:b/>
                <w:bCs/>
                <w:i/>
                <w:iCs/>
              </w:rPr>
              <w:t>, ja šāda samazināšana ir iespējama saskaņā ar zinātnes un tehnikas attīstību</w:t>
            </w:r>
            <w:r w:rsidRPr="00A94180">
              <w:t>.</w:t>
            </w:r>
          </w:p>
        </w:tc>
      </w:tr>
    </w:tbl>
    <w:p w:rsidR="001006F6" w:rsidRPr="00A94180" w:rsidRDefault="001006F6" w:rsidP="001006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Grozījums</w:t>
            </w:r>
          </w:p>
        </w:tc>
      </w:tr>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AmColumnHeading"/>
              <w:jc w:val="left"/>
              <w:rPr>
                <w:b/>
              </w:rPr>
            </w:pPr>
            <w:r w:rsidRPr="00A94180">
              <w:rPr>
                <w:b/>
              </w:rPr>
              <w:t>cd)</w:t>
            </w:r>
            <w:r w:rsidRPr="00A94180">
              <w:rPr>
                <w:b/>
              </w:rPr>
              <w:tab/>
              <w:t>regulas IV pielikuma 1. tabulas 30. rindu aizstāj ar šādu:</w:t>
            </w:r>
          </w:p>
        </w:tc>
      </w:tr>
      <w:tr w:rsidR="00410C30" w:rsidRPr="00A94180" w:rsidTr="00522E5A">
        <w:tc>
          <w:tcPr>
            <w:tcW w:w="226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proofErr w:type="spellStart"/>
            <w:r w:rsidRPr="00A94180">
              <w:t>Perfluoroktānskābe</w:t>
            </w:r>
            <w:proofErr w:type="spellEnd"/>
            <w:r w:rsidRPr="00A94180">
              <w:t xml:space="preserve"> (PFOA), tās sāļi un ar PFOA saistīti savienojumi, kas noteikti I pielikumā</w:t>
            </w:r>
          </w:p>
        </w:tc>
        <w:tc>
          <w:tcPr>
            <w:tcW w:w="155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335-67-1 un citi</w:t>
            </w:r>
          </w:p>
        </w:tc>
        <w:tc>
          <w:tcPr>
            <w:tcW w:w="141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206-397-9 un citi</w:t>
            </w: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1 mg/kg</w:t>
            </w:r>
          </w:p>
          <w:p w:rsidR="001006F6" w:rsidRPr="00A94180" w:rsidRDefault="001006F6" w:rsidP="00522E5A">
            <w:pPr>
              <w:pStyle w:val="Normal6a"/>
            </w:pPr>
            <w:r w:rsidRPr="00A94180">
              <w:t>(PFOA un tās sāļi),</w:t>
            </w:r>
          </w:p>
          <w:p w:rsidR="001006F6" w:rsidRPr="00A94180" w:rsidRDefault="001006F6" w:rsidP="00522E5A">
            <w:pPr>
              <w:pStyle w:val="Normal6a"/>
            </w:pPr>
            <w:r w:rsidRPr="00A94180">
              <w:t>40 mg/kg</w:t>
            </w:r>
          </w:p>
          <w:p w:rsidR="001006F6" w:rsidRPr="00A94180" w:rsidRDefault="001006F6" w:rsidP="00522E5A">
            <w:pPr>
              <w:pStyle w:val="Normal6a"/>
            </w:pPr>
            <w:r w:rsidRPr="00A94180">
              <w:t>(ar PFOA saistīti savienojumi)</w:t>
            </w:r>
          </w:p>
          <w:p w:rsidR="001006F6" w:rsidRPr="00A94180" w:rsidRDefault="001006F6" w:rsidP="00522E5A">
            <w:pPr>
              <w:pStyle w:val="Normal6a"/>
            </w:pPr>
            <w:r w:rsidRPr="00A94180">
              <w:t xml:space="preserve">Komisija </w:t>
            </w:r>
            <w:r w:rsidRPr="00A94180">
              <w:rPr>
                <w:b/>
                <w:bCs/>
                <w:i/>
                <w:iCs/>
              </w:rPr>
              <w:t>līdz 2027. gada 30. decembrim</w:t>
            </w:r>
            <w:r w:rsidRPr="00A94180">
              <w:t xml:space="preserve"> pārskata minēto </w:t>
            </w:r>
            <w:proofErr w:type="spellStart"/>
            <w:r w:rsidRPr="00A94180">
              <w:t>robežkoncentrāciju</w:t>
            </w:r>
            <w:proofErr w:type="spellEnd"/>
            <w:r w:rsidRPr="00A94180">
              <w:t xml:space="preserve"> un attiecīgā gadījumā pieņem </w:t>
            </w:r>
            <w:r w:rsidRPr="00A94180">
              <w:rPr>
                <w:b/>
                <w:bCs/>
                <w:i/>
                <w:iCs/>
              </w:rPr>
              <w:t>deleģēto aktu saskaņā ar 15. panta 2. punktu</w:t>
            </w:r>
            <w:r w:rsidRPr="00A94180">
              <w:rPr>
                <w:b/>
                <w:bCs/>
              </w:rPr>
              <w:t xml:space="preserve"> </w:t>
            </w:r>
            <w:r w:rsidRPr="00A94180">
              <w:t>par minētās vērtības samazināšanu.</w:t>
            </w:r>
          </w:p>
        </w:tc>
      </w:tr>
    </w:tbl>
    <w:p w:rsidR="001006F6" w:rsidRPr="00A94180" w:rsidRDefault="001006F6" w:rsidP="001006F6"/>
    <w:p w:rsidR="001006F6" w:rsidRPr="00A94180" w:rsidRDefault="001006F6" w:rsidP="001006F6">
      <w:pPr>
        <w:pStyle w:val="AmNumberTabs"/>
      </w:pPr>
      <w:r w:rsidRPr="00A94180">
        <w:t>Grozījums Nr.</w:t>
      </w:r>
      <w:r w:rsidRPr="00A94180">
        <w:tab/>
        <w:t>19</w:t>
      </w:r>
    </w:p>
    <w:p w:rsidR="001006F6" w:rsidRPr="00A94180" w:rsidRDefault="001006F6" w:rsidP="001006F6">
      <w:pPr>
        <w:rPr>
          <w:b/>
        </w:rPr>
      </w:pPr>
      <w:r w:rsidRPr="00A94180">
        <w:t>Regulas priekšlikums</w:t>
      </w:r>
    </w:p>
    <w:p w:rsidR="001006F6" w:rsidRPr="00A94180" w:rsidRDefault="001006F6" w:rsidP="001006F6">
      <w:pPr>
        <w:pStyle w:val="NormalBold"/>
      </w:pPr>
      <w:r w:rsidRPr="00A94180">
        <w:t xml:space="preserve">4. pants – 1. daļa – 5. punkts – </w:t>
      </w:r>
      <w:proofErr w:type="spellStart"/>
      <w:r w:rsidRPr="00A94180">
        <w:t>ce</w:t>
      </w:r>
      <w:proofErr w:type="spellEnd"/>
      <w:r w:rsidRPr="00A94180">
        <w:t xml:space="preserve"> apakšpunkts (jauns)</w:t>
      </w:r>
    </w:p>
    <w:p w:rsidR="001006F6" w:rsidRPr="00A94180" w:rsidRDefault="001006F6" w:rsidP="001006F6">
      <w:r w:rsidRPr="00A94180">
        <w:t>Regula (ES) 2019/1021</w:t>
      </w:r>
    </w:p>
    <w:p w:rsidR="001006F6" w:rsidRPr="00A94180" w:rsidRDefault="001006F6" w:rsidP="001006F6">
      <w:r w:rsidRPr="00A94180">
        <w:t>IV pielikums – 1. tabula – 31. rinda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6"/>
        <w:gridCol w:w="1413"/>
        <w:gridCol w:w="1295"/>
        <w:gridCol w:w="3536"/>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Spēkā esošais teksts</w:t>
            </w:r>
          </w:p>
        </w:tc>
      </w:tr>
      <w:tr w:rsidR="00410C30" w:rsidRPr="00A94180" w:rsidTr="00522E5A">
        <w:tc>
          <w:tcPr>
            <w:tcW w:w="2265"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proofErr w:type="spellStart"/>
            <w:r w:rsidRPr="00A94180">
              <w:t>Perfluorheksānsulfonskābe</w:t>
            </w:r>
            <w:proofErr w:type="spellEnd"/>
            <w:r w:rsidRPr="00A94180">
              <w:t xml:space="preserve"> (</w:t>
            </w:r>
            <w:proofErr w:type="spellStart"/>
            <w:r w:rsidRPr="00A94180">
              <w:t>PFHxS</w:t>
            </w:r>
            <w:proofErr w:type="spellEnd"/>
            <w:r w:rsidRPr="00A94180">
              <w:t xml:space="preserve">), tās sāļi un ar </w:t>
            </w:r>
            <w:proofErr w:type="spellStart"/>
            <w:r w:rsidRPr="00A94180">
              <w:t>PFHxS</w:t>
            </w:r>
            <w:proofErr w:type="spellEnd"/>
            <w:r w:rsidRPr="00A94180">
              <w:t xml:space="preserve"> saistīti savienojumi</w:t>
            </w:r>
          </w:p>
        </w:tc>
        <w:tc>
          <w:tcPr>
            <w:tcW w:w="155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355-46-4 un citi</w:t>
            </w:r>
          </w:p>
        </w:tc>
        <w:tc>
          <w:tcPr>
            <w:tcW w:w="141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206-587-1 un citi</w:t>
            </w: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1 mg/kg</w:t>
            </w:r>
          </w:p>
          <w:p w:rsidR="001006F6" w:rsidRPr="00A94180" w:rsidRDefault="001006F6" w:rsidP="00522E5A">
            <w:pPr>
              <w:pStyle w:val="Normal6a"/>
            </w:pPr>
            <w:r w:rsidRPr="00A94180">
              <w:t>(</w:t>
            </w:r>
            <w:proofErr w:type="spellStart"/>
            <w:r w:rsidRPr="00A94180">
              <w:t>PFHxS</w:t>
            </w:r>
            <w:proofErr w:type="spellEnd"/>
            <w:r w:rsidRPr="00A94180">
              <w:t xml:space="preserve"> un tās sāļi), 40 mg/kg</w:t>
            </w:r>
          </w:p>
          <w:p w:rsidR="001006F6" w:rsidRPr="00A94180" w:rsidRDefault="001006F6" w:rsidP="00522E5A">
            <w:pPr>
              <w:pStyle w:val="Normal6a"/>
            </w:pPr>
            <w:r w:rsidRPr="00A94180">
              <w:t xml:space="preserve">(ar </w:t>
            </w:r>
            <w:proofErr w:type="spellStart"/>
            <w:r w:rsidRPr="00A94180">
              <w:t>PFHxS</w:t>
            </w:r>
            <w:proofErr w:type="spellEnd"/>
            <w:r w:rsidRPr="00A94180">
              <w:t xml:space="preserve"> saistītu savienojumu summa)</w:t>
            </w:r>
          </w:p>
          <w:p w:rsidR="001006F6" w:rsidRPr="00A94180" w:rsidRDefault="001006F6" w:rsidP="00522E5A">
            <w:pPr>
              <w:pStyle w:val="Normal6a"/>
            </w:pPr>
            <w:r w:rsidRPr="00A94180">
              <w:t xml:space="preserve">Komisija pārskata minēto </w:t>
            </w:r>
            <w:proofErr w:type="spellStart"/>
            <w:r w:rsidRPr="00A94180">
              <w:t>robežkoncentrāciju</w:t>
            </w:r>
            <w:proofErr w:type="spellEnd"/>
            <w:r w:rsidRPr="00A94180">
              <w:t xml:space="preserve"> un attiecīgā gadījumā </w:t>
            </w:r>
            <w:r w:rsidRPr="00A94180">
              <w:rPr>
                <w:b/>
                <w:bCs/>
                <w:i/>
                <w:iCs/>
              </w:rPr>
              <w:t>ne vēlāk kā līdz 2027. gada 30. decembrim</w:t>
            </w:r>
            <w:r w:rsidRPr="00A94180">
              <w:t xml:space="preserve"> pieņem </w:t>
            </w:r>
            <w:r w:rsidRPr="00A94180">
              <w:rPr>
                <w:b/>
                <w:bCs/>
                <w:i/>
                <w:iCs/>
              </w:rPr>
              <w:t>leģislatīvā akta priekšlikumu</w:t>
            </w:r>
            <w:r w:rsidRPr="00A94180">
              <w:t xml:space="preserve"> par minētās vērtības samazināšanu</w:t>
            </w:r>
            <w:r w:rsidRPr="00A94180">
              <w:rPr>
                <w:b/>
                <w:bCs/>
                <w:i/>
                <w:iCs/>
              </w:rPr>
              <w:t>, ja šāda samazināšana ir iespējama saskaņā ar zinātnes un tehnikas attīstību</w:t>
            </w:r>
            <w:r w:rsidRPr="00A94180">
              <w:t>.</w:t>
            </w:r>
          </w:p>
        </w:tc>
      </w:tr>
    </w:tbl>
    <w:p w:rsidR="001006F6" w:rsidRPr="00A94180" w:rsidRDefault="001006F6" w:rsidP="001006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AmColumnHeading"/>
            </w:pPr>
            <w:r w:rsidRPr="00A94180">
              <w:t>Grozījums</w:t>
            </w:r>
          </w:p>
        </w:tc>
      </w:tr>
      <w:tr w:rsidR="00410C30" w:rsidRPr="00A94180" w:rsidTr="00522E5A">
        <w:tc>
          <w:tcPr>
            <w:tcW w:w="9060" w:type="dxa"/>
            <w:gridSpan w:val="4"/>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AmColumnHeading"/>
              <w:jc w:val="left"/>
              <w:rPr>
                <w:b/>
              </w:rPr>
            </w:pPr>
            <w:proofErr w:type="spellStart"/>
            <w:r w:rsidRPr="00A94180">
              <w:rPr>
                <w:b/>
              </w:rPr>
              <w:lastRenderedPageBreak/>
              <w:t>ce</w:t>
            </w:r>
            <w:proofErr w:type="spellEnd"/>
            <w:r w:rsidRPr="00A94180">
              <w:rPr>
                <w:b/>
              </w:rPr>
              <w:t>)</w:t>
            </w:r>
            <w:r w:rsidRPr="00A94180">
              <w:rPr>
                <w:b/>
              </w:rPr>
              <w:tab/>
              <w:t>regulas IV pielikuma 1. tabulas 31. rindu aizstāj ar šādu:</w:t>
            </w:r>
          </w:p>
        </w:tc>
      </w:tr>
      <w:tr w:rsidR="00410C30" w:rsidRPr="00A94180" w:rsidTr="00CE5CD1">
        <w:tc>
          <w:tcPr>
            <w:tcW w:w="2265" w:type="dxa"/>
            <w:tcBorders>
              <w:top w:val="single" w:sz="4" w:space="0" w:color="auto"/>
              <w:left w:val="single" w:sz="4" w:space="0" w:color="auto"/>
              <w:bottom w:val="single" w:sz="4" w:space="0" w:color="auto"/>
              <w:right w:val="single" w:sz="4" w:space="0" w:color="auto"/>
            </w:tcBorders>
          </w:tcPr>
          <w:p w:rsidR="001006F6" w:rsidRPr="00A94180" w:rsidRDefault="001006F6" w:rsidP="00522E5A">
            <w:pPr>
              <w:pStyle w:val="Normal6a"/>
            </w:pPr>
          </w:p>
        </w:tc>
        <w:tc>
          <w:tcPr>
            <w:tcW w:w="1558"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355-46-4 un citi</w:t>
            </w:r>
          </w:p>
        </w:tc>
        <w:tc>
          <w:tcPr>
            <w:tcW w:w="1417"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206-587-1 un citi</w:t>
            </w:r>
          </w:p>
        </w:tc>
        <w:tc>
          <w:tcPr>
            <w:tcW w:w="3820" w:type="dxa"/>
            <w:tcBorders>
              <w:top w:val="single" w:sz="4" w:space="0" w:color="auto"/>
              <w:left w:val="single" w:sz="4" w:space="0" w:color="auto"/>
              <w:bottom w:val="single" w:sz="4" w:space="0" w:color="auto"/>
              <w:right w:val="single" w:sz="4" w:space="0" w:color="auto"/>
            </w:tcBorders>
            <w:hideMark/>
          </w:tcPr>
          <w:p w:rsidR="001006F6" w:rsidRPr="00A94180" w:rsidRDefault="001006F6" w:rsidP="00522E5A">
            <w:pPr>
              <w:pStyle w:val="Normal6a"/>
            </w:pPr>
            <w:r w:rsidRPr="00A94180">
              <w:t>1 mg/kg</w:t>
            </w:r>
          </w:p>
          <w:p w:rsidR="001006F6" w:rsidRPr="00A94180" w:rsidRDefault="001006F6" w:rsidP="00522E5A">
            <w:pPr>
              <w:pStyle w:val="Normal6a"/>
            </w:pPr>
            <w:r w:rsidRPr="00A94180">
              <w:t>(</w:t>
            </w:r>
            <w:proofErr w:type="spellStart"/>
            <w:r w:rsidRPr="00A94180">
              <w:t>PFHxS</w:t>
            </w:r>
            <w:proofErr w:type="spellEnd"/>
            <w:r w:rsidRPr="00A94180">
              <w:t xml:space="preserve"> un tās sāļi), 40 mg/kg</w:t>
            </w:r>
          </w:p>
          <w:p w:rsidR="001006F6" w:rsidRPr="00A94180" w:rsidRDefault="001006F6" w:rsidP="00522E5A">
            <w:pPr>
              <w:pStyle w:val="Normal6a"/>
            </w:pPr>
            <w:r w:rsidRPr="00A94180">
              <w:t xml:space="preserve">(ar </w:t>
            </w:r>
            <w:proofErr w:type="spellStart"/>
            <w:r w:rsidRPr="00A94180">
              <w:t>PFHxS</w:t>
            </w:r>
            <w:proofErr w:type="spellEnd"/>
            <w:r w:rsidRPr="00A94180">
              <w:t xml:space="preserve"> saistītu savienojumu summa)</w:t>
            </w:r>
          </w:p>
          <w:p w:rsidR="001006F6" w:rsidRPr="00A94180" w:rsidRDefault="001006F6" w:rsidP="00522E5A">
            <w:pPr>
              <w:pStyle w:val="Normal6a"/>
            </w:pPr>
            <w:r w:rsidRPr="00A94180">
              <w:t xml:space="preserve">Komisija </w:t>
            </w:r>
            <w:r w:rsidRPr="00A94180">
              <w:rPr>
                <w:b/>
                <w:bCs/>
                <w:i/>
                <w:iCs/>
              </w:rPr>
              <w:t>līdz 2027. gada 30. decembrim</w:t>
            </w:r>
            <w:r w:rsidRPr="00A94180">
              <w:t xml:space="preserve"> pārskata minēto </w:t>
            </w:r>
            <w:proofErr w:type="spellStart"/>
            <w:r w:rsidRPr="00A94180">
              <w:t>robežkoncentrāciju</w:t>
            </w:r>
            <w:proofErr w:type="spellEnd"/>
            <w:r w:rsidRPr="00A94180">
              <w:t xml:space="preserve"> un attiecīgā gadījumā pieņem </w:t>
            </w:r>
            <w:r w:rsidRPr="00A94180">
              <w:rPr>
                <w:b/>
                <w:bCs/>
                <w:i/>
                <w:iCs/>
              </w:rPr>
              <w:t>deleģēto aktu saskaņā ar 15. panta 2. punktu</w:t>
            </w:r>
            <w:r w:rsidRPr="00A94180">
              <w:t xml:space="preserve"> par minētās vērtības samazināšanu.</w:t>
            </w:r>
          </w:p>
        </w:tc>
      </w:tr>
    </w:tbl>
    <w:p w:rsidR="00E365E1" w:rsidRPr="00A94180" w:rsidRDefault="00E365E1" w:rsidP="00737451"/>
    <w:sectPr w:rsidR="00E365E1" w:rsidRPr="00A94180" w:rsidSect="008C49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451" w:rsidRPr="008C49AB" w:rsidRDefault="00737451">
      <w:r w:rsidRPr="008C49AB">
        <w:separator/>
      </w:r>
    </w:p>
  </w:endnote>
  <w:endnote w:type="continuationSeparator" w:id="0">
    <w:p w:rsidR="00737451" w:rsidRPr="008C49AB" w:rsidRDefault="00737451">
      <w:r w:rsidRPr="008C49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9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9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9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451" w:rsidRPr="008C49AB" w:rsidRDefault="00737451">
      <w:r w:rsidRPr="008C49AB">
        <w:separator/>
      </w:r>
    </w:p>
  </w:footnote>
  <w:footnote w:type="continuationSeparator" w:id="0">
    <w:p w:rsidR="00737451" w:rsidRPr="008C49AB" w:rsidRDefault="00737451">
      <w:r w:rsidRPr="008C49AB">
        <w:continuationSeparator/>
      </w:r>
    </w:p>
  </w:footnote>
  <w:footnote w:id="1">
    <w:p w:rsidR="00241E3A" w:rsidRPr="00241E3A" w:rsidRDefault="00241E3A" w:rsidP="00241E3A">
      <w:pPr>
        <w:pStyle w:val="FootnoteText"/>
        <w:ind w:left="567" w:hanging="567"/>
        <w:rPr>
          <w:sz w:val="24"/>
          <w:szCs w:val="24"/>
          <w:lang w:val="hu-HU"/>
        </w:rPr>
      </w:pPr>
      <w:r w:rsidRPr="00241E3A">
        <w:rPr>
          <w:rStyle w:val="FootnoteReference"/>
          <w:sz w:val="24"/>
          <w:szCs w:val="24"/>
        </w:rPr>
        <w:footnoteRef/>
      </w:r>
      <w:r w:rsidRPr="00241E3A">
        <w:rPr>
          <w:sz w:val="24"/>
          <w:szCs w:val="24"/>
          <w:lang w:val="hu-HU"/>
        </w:rPr>
        <w:t xml:space="preserve"> </w:t>
      </w:r>
      <w:r w:rsidRPr="00241E3A">
        <w:rPr>
          <w:sz w:val="24"/>
          <w:szCs w:val="24"/>
          <w:lang w:val="hu-HU"/>
        </w:rPr>
        <w:tab/>
      </w:r>
      <w:proofErr w:type="spellStart"/>
      <w:r w:rsidRPr="00241E3A">
        <w:rPr>
          <w:sz w:val="24"/>
          <w:szCs w:val="24"/>
          <w:lang w:val="hu-HU"/>
        </w:rPr>
        <w:t>Jautājums</w:t>
      </w:r>
      <w:proofErr w:type="spellEnd"/>
      <w:r w:rsidRPr="00241E3A">
        <w:rPr>
          <w:sz w:val="24"/>
          <w:szCs w:val="24"/>
          <w:lang w:val="hu-HU"/>
        </w:rPr>
        <w:t xml:space="preserve"> </w:t>
      </w:r>
      <w:proofErr w:type="spellStart"/>
      <w:r w:rsidRPr="00241E3A">
        <w:rPr>
          <w:sz w:val="24"/>
          <w:szCs w:val="24"/>
          <w:lang w:val="hu-HU"/>
        </w:rPr>
        <w:t>tika</w:t>
      </w:r>
      <w:proofErr w:type="spellEnd"/>
      <w:r w:rsidRPr="00241E3A">
        <w:rPr>
          <w:sz w:val="24"/>
          <w:szCs w:val="24"/>
          <w:lang w:val="hu-HU"/>
        </w:rPr>
        <w:t xml:space="preserve"> </w:t>
      </w:r>
      <w:proofErr w:type="spellStart"/>
      <w:r w:rsidRPr="00241E3A">
        <w:rPr>
          <w:sz w:val="24"/>
          <w:szCs w:val="24"/>
          <w:lang w:val="hu-HU"/>
        </w:rPr>
        <w:t>nodots</w:t>
      </w:r>
      <w:proofErr w:type="spellEnd"/>
      <w:r w:rsidRPr="00241E3A">
        <w:rPr>
          <w:sz w:val="24"/>
          <w:szCs w:val="24"/>
          <w:lang w:val="hu-HU"/>
        </w:rPr>
        <w:t xml:space="preserve"> </w:t>
      </w:r>
      <w:proofErr w:type="spellStart"/>
      <w:r w:rsidRPr="00241E3A">
        <w:rPr>
          <w:sz w:val="24"/>
          <w:szCs w:val="24"/>
          <w:lang w:val="hu-HU"/>
        </w:rPr>
        <w:t>atpakaļ</w:t>
      </w:r>
      <w:proofErr w:type="spellEnd"/>
      <w:r w:rsidRPr="00241E3A">
        <w:rPr>
          <w:sz w:val="24"/>
          <w:szCs w:val="24"/>
          <w:lang w:val="hu-HU"/>
        </w:rPr>
        <w:t xml:space="preserve"> </w:t>
      </w:r>
      <w:proofErr w:type="spellStart"/>
      <w:r w:rsidRPr="00241E3A">
        <w:rPr>
          <w:sz w:val="24"/>
          <w:szCs w:val="24"/>
          <w:lang w:val="hu-HU"/>
        </w:rPr>
        <w:t>atbildīgajai</w:t>
      </w:r>
      <w:proofErr w:type="spellEnd"/>
      <w:r w:rsidRPr="00241E3A">
        <w:rPr>
          <w:sz w:val="24"/>
          <w:szCs w:val="24"/>
          <w:lang w:val="hu-HU"/>
        </w:rPr>
        <w:t xml:space="preserve"> </w:t>
      </w:r>
      <w:proofErr w:type="spellStart"/>
      <w:r w:rsidRPr="00241E3A">
        <w:rPr>
          <w:sz w:val="24"/>
          <w:szCs w:val="24"/>
          <w:lang w:val="hu-HU"/>
        </w:rPr>
        <w:t>komitejai</w:t>
      </w:r>
      <w:proofErr w:type="spellEnd"/>
      <w:r w:rsidRPr="00241E3A">
        <w:rPr>
          <w:sz w:val="24"/>
          <w:szCs w:val="24"/>
          <w:lang w:val="hu-HU"/>
        </w:rPr>
        <w:t xml:space="preserve"> </w:t>
      </w:r>
      <w:proofErr w:type="spellStart"/>
      <w:r w:rsidRPr="00241E3A">
        <w:rPr>
          <w:sz w:val="24"/>
          <w:szCs w:val="24"/>
          <w:lang w:val="hu-HU"/>
        </w:rPr>
        <w:t>starpiestāžu</w:t>
      </w:r>
      <w:proofErr w:type="spellEnd"/>
      <w:r w:rsidRPr="00241E3A">
        <w:rPr>
          <w:sz w:val="24"/>
          <w:szCs w:val="24"/>
          <w:lang w:val="hu-HU"/>
        </w:rPr>
        <w:t xml:space="preserve"> </w:t>
      </w:r>
      <w:proofErr w:type="spellStart"/>
      <w:r w:rsidRPr="00241E3A">
        <w:rPr>
          <w:sz w:val="24"/>
          <w:szCs w:val="24"/>
          <w:lang w:val="hu-HU"/>
        </w:rPr>
        <w:t>sarunām</w:t>
      </w:r>
      <w:proofErr w:type="spellEnd"/>
      <w:r w:rsidRPr="00241E3A">
        <w:rPr>
          <w:sz w:val="24"/>
          <w:szCs w:val="24"/>
          <w:lang w:val="hu-HU"/>
        </w:rPr>
        <w:t xml:space="preserve"> </w:t>
      </w:r>
      <w:proofErr w:type="spellStart"/>
      <w:r w:rsidRPr="00241E3A">
        <w:rPr>
          <w:sz w:val="24"/>
          <w:szCs w:val="24"/>
          <w:lang w:val="hu-HU"/>
        </w:rPr>
        <w:t>saskaņā</w:t>
      </w:r>
      <w:proofErr w:type="spellEnd"/>
      <w:r w:rsidRPr="00241E3A">
        <w:rPr>
          <w:sz w:val="24"/>
          <w:szCs w:val="24"/>
          <w:lang w:val="hu-HU"/>
        </w:rPr>
        <w:t xml:space="preserve"> </w:t>
      </w:r>
      <w:proofErr w:type="spellStart"/>
      <w:r w:rsidRPr="00241E3A">
        <w:rPr>
          <w:sz w:val="24"/>
          <w:szCs w:val="24"/>
          <w:lang w:val="hu-HU"/>
        </w:rPr>
        <w:t>ar</w:t>
      </w:r>
      <w:proofErr w:type="spellEnd"/>
      <w:r w:rsidRPr="00241E3A">
        <w:rPr>
          <w:sz w:val="24"/>
          <w:szCs w:val="24"/>
          <w:lang w:val="hu-HU"/>
        </w:rPr>
        <w:t xml:space="preserve"> </w:t>
      </w:r>
      <w:r w:rsidR="00CE5CD1">
        <w:rPr>
          <w:sz w:val="24"/>
          <w:szCs w:val="24"/>
          <w:lang w:val="hu-HU"/>
        </w:rPr>
        <w:t>60</w:t>
      </w:r>
      <w:r w:rsidRPr="00241E3A">
        <w:rPr>
          <w:sz w:val="24"/>
          <w:szCs w:val="24"/>
          <w:lang w:val="hu-HU"/>
        </w:rPr>
        <w:t>. </w:t>
      </w:r>
      <w:proofErr w:type="spellStart"/>
      <w:r w:rsidRPr="00241E3A">
        <w:rPr>
          <w:sz w:val="24"/>
          <w:szCs w:val="24"/>
          <w:lang w:val="hu-HU"/>
        </w:rPr>
        <w:t>panta</w:t>
      </w:r>
      <w:proofErr w:type="spellEnd"/>
      <w:r w:rsidRPr="00241E3A">
        <w:rPr>
          <w:sz w:val="24"/>
          <w:szCs w:val="24"/>
          <w:lang w:val="hu-HU"/>
        </w:rPr>
        <w:t xml:space="preserve"> 4. </w:t>
      </w:r>
      <w:proofErr w:type="spellStart"/>
      <w:r w:rsidRPr="00241E3A">
        <w:rPr>
          <w:sz w:val="24"/>
          <w:szCs w:val="24"/>
          <w:lang w:val="hu-HU"/>
        </w:rPr>
        <w:t>punkta</w:t>
      </w:r>
      <w:proofErr w:type="spellEnd"/>
      <w:r w:rsidRPr="00241E3A">
        <w:rPr>
          <w:sz w:val="24"/>
          <w:szCs w:val="24"/>
          <w:lang w:val="hu-HU"/>
        </w:rPr>
        <w:t xml:space="preserve"> </w:t>
      </w:r>
      <w:proofErr w:type="spellStart"/>
      <w:r w:rsidRPr="00241E3A">
        <w:rPr>
          <w:sz w:val="24"/>
          <w:szCs w:val="24"/>
          <w:lang w:val="hu-HU"/>
        </w:rPr>
        <w:t>ceturto</w:t>
      </w:r>
      <w:proofErr w:type="spellEnd"/>
      <w:r w:rsidRPr="00241E3A">
        <w:rPr>
          <w:sz w:val="24"/>
          <w:szCs w:val="24"/>
          <w:lang w:val="hu-HU"/>
        </w:rPr>
        <w:t xml:space="preserve"> </w:t>
      </w:r>
      <w:proofErr w:type="spellStart"/>
      <w:r w:rsidRPr="00241E3A">
        <w:rPr>
          <w:sz w:val="24"/>
          <w:szCs w:val="24"/>
          <w:lang w:val="hu-HU"/>
        </w:rPr>
        <w:t>daļu</w:t>
      </w:r>
      <w:proofErr w:type="spellEnd"/>
      <w:r w:rsidRPr="00241E3A">
        <w:rPr>
          <w:sz w:val="24"/>
          <w:szCs w:val="24"/>
          <w:lang w:val="hu-HU"/>
        </w:rPr>
        <w:t xml:space="preserve"> (A10-0020/2025)</w:t>
      </w:r>
      <w:r w:rsidRPr="00241E3A">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9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9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9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LV"/>
    <w:docVar w:name="dvnumam" w:val="19"/>
    <w:docVar w:name="dvpe" w:val="763.253"/>
    <w:docVar w:name="dvrapporteur" w:val="Referents: "/>
    <w:docVar w:name="dvstar" w:val="***I"/>
    <w:docVar w:name="dvtitre" w:val="Eiropas Parlamenta 2025. gada XX. XXX normatīvā rezolūcija par priekšlikumu Eiropas Parlamenta un Padomes regulai, ar ko attiecībā uz zinātnisko un tehnisko uzdevumu pārdalīšanu un Savienības aģentūru sadarbības uzlabošanu ķimikāliju jomā groza Eiropas Parlamenta un Padomes Regulu (EK) Nr. 178/2002, Regulu (EK) Nr. 401/2009, Regulu (ES) 2017/745 un Regulu (ES) 2019/1021;(COM(2023)0783 – C9-0447/2023 – 2023/0455(COD))"/>
  </w:docVars>
  <w:rsids>
    <w:rsidRoot w:val="00737451"/>
    <w:rsid w:val="00002272"/>
    <w:rsid w:val="00064002"/>
    <w:rsid w:val="000677B9"/>
    <w:rsid w:val="000831BA"/>
    <w:rsid w:val="000A42CC"/>
    <w:rsid w:val="000E7DD9"/>
    <w:rsid w:val="001006F6"/>
    <w:rsid w:val="0010095E"/>
    <w:rsid w:val="00125B37"/>
    <w:rsid w:val="00187494"/>
    <w:rsid w:val="001F32AE"/>
    <w:rsid w:val="00241E3A"/>
    <w:rsid w:val="002767FF"/>
    <w:rsid w:val="002B18FE"/>
    <w:rsid w:val="002B5493"/>
    <w:rsid w:val="00343214"/>
    <w:rsid w:val="00361C00"/>
    <w:rsid w:val="00395FA1"/>
    <w:rsid w:val="003E15D4"/>
    <w:rsid w:val="00410C3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C02"/>
    <w:rsid w:val="00731ADD"/>
    <w:rsid w:val="00734777"/>
    <w:rsid w:val="0073745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9AB"/>
    <w:rsid w:val="00930C23"/>
    <w:rsid w:val="0093193B"/>
    <w:rsid w:val="009509D8"/>
    <w:rsid w:val="00950B64"/>
    <w:rsid w:val="00981893"/>
    <w:rsid w:val="00A1687D"/>
    <w:rsid w:val="00A43E52"/>
    <w:rsid w:val="00A4678D"/>
    <w:rsid w:val="00A778C7"/>
    <w:rsid w:val="00A9418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CD1"/>
    <w:rsid w:val="00CF071A"/>
    <w:rsid w:val="00D058B8"/>
    <w:rsid w:val="00D56C11"/>
    <w:rsid w:val="00D834A0"/>
    <w:rsid w:val="00D872DF"/>
    <w:rsid w:val="00D91E21"/>
    <w:rsid w:val="00DA7FCD"/>
    <w:rsid w:val="00E365E1"/>
    <w:rsid w:val="00E71443"/>
    <w:rsid w:val="00E820A4"/>
    <w:rsid w:val="00EB006A"/>
    <w:rsid w:val="00EB4772"/>
    <w:rsid w:val="00ED169E"/>
    <w:rsid w:val="00ED4235"/>
    <w:rsid w:val="00F04346"/>
    <w:rsid w:val="00F075DC"/>
    <w:rsid w:val="00F149E9"/>
    <w:rsid w:val="00F30469"/>
    <w:rsid w:val="00F5134D"/>
    <w:rsid w:val="00F74202"/>
    <w:rsid w:val="00F87713"/>
    <w:rsid w:val="00FA010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1F0A52-E55E-4783-93CB-CA8A4A1E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006F6"/>
    <w:pPr>
      <w:spacing w:after="120"/>
    </w:pPr>
  </w:style>
  <w:style w:type="paragraph" w:customStyle="1" w:styleId="NormalBold">
    <w:name w:val="NormalBold"/>
    <w:basedOn w:val="Normal"/>
    <w:link w:val="NormalBoldChar"/>
    <w:rsid w:val="001006F6"/>
    <w:rPr>
      <w:b/>
    </w:rPr>
  </w:style>
  <w:style w:type="paragraph" w:customStyle="1" w:styleId="NormalBold12a">
    <w:name w:val="NormalBold12a"/>
    <w:basedOn w:val="Normal"/>
    <w:rsid w:val="001006F6"/>
    <w:pPr>
      <w:spacing w:after="240"/>
    </w:pPr>
    <w:rPr>
      <w:b/>
    </w:rPr>
  </w:style>
  <w:style w:type="paragraph" w:customStyle="1" w:styleId="NormalHanging12a">
    <w:name w:val="NormalHanging12a"/>
    <w:basedOn w:val="Normal"/>
    <w:rsid w:val="001006F6"/>
    <w:pPr>
      <w:spacing w:after="240"/>
      <w:ind w:left="567" w:hanging="567"/>
    </w:pPr>
  </w:style>
  <w:style w:type="paragraph" w:customStyle="1" w:styleId="AmColumnHeading">
    <w:name w:val="AmColumnHeading"/>
    <w:basedOn w:val="Normal"/>
    <w:rsid w:val="001006F6"/>
    <w:pPr>
      <w:spacing w:after="240"/>
      <w:jc w:val="center"/>
    </w:pPr>
    <w:rPr>
      <w:i/>
    </w:rPr>
  </w:style>
  <w:style w:type="paragraph" w:customStyle="1" w:styleId="AmNumberTabs">
    <w:name w:val="AmNumberTabs"/>
    <w:basedOn w:val="Normal"/>
    <w:rsid w:val="001006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006F6"/>
    <w:pPr>
      <w:spacing w:before="480" w:after="240"/>
    </w:pPr>
  </w:style>
  <w:style w:type="character" w:customStyle="1" w:styleId="Normal6Char">
    <w:name w:val="Normal6 Char"/>
    <w:basedOn w:val="DefaultParagraphFont"/>
    <w:link w:val="Normal6"/>
    <w:locked/>
    <w:rsid w:val="001006F6"/>
    <w:rPr>
      <w:sz w:val="24"/>
      <w:lang w:val="lv-LV"/>
    </w:rPr>
  </w:style>
  <w:style w:type="paragraph" w:customStyle="1" w:styleId="Normal6">
    <w:name w:val="Normal6"/>
    <w:basedOn w:val="Normal"/>
    <w:link w:val="Normal6Char"/>
    <w:rsid w:val="001006F6"/>
    <w:pPr>
      <w:spacing w:after="120"/>
    </w:pPr>
  </w:style>
  <w:style w:type="character" w:customStyle="1" w:styleId="NormalBoldChar">
    <w:name w:val="NormalBold Char"/>
    <w:basedOn w:val="DefaultParagraphFont"/>
    <w:link w:val="NormalBold"/>
    <w:locked/>
    <w:rsid w:val="001006F6"/>
    <w:rPr>
      <w:b/>
      <w:sz w:val="24"/>
      <w:lang w:val="lv-LV"/>
    </w:rPr>
  </w:style>
  <w:style w:type="paragraph" w:customStyle="1" w:styleId="ColumnHeading">
    <w:name w:val="ColumnHeading"/>
    <w:basedOn w:val="Normal"/>
    <w:rsid w:val="001006F6"/>
    <w:pPr>
      <w:spacing w:after="240"/>
      <w:jc w:val="center"/>
    </w:pPr>
    <w:rPr>
      <w:i/>
    </w:rPr>
  </w:style>
  <w:style w:type="paragraph" w:customStyle="1" w:styleId="Normal0">
    <w:name w:val="Normal0"/>
    <w:basedOn w:val="Normal"/>
    <w:rsid w:val="001006F6"/>
    <w:rPr>
      <w:sz w:val="2"/>
      <w:szCs w:val="24"/>
      <w:lang w:eastAsia="en-US"/>
    </w:rPr>
  </w:style>
  <w:style w:type="paragraph" w:styleId="BalloonText">
    <w:name w:val="Balloon Text"/>
    <w:basedOn w:val="Normal"/>
    <w:link w:val="BalloonTextChar"/>
    <w:rsid w:val="00410C30"/>
    <w:rPr>
      <w:rFonts w:ascii="Segoe UI" w:hAnsi="Segoe UI" w:cs="Segoe UI"/>
      <w:sz w:val="18"/>
      <w:szCs w:val="18"/>
    </w:rPr>
  </w:style>
  <w:style w:type="character" w:customStyle="1" w:styleId="BalloonTextChar">
    <w:name w:val="Balloon Text Char"/>
    <w:basedOn w:val="DefaultParagraphFont"/>
    <w:link w:val="BalloonText"/>
    <w:rsid w:val="00410C30"/>
    <w:rPr>
      <w:rFonts w:ascii="Segoe UI" w:hAnsi="Segoe UI" w:cs="Segoe UI"/>
      <w:sz w:val="18"/>
      <w:szCs w:val="18"/>
      <w:lang w:val="lv-LV"/>
    </w:rPr>
  </w:style>
  <w:style w:type="character" w:styleId="Hyperlink">
    <w:name w:val="Hyperlink"/>
    <w:basedOn w:val="DefaultParagraphFont"/>
    <w:rsid w:val="00410C30"/>
    <w:rPr>
      <w:color w:val="0563C1" w:themeColor="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241E3A"/>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92EC0-BDCB-4546-AF73-4496E2E72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2617</Words>
  <Characters>17417</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2025-06-05T13:38:00Z</dcterms:created>
  <dcterms:modified xsi:type="dcterms:W3CDTF">2025-06-05T13:38:00Z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P10_TA(2025)0047_</vt:lpwstr>
  </property>
  <property fmtid="{D5CDD505-2E9C-101B-9397-08002B2CF9AE}" pid="4" name="&lt;Type&gt;">
    <vt:lpwstr>RR</vt:lpwstr>
  </property>
</Properties>
</file>