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P10_TA(2025)0047</w:t>
      </w:r>
      <w:bookmarkEnd w:id="0"/>
    </w:p>
    <w:p>
      <w:pPr>
        <w:pStyle w:val="ATHeading2"/>
      </w:pPr>
      <w:bookmarkStart w:id="1" w:name="title"/>
      <w:r>
        <w:t>Prerozdelenie vedeckých a technických úloh a zlepšenie spolupráce medzi agentúrami Únie v oblasti chemických látok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A10-0020/2025</w:instrText>
      </w:r>
      <w:bookmarkEnd w:id="2"/>
      <w:r>
        <w:rPr>
          <w:i/>
        </w:rPr>
        <w:instrText xml:space="preserve"> - Spravodajca: </w:instrText>
      </w:r>
      <w:proofErr w:type="spellStart"/>
      <w:r>
        <w:rPr>
          <w:i/>
        </w:rPr>
        <w:instrText>Dimitris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Tsiodras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životné prostredie, klímu a bezpečnosť potravín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PE763.253</w:t>
      </w:r>
      <w:bookmarkEnd w:id="4"/>
    </w:p>
    <w:p>
      <w:pPr>
        <w:pStyle w:val="ATHeading3"/>
      </w:pPr>
      <w:bookmarkStart w:id="5" w:name="Sujet"/>
      <w:r>
        <w:t>Pozmeňujúce návrhy prijaté Európskym parlamentom 1. apríla 2025 k návrhu nariadenia Európskeho parlamentu a Rady, ktorým sa menia nariadenia Európskeho parlamentu a Rady (ES) č. 178/2002, (ES) č. 401/2009, (EÚ) 2017/745 a (EÚ) 2019/1021, pokiaľ ide o prerozdelenie vedeckých a technických úloh a zlepšenie spolupráce medzi agentúrami Únie v oblasti chemických látok</w:t>
      </w:r>
      <w:bookmarkEnd w:id="5"/>
      <w:r>
        <w:t xml:space="preserve"> </w:t>
      </w:r>
      <w:bookmarkStart w:id="6" w:name="References"/>
      <w:r>
        <w:t>(COM(2023)0783 – C9-0447/2023 – 2023/0455(COD))</w:t>
      </w:r>
      <w:bookmarkEnd w:id="6"/>
      <w:r>
        <w:rPr>
          <w:rStyle w:val="FootnoteReference"/>
        </w:rPr>
        <w:footnoteReference w:id="1"/>
      </w:r>
    </w:p>
    <w:p>
      <w:r>
        <w:rPr>
          <w:b/>
        </w:rPr>
        <w:t>(Riadny legislatívny postup: prvé čítanie)</w:t>
      </w:r>
    </w:p>
    <w:p>
      <w:pPr>
        <w:pStyle w:val="NormalHanging12a"/>
      </w:pPr>
    </w:p>
    <w:p>
      <w:pPr>
        <w:widowControl/>
      </w:pPr>
      <w:r>
        <w:br w:type="page"/>
      </w:r>
      <w:bookmarkStart w:id="7" w:name="_GoBack"/>
      <w:bookmarkEnd w:id="7"/>
    </w:p>
    <w:p/>
    <w:p>
      <w:pPr>
        <w:pStyle w:val="AmNumberTabs"/>
      </w:pPr>
      <w:r>
        <w:t>Pozmeňujúci návrh</w:t>
      </w:r>
      <w:r>
        <w:tab/>
      </w:r>
      <w:r>
        <w:tab/>
        <w:t>1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Odôvodnenie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(8)</w:t>
            </w:r>
            <w:r>
              <w:tab/>
              <w:t>Cieľom tohto nariadenia je teda riešiť prípadné rozdiely medzi vedeckými stanoviskami Európskeho úradu pre bezpečnosť potravín a stanoviskami iných agentúr Únie. Nariadenie Európskeho parlamentu a Rady (ES) č. 178/2002 už obsahuje ustanovenia, ktorými sa zavádza postup na riešenie rozdielnych vedeckých stanovísk. Tieto postupy riešenia by sa mali posilniť v tom zmysle, že Európsky úrad pre bezpečnosť potravín a druhá agentúra, ktorá zastáva odlišné stanovisko, by mali byť povinné vynaložiť maximálne úsilie na vyriešenie rozdielov vo všeobecných vedeckých otázkach</w:t>
            </w:r>
            <w:r>
              <w:rPr>
                <w:b/>
                <w:i/>
              </w:rPr>
              <w:t>, a</w:t>
            </w:r>
            <w:r>
              <w:t> </w:t>
            </w:r>
            <w:r>
              <w:rPr>
                <w:b/>
                <w:i/>
              </w:rPr>
              <w:t>až</w:t>
            </w:r>
            <w:r>
              <w:t xml:space="preserve"> keď nie sú schopné tieto rozdiely vyriešiť, mali by sa obrátiť na osoby, ktoré vykonávajú riadenie rizík.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>(8)</w:t>
            </w:r>
            <w:r>
              <w:tab/>
              <w:t>Cieľom tohto nariadenia je teda riešiť prípadné rozdiely medzi vedeckými stanoviskami Európskeho úradu pre bezpečnosť potravín a stanoviskami iných agentúr Únie. Nariadenie Európskeho parlamentu a Rady (ES) č. 178/2002 už obsahuje ustanovenia, ktorými sa zavádza postup na riešenie rozdielnych vedeckých stanovísk. Tieto postupy riešenia by sa mali posilniť v tom zmysle, že Európsky úrad pre bezpečnosť potravín a druhá agentúra, ktorá zastáva odlišné stanovisko, by mali byť povinné vynaložiť maximálne úsilie na vyriešenie rozdielov vo všeobecných vedeckých otázkach</w:t>
            </w:r>
            <w:r>
              <w:rPr>
                <w:b/>
                <w:i/>
              </w:rPr>
              <w:t>. Rozdiely v metodikách hodnotenia, ktoré vedú k rozdielnym stanoviskám, najmä s ohľadom na ochranu zraniteľných skupín by sa mali náležite odôvodniť. V takýchto prípadoch by sa malo uprednostniť stanovisko, ktoré poskytuje najvyššiu ochranu, s cieľom chrániť zraniteľné skupiny.</w:t>
            </w:r>
            <w:r>
              <w:t xml:space="preserve"> </w:t>
            </w:r>
            <w:r>
              <w:rPr>
                <w:b/>
                <w:i/>
              </w:rPr>
              <w:t>Len</w:t>
            </w:r>
            <w:r>
              <w:t xml:space="preserve"> keď nie sú schopné tieto rozdiely vyriešiť, mali by sa obrátiť na osoby, ktoré vykonávajú riadenie rizík.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2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Odôvodnenie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(9)</w:t>
            </w:r>
            <w:r>
              <w:tab/>
              <w:t xml:space="preserve">V konkrétnejšom prípade vedeckých rozporov týkajúcich sa identifikácie nebezpečnosti chemických látok by sa mal zaviesť nový postup, ktorý umožní vyriešenie rozporov. Tento postup by mal Komisii umožniť, aby požiadala </w:t>
            </w:r>
            <w:r>
              <w:lastRenderedPageBreak/>
              <w:t>Európsku chemickú agentúru ako agentúru Únie, ktorá má najväčšie odborné znalosti a kapacity v oblasti hodnotenia nebezpečnosti, ako aj dlhoročné skúsenosti s procesom harmonizovanej klasifikácie a označovania, aby vypracovala návrh harmonizovanej klasifikácie a označovania v súlade s nariadením Európskeho parlamentu a Rady (ES) č. 1272/2008, čím sa priblíži k vízii „jedna látka, jedno hodnotenie“, pokiaľ ide o jednotnosť hodnotenia nebezpečnosti chemických látok v celej Únii. Táto možnosť by mala byť zohľadnená v príslušnom ustanovení, ktorým sa stanovuje riešenie rozdielnych vedeckých stanovísk uvedené v nariadení (ES) č. 178/2002.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lastRenderedPageBreak/>
              <w:t>(9)</w:t>
            </w:r>
            <w:r>
              <w:tab/>
              <w:t xml:space="preserve">V konkrétnejšom prípade vedeckých rozporov týkajúcich sa identifikácie nebezpečnosti chemických látok by sa mal zaviesť nový postup, ktorý umožní vyriešenie rozporov. Tento postup by mal Komisii umožniť, aby požiadala </w:t>
            </w:r>
            <w:r>
              <w:lastRenderedPageBreak/>
              <w:t>Európsku chemickú agentúru ako agentúru Únie, ktorá má najväčšie odborné znalosti a kapacity v oblasti hodnotenia nebezpečnosti, ako aj dlhoročné skúsenosti s procesom harmonizovanej klasifikácie a označovania, aby vypracovala návrh harmonizovanej klasifikácie a označovania v súlade s nariadením Európskeho parlamentu a Rady (ES) č. 1272/2008, čím sa priblíži k vízii „jedna látka, jedno hodnotenie“, pokiaľ ide o jednotnosť hodnotenia nebezpečnosti chemických látok v celej Únii</w:t>
            </w:r>
            <w:r>
              <w:rPr>
                <w:b/>
                <w:i/>
              </w:rPr>
              <w:t>, pričom zvyšuje ochranu zdravia a životného prostredia.</w:t>
            </w:r>
            <w:r>
              <w:t xml:space="preserve"> Táto možnosť by mala byť zohľadnená v príslušnom ustanovení, ktorým sa stanovuje riešenie rozdielnych vedeckých stanovísk uvedené v nariadení (ES) č. 178/2002.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3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Odôvodnenie 14 a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(14a)</w:t>
            </w:r>
            <w:r>
              <w:rPr>
                <w:b/>
                <w:i/>
              </w:rPr>
              <w:tab/>
              <w:t xml:space="preserve">Toto nariadenie rozširuje úlohy, pracovnú záťaž a právomoci vedeckých výborov Európskej chemickej agentúry. V záujme poskytovania primeranej expertízy, podpory a dôkladných vedeckých hodnotení by sa pre </w:t>
            </w:r>
            <w:proofErr w:type="spellStart"/>
            <w:r>
              <w:rPr>
                <w:b/>
                <w:i/>
              </w:rPr>
              <w:t>ne</w:t>
            </w:r>
            <w:proofErr w:type="spellEnd"/>
            <w:r>
              <w:rPr>
                <w:b/>
                <w:i/>
              </w:rPr>
              <w:t xml:space="preserve"> mali zabezpečiť adekvátne a stabilné zdroje, kapacity a riadenie. V tejto súvislosti by Európska komisia mala pravidelne monitorovať potreby Európskej chemickej agentúry vyplývajúce z tohto nariadenia a poskytovať agentúre dostatočné a stabilné zdroje.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4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1 – odsek 1 – bod 2</w:t>
      </w:r>
    </w:p>
    <w:p>
      <w:pPr>
        <w:keepNext/>
      </w:pPr>
      <w:r>
        <w:t>Nariadenie (ES) č. 178/2002</w:t>
      </w:r>
    </w:p>
    <w:p>
      <w:r>
        <w:t xml:space="preserve">Článok 30 – odsek 2 – </w:t>
      </w:r>
      <w:proofErr w:type="spellStart"/>
      <w:r>
        <w:t>pododsek</w:t>
      </w:r>
      <w:proofErr w:type="spellEnd"/>
      <w:r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Ak úrad zistí potenciálny zdroj rozdielov, spojí sa s dotknutým orgánom, aby zabezpečil výmenu všetkých relevantných vedeckých alebo technických informácií a aby identifikoval potenciálne sporné vedecké alebo technické otázky.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 xml:space="preserve">Ak úrad zistí potenciálny zdroj rozdielov, spojí sa s dotknutým orgánom, aby zabezpečil výmenu všetkých relevantných vedeckých alebo technických informácií a aby identifikoval potenciálne sporné vedecké alebo technické otázky. </w:t>
            </w:r>
            <w:r>
              <w:rPr>
                <w:b/>
                <w:i/>
              </w:rPr>
              <w:t>Rozdiely v metodikách hodnotenia, ktoré vedú k rozdielnym stanoviskám, musia byť náležite odôvodnené, najmä s ohľadom na ochranu zraniteľných skupín.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5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1 – odsek 1 – bod 2</w:t>
      </w:r>
    </w:p>
    <w:p>
      <w:pPr>
        <w:keepNext/>
      </w:pPr>
      <w:r>
        <w:t>Nariadenie (ES) č. 178/2002</w:t>
      </w:r>
    </w:p>
    <w:p>
      <w:r>
        <w:t xml:space="preserve">Článok 30 – odsek 2 – </w:t>
      </w:r>
      <w:proofErr w:type="spellStart"/>
      <w:r>
        <w:t>pododsek</w:t>
      </w:r>
      <w:proofErr w:type="spellEnd"/>
      <w: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 xml:space="preserve">Úrad a dotknutý orgán spolupracujú na vyriešení tohto rozdielu. Ak úrad a dotknutý orgán nedokážu rozdiel vyriešiť, vypracujú spoločnú správu. V správe sa jasne uvedú sporné vedecké otázky </w:t>
            </w:r>
            <w:r>
              <w:rPr>
                <w:b/>
                <w:i/>
              </w:rPr>
              <w:t>a</w:t>
            </w:r>
            <w:r>
              <w:t> určia príslušné neistoty v údajoch a správa sa sprístupní verejnosti.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 xml:space="preserve">Úrad a dotknutý orgán spolupracujú na vyriešení tohto rozdielu </w:t>
            </w:r>
            <w:r>
              <w:rPr>
                <w:b/>
                <w:i/>
              </w:rPr>
              <w:t>s cieľom zabezpečiť najvyššiu úroveň ochrany zdravia a životného prostredia. Uprednostní sa stanovisko, ktoré poskytuje najvyššiu úroveň ochrany, s cieľom chrániť najzraniteľnejšie skupiny</w:t>
            </w:r>
            <w:r>
              <w:t>. Ak úrad a dotknutý orgán nedokážu rozdiel vyriešiť, vypracujú spoločnú správu. V správe sa jasne uvedú sporné vedecké otázky</w:t>
            </w:r>
            <w:r>
              <w:rPr>
                <w:b/>
                <w:i/>
              </w:rPr>
              <w:t>,</w:t>
            </w:r>
            <w:r>
              <w:t xml:space="preserve"> určia príslušné neistoty v údajoch </w:t>
            </w:r>
            <w:r>
              <w:rPr>
                <w:b/>
                <w:i/>
              </w:rPr>
              <w:t>a možné príčiny rozdielnych stanovísk vrátane metodologických rozdielov</w:t>
            </w:r>
            <w:r>
              <w:t xml:space="preserve"> a správa sa sprístupní verejnosti.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6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1 – odsek 1 – bod 2</w:t>
      </w:r>
    </w:p>
    <w:p>
      <w:pPr>
        <w:keepNext/>
      </w:pPr>
      <w:r>
        <w:t>Nariadenie (ES) č. 178/2002</w:t>
      </w:r>
    </w:p>
    <w:p>
      <w:r>
        <w:t>Článok 30 – odsek 3 a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3a.</w:t>
            </w:r>
            <w:r>
              <w:rPr>
                <w:b/>
                <w:i/>
              </w:rPr>
              <w:tab/>
              <w:t>Ak sa zistí závažný rozdiel vo vedeckých problémoch a príslušný orgán je orgánom členského štátu, úrad a štátny orgán budú povinní spolupracovať buď s cieľom vyriešenia rozdielu, alebo prípravy spoločného dokumentu, ktorý objasní sporné vedecké problémy a určí príslušné neistoty v údajoch. Uvedený dokument bude zverejnený.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7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1 – odsek 1 – bod 2</w:t>
      </w:r>
    </w:p>
    <w:p>
      <w:pPr>
        <w:keepNext/>
      </w:pPr>
      <w:r>
        <w:t>Nariadenie (ES) č. 178/2002</w:t>
      </w:r>
    </w:p>
    <w:p>
      <w:r>
        <w:t>Článok 3 – odsek 3 b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3b.</w:t>
            </w:r>
            <w:r>
              <w:rPr>
                <w:b/>
                <w:i/>
              </w:rPr>
              <w:tab/>
              <w:t>V prípadoch, keď sa zistí rozdiel a úrad požiada iný orgán Únie alebo členského štátu o dodatočné informácie, sa lehota, do ktorej majú príslušné orgány prijať svoj príslušný výstup alebo spoločný výstup uvedený v odseku 2, môže predĺžiť. Po porade s príslušným orgánom úrad stanoví lehotu na poskytnutie týchto informácií a informuje Komisiu o potrebnej dodatočnej lehote. Komisia informuje o predĺžení dotknuté podnikateľské subjekty a členské štáty.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8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3 – odsek 1 – bod 1</w:t>
      </w:r>
    </w:p>
    <w:p>
      <w:pPr>
        <w:keepNext/>
      </w:pPr>
      <w:r>
        <w:t>Nariadenie (EÚ) 2017/745</w:t>
      </w:r>
    </w:p>
    <w:p>
      <w:r>
        <w:t>Príloha I – oddiel 10.4.1 – písmeno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b)</w:t>
            </w:r>
            <w:r>
              <w:tab/>
              <w:t xml:space="preserve">látky, ktoré sú </w:t>
            </w:r>
            <w:r>
              <w:rPr>
                <w:b/>
                <w:i/>
              </w:rPr>
              <w:t>identifikované</w:t>
            </w:r>
            <w:r>
              <w:t xml:space="preserve"> ako endokrinné </w:t>
            </w:r>
            <w:proofErr w:type="spellStart"/>
            <w:r>
              <w:t>disruptory</w:t>
            </w:r>
            <w:proofErr w:type="spellEnd"/>
            <w:r>
              <w:t xml:space="preserve"> pre zdravie ľudí kategórie 1 v súlade s časťou 3 prílohy VI k nariadeniu Európskeho parlamentu </w:t>
            </w:r>
            <w:r>
              <w:lastRenderedPageBreak/>
              <w:t>a Rady (ES) č. 1272/2008</w:t>
            </w:r>
            <w:r>
              <w:rPr>
                <w:vertAlign w:val="superscript"/>
              </w:rPr>
              <w:t>12</w:t>
            </w:r>
            <w:r>
              <w:t>, a látky s vlastnosťami narúšajúcimi endokrinný systém, pri ktorých existujú vedecké dôkazy o pravdepodobných závažných účinkoch na ľudské zdravie a ktoré sú identifikované v súlade s postupom stanoveným v článku 59 nariadenia Európskeho parlamentu a Rady (ES) č. 1907/2006, alebo látky s vlastnosťami narúšajúcimi endokrinný systém relevantnými pre zdravie ľudí identifikované v súlade s nariadením (EÚ) č. 528/2012.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lastRenderedPageBreak/>
              <w:t>b)</w:t>
            </w:r>
            <w:r>
              <w:tab/>
              <w:t xml:space="preserve">látky, ktoré sú </w:t>
            </w:r>
            <w:r>
              <w:rPr>
                <w:b/>
                <w:i/>
              </w:rPr>
              <w:t>klasifikované</w:t>
            </w:r>
            <w:r>
              <w:t xml:space="preserve"> ako endokrinné </w:t>
            </w:r>
            <w:proofErr w:type="spellStart"/>
            <w:r>
              <w:t>disruptory</w:t>
            </w:r>
            <w:proofErr w:type="spellEnd"/>
            <w:r>
              <w:t xml:space="preserve"> pre zdravie ľudí kategórie 1 v súlade s časťou 3 prílohy VI k nariadeniu Európskeho parlamentu </w:t>
            </w:r>
            <w:r>
              <w:lastRenderedPageBreak/>
              <w:t>a Rady (ES) č. 1272/2008</w:t>
            </w:r>
            <w:r>
              <w:rPr>
                <w:vertAlign w:val="superscript"/>
              </w:rPr>
              <w:t>12</w:t>
            </w:r>
            <w:r>
              <w:t>, a látky s vlastnosťami narúšajúcimi endokrinný systém, pri ktorých existujú vedecké dôkazy o pravdepodobných závažných účinkoch na ľudské zdravie a ktoré sú identifikované v súlade s postupom stanoveným v článku 59 nariadenia Európskeho parlamentu a Rady (ES) č. 1907/2006, alebo látky s vlastnosťami narúšajúcimi endokrinný systém relevantnými pre zdravie ľudí identifikované v súlade s nariadením (EÚ) č. 528/2012.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rPr>
                <w:vertAlign w:val="superscript"/>
              </w:rPr>
              <w:t>12</w:t>
            </w:r>
            <w:r>
              <w:t xml:space="preserve"> Nariadenie Európskeho parlamentu a Rady (ES) č. 1272/2008 zo 16. decembra 2008 o klasifikácii, označovaní a balení látok a zmesí, o zmene, doplnení a zrušení smerníc 67/548/EHS a 1999/45/ES a o zmene a doplnení nariadenia (ES) č. 1907/2006 (Ú. v. EÚ L 353, 31.12.2008, s. 1).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12</w:t>
            </w:r>
            <w:r>
              <w:t xml:space="preserve"> Nariadenie Európskeho parlamentu a Rady (ES) č. 1272/2008 zo 16. decembra 2008 o klasifikácii, označovaní a balení látok a zmesí, o zmene, doplnení a zrušení smerníc 67/548/EHS a 1999/45/ES a o zmene a doplnení nariadenia (ES) č. 1907/2006 (Ú. v. EÚ L 353, 31.12.2008, s. 1).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9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4 – odsek 1 – bod 2</w:t>
      </w:r>
    </w:p>
    <w:p>
      <w:pPr>
        <w:keepNext/>
      </w:pPr>
      <w:r>
        <w:t>Nariadenie (EÚ) 2019/1021</w:t>
      </w:r>
    </w:p>
    <w:p>
      <w:r>
        <w:t xml:space="preserve">Článok 8 – odsek 1a – </w:t>
      </w:r>
      <w:proofErr w:type="spellStart"/>
      <w:r>
        <w:t>pododsek</w:t>
      </w:r>
      <w:proofErr w:type="spellEnd"/>
      <w:r>
        <w:t xml:space="preserve"> 1 – písmeno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a)</w:t>
            </w:r>
            <w:r>
              <w:tab/>
            </w:r>
            <w:r>
              <w:rPr>
                <w:b/>
                <w:i/>
              </w:rPr>
              <w:t>v náležitých prípadoch</w:t>
            </w:r>
            <w:r>
              <w:t xml:space="preserve"> informácie o vplyvoch odpadu, ktorý pozostáva z </w:t>
            </w:r>
            <w:proofErr w:type="spellStart"/>
            <w:r>
              <w:t>perzistentných</w:t>
            </w:r>
            <w:proofErr w:type="spellEnd"/>
            <w:r>
              <w:t xml:space="preserve"> organických látok, obsahuje ich alebo je nimi kontaminovaný, na zdravie ľudí a životné prostredie vrátane vplyvov na nakladanie s odpadom;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>informácie o vplyvoch odpadu, ktorý pozostáva z </w:t>
            </w:r>
            <w:proofErr w:type="spellStart"/>
            <w:r>
              <w:t>perzistentných</w:t>
            </w:r>
            <w:proofErr w:type="spellEnd"/>
            <w:r>
              <w:t xml:space="preserve"> organických látok, obsahuje ich alebo je nimi kontaminovaný, na zdravie ľudí a životné prostredie vrátane vplyvov na nakladanie s odpadom;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10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4 – odsek 1 – bod 2</w:t>
      </w:r>
    </w:p>
    <w:p>
      <w:pPr>
        <w:keepNext/>
      </w:pPr>
      <w:r>
        <w:t>Nariadenie (EÚ) 2019/1021</w:t>
      </w:r>
    </w:p>
    <w:p>
      <w:r>
        <w:t xml:space="preserve">Článok 8 – odsek 1a – </w:t>
      </w:r>
      <w:proofErr w:type="spellStart"/>
      <w:r>
        <w:t>pododsek</w:t>
      </w:r>
      <w:proofErr w:type="spellEnd"/>
      <w: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 xml:space="preserve">Agentúra čo najskôr po prijatí žiadosti uvedenej v </w:t>
            </w:r>
            <w:r>
              <w:rPr>
                <w:b/>
                <w:i/>
              </w:rPr>
              <w:t xml:space="preserve">prvom </w:t>
            </w:r>
            <w:proofErr w:type="spellStart"/>
            <w:r>
              <w:rPr>
                <w:b/>
                <w:i/>
              </w:rPr>
              <w:t>pododseku</w:t>
            </w:r>
            <w:proofErr w:type="spellEnd"/>
            <w:r>
              <w:t xml:space="preserve"> písm. i) uverejní na svojom webovom sídle oznam, že bude vypracovaná správa o možnej zmene prílohy IV alebo V, v ktorej sa vyzvú všetky zainteresované strany vrátane prevádzkovateľov pôsobiacich v oblasti nakladania s odpadom a používateľov recyklovaných materiálov, aby do ôsmich týždňov predložili pripomienky. Agentúra uverejňuje tieto pripomienky na svojom webovom sídle.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 xml:space="preserve">Agentúra čo najskôr po prijatí žiadosti uvedenej v </w:t>
            </w:r>
            <w:r>
              <w:rPr>
                <w:b/>
                <w:i/>
              </w:rPr>
              <w:t>článku 8 ods. 1</w:t>
            </w:r>
            <w:r>
              <w:t xml:space="preserve"> písm. i) uverejní na svojom webovom sídle oznam, že bude vypracovaná správa o možnej zmene prílohy IV alebo V, v ktorej sa vyzvú všetky zainteresované strany vrátane prevádzkovateľov pôsobiacich v oblasti nakladania s odpadom a používateľov recyklovaných materiálov, aby do ôsmich týždňov predložili pripomienky. Agentúra uverejňuje tieto pripomienky na svojom webovom sídle.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11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4 – odsek 1 – bod 2</w:t>
      </w:r>
    </w:p>
    <w:p>
      <w:pPr>
        <w:keepNext/>
      </w:pPr>
      <w:r>
        <w:t>Nariadenie (EÚ) 2019/1021</w:t>
      </w:r>
    </w:p>
    <w:p>
      <w:r>
        <w:t xml:space="preserve">Článok 8 – odsek 1a – </w:t>
      </w:r>
      <w:proofErr w:type="spellStart"/>
      <w:r>
        <w:t>pododsek</w:t>
      </w:r>
      <w:proofErr w:type="spellEnd"/>
      <w:r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 xml:space="preserve">Najneskôr deväť mesiacov od predloženia </w:t>
            </w:r>
            <w:r>
              <w:rPr>
                <w:b/>
                <w:i/>
              </w:rPr>
              <w:t>tejto</w:t>
            </w:r>
            <w:r>
              <w:t xml:space="preserve"> správy výbor agentúry pre sociálno-ekonomickú analýzu, zriadený podľa článku 76 ods. 1 písm. d) nariadenia (ES) č. 1907/2006, prijme stanovisko k danej správe a v nej navrhnutým hodnotám koncentračných limitov. Na účely prijatia stanoviska k správe sa primerane uplatňuje článok 87 nariadenia (ES) č. 1907/2006.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t xml:space="preserve">Najneskôr deväť mesiacov od predloženia správy </w:t>
            </w:r>
            <w:r>
              <w:rPr>
                <w:b/>
                <w:i/>
              </w:rPr>
              <w:t>uvedenej v článku 8 ods. 1 písm. i)</w:t>
            </w:r>
            <w:r>
              <w:t xml:space="preserve"> výbor agentúry pre sociálno-ekonomickú analýzu, zriadený podľa článku 76 ods. 1 písm. d) nariadenia (ES) č. 1907/2006, prijme stanovisko k danej správe a v nej navrhnutým hodnotám koncentračných limitov. Na účely prijatia stanoviska k správe sa primerane uplatňuje článok 87 nariadenia (ES) č. 1907/2006.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12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4 – odsek 1 – bod 4</w:t>
      </w:r>
    </w:p>
    <w:p>
      <w:pPr>
        <w:keepNext/>
      </w:pPr>
      <w:r>
        <w:t>Nariadenie (EÚ) 2019/1021</w:t>
      </w:r>
    </w:p>
    <w:p>
      <w:r>
        <w:t>Článok 15 – odsek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2.</w:t>
            </w:r>
            <w:r>
              <w:tab/>
              <w:t xml:space="preserve">Komisia je splnomocnená prijímať delegované akty v súlade s článkom 18 s cieľom zmeniť prílohy IV a V, aby ich </w:t>
            </w:r>
            <w:r>
              <w:lastRenderedPageBreak/>
              <w:t>prispôsobila zmenám na zozname látok uvedených v prílohách k dohovoru alebo k protokolu alebo aby ich prispôsobila vedeckému a technickému pokroku.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lastRenderedPageBreak/>
              <w:t>2.</w:t>
            </w:r>
            <w:r>
              <w:tab/>
              <w:t xml:space="preserve">Komisia je splnomocnená prijímať delegované akty v súlade s článkom 18 s cieľom zmeniť prílohy IV a V, aby ich </w:t>
            </w:r>
            <w:r>
              <w:lastRenderedPageBreak/>
              <w:t>prispôsobila zmenám na zozname látok uvedených v </w:t>
            </w:r>
            <w:r>
              <w:rPr>
                <w:b/>
                <w:i/>
              </w:rPr>
              <w:t>prílohe</w:t>
            </w:r>
            <w:r>
              <w:t xml:space="preserve"> </w:t>
            </w:r>
            <w:r>
              <w:rPr>
                <w:b/>
                <w:i/>
              </w:rPr>
              <w:t xml:space="preserve">I, II alebo III k nariadeniu (EÚ) 2019/1021 alebo v </w:t>
            </w:r>
            <w:r>
              <w:t>prílohách k dohovoru alebo k protokolu alebo aby ich prispôsobila vedeckému a technickému pokroku.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13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4 – odsek 1 – bod 4 a (nový)</w:t>
      </w:r>
    </w:p>
    <w:p>
      <w:pPr>
        <w:keepNext/>
      </w:pPr>
      <w:r>
        <w:t>Nariadenie (EÚ) 2019/1021</w:t>
      </w:r>
    </w:p>
    <w:p>
      <w:r>
        <w:t>Článok 16 – odsek 2 a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ab/>
              <w:t>V článku 16 sa dopĺňa tento odsek:</w:t>
            </w:r>
          </w:p>
        </w:tc>
      </w:tr>
      <w:tr>
        <w:trPr>
          <w:jc w:val="center"/>
        </w:trPr>
        <w:tc>
          <w:tcPr>
            <w:tcW w:w="4876" w:type="dxa"/>
          </w:tcPr>
          <w:p>
            <w:pPr>
              <w:pStyle w:val="Normal6"/>
            </w:pP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„2a.</w:t>
            </w:r>
            <w:r>
              <w:rPr>
                <w:b/>
                <w:i/>
              </w:rPr>
              <w:tab/>
              <w:t>Komisia monitoruje situáciu, pokiaľ ide o zdroje Európskej chemickej agentúry a úlohy, pracovnú záťaž a právomoci vedeckých výborov Európskej chemickej agentúry, a v prípade potreby predloží legislatívny návrh s cieľom zohľadniť všetky potreby Európskej chemickej agentúry vyplývajúce z úloh zavedených týmto nariadením a zlepšiť riadenie jej vedeckých výborov.“</w:t>
            </w:r>
          </w:p>
        </w:tc>
      </w:tr>
    </w:tbl>
    <w:p/>
    <w:p>
      <w:pPr>
        <w:pStyle w:val="AmNumberTabs"/>
      </w:pPr>
      <w:r>
        <w:t>Pozmeňujúci návrh</w:t>
      </w:r>
      <w:r>
        <w:tab/>
      </w:r>
      <w:r>
        <w:tab/>
        <w:t>14</w:t>
      </w:r>
    </w:p>
    <w:p/>
    <w:p>
      <w:pPr>
        <w:pStyle w:val="NormalBold"/>
        <w:keepNext/>
      </w:pPr>
      <w:r>
        <w:t>Návrh nariadenia</w:t>
      </w:r>
    </w:p>
    <w:p>
      <w:pPr>
        <w:pStyle w:val="NormalBold"/>
      </w:pPr>
      <w:r>
        <w:t>Článok 4 – odsek 1 – bod 5 – písmeno c</w:t>
      </w:r>
    </w:p>
    <w:p>
      <w:pPr>
        <w:keepNext/>
      </w:pPr>
      <w:r>
        <w:t>Nariadenie (EÚ) 2019/1021</w:t>
      </w:r>
    </w:p>
    <w:p>
      <w:r>
        <w:t>Článok 18 – odsek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>
        <w:trPr>
          <w:jc w:val="center"/>
        </w:trPr>
        <w:tc>
          <w:tcPr>
            <w:tcW w:w="9752" w:type="dxa"/>
            <w:gridSpan w:val="2"/>
          </w:tcPr>
          <w:p>
            <w:pPr>
              <w:keepNext/>
            </w:pP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Text predložený Komisiou</w:t>
            </w:r>
          </w:p>
        </w:tc>
        <w:tc>
          <w:tcPr>
            <w:tcW w:w="4876" w:type="dxa"/>
            <w:hideMark/>
          </w:tcPr>
          <w:p>
            <w:pPr>
              <w:pStyle w:val="ColumnHeading"/>
              <w:keepNext/>
            </w:pPr>
            <w:r>
              <w:t>Pozmeňujúci návrh</w:t>
            </w:r>
          </w:p>
        </w:tc>
      </w:tr>
      <w:tr>
        <w:trPr>
          <w:jc w:val="center"/>
        </w:trPr>
        <w:tc>
          <w:tcPr>
            <w:tcW w:w="4876" w:type="dxa"/>
            <w:hideMark/>
          </w:tcPr>
          <w:p>
            <w:pPr>
              <w:pStyle w:val="Normal6"/>
            </w:pPr>
            <w:r>
              <w:t>6.</w:t>
            </w:r>
            <w:r>
              <w:tab/>
              <w:t xml:space="preserve">Delegovaný akt prijatý podľa článku 4 ods. 3, článku 10 ods. 2 a článku 15 nadobudne účinnosť, len ak Európsky parlament alebo Rada voči nemu nevzniesli námietku v lehote dvoch mesiacov odo dňa oznámenia uvedeného aktu Európskemu parlamentu a Rade alebo ak pred uplynutím uvedenej lehoty Európsky parlament a Rada informovali Komisiu o svojom rozhodnutí nevzniesť </w:t>
            </w:r>
            <w:r>
              <w:lastRenderedPageBreak/>
              <w:t>námietku.</w:t>
            </w:r>
          </w:p>
        </w:tc>
        <w:tc>
          <w:tcPr>
            <w:tcW w:w="4876" w:type="dxa"/>
            <w:hideMark/>
          </w:tcPr>
          <w:p>
            <w:pPr>
              <w:pStyle w:val="Normal6"/>
              <w:rPr>
                <w:szCs w:val="24"/>
              </w:rPr>
            </w:pPr>
            <w:r>
              <w:lastRenderedPageBreak/>
              <w:t>6.</w:t>
            </w:r>
            <w:r>
              <w:tab/>
              <w:t xml:space="preserve">Delegovaný akt prijatý podľa článku 4 ods. 3, článku 10 ods. 2 a článku 15 nadobudne účinnosť, len ak Európsky parlament alebo Rada voči nemu nevzniesli námietku v lehote dvoch mesiacov odo dňa oznámenia uvedeného aktu Európskemu parlamentu a Rade alebo ak pred uplynutím uvedenej lehoty Európsky parlament a Rada informovali Komisiu o svojom rozhodnutí nevzniesť </w:t>
            </w:r>
            <w:r>
              <w:lastRenderedPageBreak/>
              <w:t xml:space="preserve">námietku. </w:t>
            </w:r>
            <w:r>
              <w:rPr>
                <w:b/>
                <w:i/>
              </w:rPr>
              <w:t>Na podnet Európskeho parlamentu alebo Rady sa táto lehota môže predĺžiť o dva mesiace.</w:t>
            </w:r>
          </w:p>
        </w:tc>
      </w:tr>
    </w:tbl>
    <w:p/>
    <w:p>
      <w:pPr>
        <w:pStyle w:val="AmNumberTabs"/>
      </w:pPr>
      <w:r>
        <w:t>Pozmeňujúci návrh</w:t>
      </w:r>
      <w:r>
        <w:tab/>
        <w:t>15</w:t>
      </w:r>
    </w:p>
    <w:p/>
    <w:p>
      <w:pPr>
        <w:rPr>
          <w:b/>
        </w:rPr>
      </w:pPr>
      <w:r>
        <w:rPr>
          <w:b/>
        </w:rPr>
        <w:t>Návrh nariadenia</w:t>
      </w:r>
    </w:p>
    <w:p>
      <w:pPr>
        <w:pStyle w:val="NormalBold"/>
      </w:pPr>
      <w:r>
        <w:t>Článok 4 – odsek 1 – bod 5 – písmeno c a (nové)</w:t>
      </w:r>
    </w:p>
    <w:p>
      <w:r>
        <w:t>Nariadenie (EÚ) 2019/1021</w:t>
      </w:r>
    </w:p>
    <w:p>
      <w:r>
        <w:t>Príloha IV – tabuľka 1 – riadok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AmColumnHeading"/>
            </w:pPr>
            <w:r>
              <w:t>Platný text</w:t>
            </w:r>
          </w:p>
        </w:tc>
      </w:tr>
      <w:t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proofErr w:type="spellStart"/>
            <w:r>
              <w:t>alkány</w:t>
            </w:r>
            <w:proofErr w:type="spellEnd"/>
            <w:r>
              <w:t xml:space="preserve"> C10-C13, </w:t>
            </w:r>
            <w:proofErr w:type="spellStart"/>
            <w:r>
              <w:t>chlóralkány</w:t>
            </w:r>
            <w:proofErr w:type="spellEnd"/>
            <w:r>
              <w:t xml:space="preserve"> (chlórované parafíny s krátkym reťazcom) (SCCP)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85535-84-8</w:t>
            </w:r>
            <w:r>
              <w:rPr>
                <w:b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287-476-5</w:t>
            </w:r>
            <w:r>
              <w:rPr>
                <w:b/>
                <w:i/>
              </w:rPr>
              <w:t>)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1 500 mg/kg</w:t>
            </w:r>
          </w:p>
          <w:p>
            <w:pPr>
              <w:pStyle w:val="Normal6a"/>
            </w:pPr>
            <w:r>
              <w:t xml:space="preserve">Komisia preskúma tento koncentračný limit a v náležitých prípadoch prijme </w:t>
            </w:r>
            <w:r>
              <w:rPr>
                <w:b/>
                <w:i/>
              </w:rPr>
              <w:t>legislatívny návrh</w:t>
            </w:r>
            <w:r>
              <w:t xml:space="preserve"> na zníženie tejto hodnoty </w:t>
            </w:r>
            <w:r>
              <w:rPr>
                <w:b/>
                <w:i/>
              </w:rPr>
              <w:t>najneskôr do 30. decembra 2027</w:t>
            </w:r>
            <w:r>
              <w:t>.</w:t>
            </w:r>
          </w:p>
        </w:tc>
      </w:tr>
    </w:tbl>
    <w:p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mColumnHeading"/>
              <w:jc w:val="left"/>
              <w:rPr>
                <w:b/>
              </w:rPr>
            </w:pPr>
            <w:proofErr w:type="spellStart"/>
            <w:r>
              <w:rPr>
                <w:b/>
              </w:rPr>
              <w:t>ca</w:t>
            </w:r>
            <w:proofErr w:type="spellEnd"/>
            <w:r>
              <w:rPr>
                <w:b/>
              </w:rPr>
              <w:t>)</w:t>
            </w:r>
            <w:r>
              <w:rPr>
                <w:b/>
              </w:rPr>
              <w:tab/>
              <w:t>v prílohe IV tabuľke 1 sa riadok 5 nahrádza takto:</w:t>
            </w:r>
          </w:p>
        </w:tc>
      </w:tr>
      <w:t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proofErr w:type="spellStart"/>
            <w:r>
              <w:t>alkány</w:t>
            </w:r>
            <w:proofErr w:type="spellEnd"/>
            <w:r>
              <w:t xml:space="preserve"> C10-C13, </w:t>
            </w:r>
            <w:proofErr w:type="spellStart"/>
            <w:r>
              <w:t>chlóralkány</w:t>
            </w:r>
            <w:proofErr w:type="spellEnd"/>
            <w:r>
              <w:t xml:space="preserve"> (chlórované parafíny s krátkym reťazcom) (SCCP)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85535-84-8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287-476-5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1 500 mg/kg</w:t>
            </w:r>
          </w:p>
          <w:p>
            <w:pPr>
              <w:pStyle w:val="Normal6a"/>
            </w:pPr>
            <w:r>
              <w:t xml:space="preserve">Komisia </w:t>
            </w:r>
            <w:r>
              <w:rPr>
                <w:b/>
                <w:bCs/>
                <w:i/>
                <w:iCs/>
              </w:rPr>
              <w:t>do 30. decembra 2027</w:t>
            </w:r>
            <w:r>
              <w:t xml:space="preserve"> preskúma tento koncentračný limit a v náležitých prípadoch prijme </w:t>
            </w:r>
            <w:r>
              <w:rPr>
                <w:b/>
                <w:bCs/>
                <w:i/>
                <w:iCs/>
              </w:rPr>
              <w:t>delegovaný akt v súlade s článkom 15 ods. 2</w:t>
            </w:r>
            <w:r>
              <w:t xml:space="preserve"> na zníženie tejto hodnoty</w:t>
            </w:r>
            <w:r>
              <w:rPr>
                <w:i/>
              </w:rPr>
              <w:t>.</w:t>
            </w:r>
          </w:p>
        </w:tc>
      </w:tr>
    </w:tbl>
    <w:p/>
    <w:p>
      <w:pPr>
        <w:pStyle w:val="AmNumberTabs"/>
      </w:pPr>
      <w:r>
        <w:t>Pozmeňujúci návrh</w:t>
      </w:r>
      <w:r>
        <w:tab/>
        <w:t>16</w:t>
      </w:r>
    </w:p>
    <w:p>
      <w:pPr>
        <w:pStyle w:val="NormalBold"/>
      </w:pPr>
    </w:p>
    <w:p>
      <w:pPr>
        <w:pStyle w:val="NormalBold"/>
      </w:pPr>
      <w:r>
        <w:t>Návrh nariadenia</w:t>
      </w:r>
    </w:p>
    <w:p>
      <w:pPr>
        <w:pStyle w:val="NormalBold"/>
      </w:pPr>
      <w:r>
        <w:t>Článok 4 – odsek 1 – bod 5 – písmeno c b (nové)</w:t>
      </w:r>
    </w:p>
    <w:p>
      <w:r>
        <w:t>Nariadenie (EÚ) 2019/1021</w:t>
      </w:r>
    </w:p>
    <w:p>
      <w:r>
        <w:t>Príloha IV – tabuľka 1 – riadok 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AmColumnHeading"/>
            </w:pPr>
            <w:r>
              <w:t>Platný text</w:t>
            </w:r>
          </w:p>
        </w:tc>
      </w:tr>
      <w:t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proofErr w:type="spellStart"/>
            <w:r>
              <w:t>polychlórované</w:t>
            </w:r>
            <w:proofErr w:type="spellEnd"/>
            <w:r>
              <w:t xml:space="preserve"> </w:t>
            </w:r>
            <w:proofErr w:type="spellStart"/>
            <w:r>
              <w:t>dibenzo</w:t>
            </w:r>
            <w:proofErr w:type="spellEnd"/>
            <w:r>
              <w:t>-p-</w:t>
            </w:r>
            <w:proofErr w:type="spellStart"/>
            <w:r>
              <w:t>dioxíny</w:t>
            </w:r>
            <w:proofErr w:type="spellEnd"/>
            <w:r>
              <w:t xml:space="preserve"> a </w:t>
            </w:r>
            <w:proofErr w:type="spellStart"/>
            <w:r>
              <w:t>dibenzofurány</w:t>
            </w:r>
            <w:proofErr w:type="spellEnd"/>
            <w:r>
              <w:t xml:space="preserve"> (PCDD/PCDF) a </w:t>
            </w:r>
            <w:proofErr w:type="spellStart"/>
            <w:r>
              <w:t>polychlórované</w:t>
            </w:r>
            <w:proofErr w:type="spellEnd"/>
            <w:r>
              <w:t xml:space="preserve"> </w:t>
            </w:r>
            <w:proofErr w:type="spellStart"/>
            <w:r>
              <w:t>bifenyly</w:t>
            </w:r>
            <w:proofErr w:type="spellEnd"/>
            <w:r>
              <w:t xml:space="preserve"> podobné </w:t>
            </w:r>
            <w:proofErr w:type="spellStart"/>
            <w:r>
              <w:t>dioxínom</w:t>
            </w:r>
            <w:proofErr w:type="spellEnd"/>
            <w:r>
              <w:t xml:space="preserve"> (dl-PCB)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6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6a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5 </w:t>
            </w:r>
            <w:proofErr w:type="spellStart"/>
            <w:r>
              <w:t>μg</w:t>
            </w:r>
            <w:proofErr w:type="spellEnd"/>
            <w:r>
              <w:t>/kg</w:t>
            </w:r>
          </w:p>
          <w:p>
            <w:pPr>
              <w:pStyle w:val="Normal6a"/>
            </w:pPr>
            <w:r>
              <w:t xml:space="preserve">Komisia preskúma tento koncentračný limit a v náležitých prípadoch prijme </w:t>
            </w:r>
            <w:r>
              <w:rPr>
                <w:b/>
                <w:i/>
              </w:rPr>
              <w:t>legislatívny návrh</w:t>
            </w:r>
            <w:r>
              <w:t xml:space="preserve"> na zníženie tejto hodnoty</w:t>
            </w:r>
            <w:r>
              <w:rPr>
                <w:b/>
                <w:i/>
              </w:rPr>
              <w:t xml:space="preserve">, ak je takéto zníženie uskutočniteľné v súlade s vedeckým a technickým pokrokom, najneskôr do </w:t>
            </w:r>
            <w:r>
              <w:rPr>
                <w:b/>
                <w:i/>
              </w:rPr>
              <w:lastRenderedPageBreak/>
              <w:t>30. decembra 2027</w:t>
            </w:r>
            <w:r>
              <w:rPr>
                <w:i/>
              </w:rPr>
              <w:t>.</w:t>
            </w:r>
          </w:p>
        </w:tc>
      </w:tr>
    </w:tbl>
    <w:p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mColumnHeading"/>
              <w:jc w:val="left"/>
              <w:rPr>
                <w:b/>
              </w:rPr>
            </w:pPr>
            <w:proofErr w:type="spellStart"/>
            <w:r>
              <w:rPr>
                <w:b/>
              </w:rPr>
              <w:t>cb</w:t>
            </w:r>
            <w:proofErr w:type="spellEnd"/>
            <w:r>
              <w:rPr>
                <w:b/>
              </w:rPr>
              <w:t>)</w:t>
            </w:r>
            <w:r>
              <w:rPr>
                <w:b/>
              </w:rPr>
              <w:tab/>
              <w:t>v prílohe IV tabuľke 1 sa riadok 12 nahrádza takto:</w:t>
            </w:r>
          </w:p>
        </w:tc>
      </w:tr>
      <w:t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proofErr w:type="spellStart"/>
            <w:r>
              <w:t>polychlórované</w:t>
            </w:r>
            <w:proofErr w:type="spellEnd"/>
            <w:r>
              <w:t xml:space="preserve"> </w:t>
            </w:r>
            <w:proofErr w:type="spellStart"/>
            <w:r>
              <w:t>dibenzo</w:t>
            </w:r>
            <w:proofErr w:type="spellEnd"/>
            <w:r>
              <w:t>-p-</w:t>
            </w:r>
            <w:proofErr w:type="spellStart"/>
            <w:r>
              <w:t>dioxíny</w:t>
            </w:r>
            <w:proofErr w:type="spellEnd"/>
            <w:r>
              <w:t xml:space="preserve"> a </w:t>
            </w:r>
            <w:proofErr w:type="spellStart"/>
            <w:r>
              <w:t>dibenzofurány</w:t>
            </w:r>
            <w:proofErr w:type="spellEnd"/>
            <w:r>
              <w:t xml:space="preserve"> (PCDD/PCDF) a </w:t>
            </w:r>
            <w:proofErr w:type="spellStart"/>
            <w:r>
              <w:t>polychlórované</w:t>
            </w:r>
            <w:proofErr w:type="spellEnd"/>
            <w:r>
              <w:t xml:space="preserve"> </w:t>
            </w:r>
            <w:proofErr w:type="spellStart"/>
            <w:r>
              <w:t>bifenyly</w:t>
            </w:r>
            <w:proofErr w:type="spellEnd"/>
            <w:r>
              <w:t xml:space="preserve"> podobné </w:t>
            </w:r>
            <w:proofErr w:type="spellStart"/>
            <w:r>
              <w:t>dioxínom</w:t>
            </w:r>
            <w:proofErr w:type="spellEnd"/>
            <w:r>
              <w:t xml:space="preserve"> (dl-PCB)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6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6a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5 </w:t>
            </w:r>
            <w:proofErr w:type="spellStart"/>
            <w:r>
              <w:t>μg</w:t>
            </w:r>
            <w:proofErr w:type="spellEnd"/>
            <w:r>
              <w:t>/kg</w:t>
            </w:r>
          </w:p>
          <w:p>
            <w:pPr>
              <w:pStyle w:val="Normal6a"/>
            </w:pPr>
            <w:r>
              <w:t xml:space="preserve">Komisia </w:t>
            </w:r>
            <w:r>
              <w:rPr>
                <w:b/>
                <w:bCs/>
                <w:i/>
                <w:iCs/>
              </w:rPr>
              <w:t>do 30. decembra 2027</w:t>
            </w:r>
            <w:r>
              <w:t xml:space="preserve"> preskúma tento koncentračný limit a v náležitých prípadoch prijme </w:t>
            </w:r>
            <w:r>
              <w:rPr>
                <w:b/>
                <w:bCs/>
                <w:i/>
                <w:iCs/>
              </w:rPr>
              <w:t>delegovaný akt v súlade s článkom 15 ods. 2</w:t>
            </w:r>
            <w:r>
              <w:t xml:space="preserve"> na zníženie tejto hodnoty.</w:t>
            </w:r>
          </w:p>
        </w:tc>
      </w:tr>
    </w:tbl>
    <w:p/>
    <w:p>
      <w:pPr>
        <w:pStyle w:val="AmNumberTabs"/>
      </w:pPr>
      <w:r>
        <w:t>Pozmeňujúci návrh</w:t>
      </w:r>
      <w:r>
        <w:tab/>
        <w:t>17</w:t>
      </w:r>
    </w:p>
    <w:p/>
    <w:p>
      <w:pPr>
        <w:rPr>
          <w:b/>
        </w:rPr>
      </w:pPr>
      <w:r>
        <w:rPr>
          <w:b/>
        </w:rPr>
        <w:t>Návrh nariadenia</w:t>
      </w:r>
    </w:p>
    <w:p>
      <w:pPr>
        <w:pStyle w:val="NormalBold"/>
      </w:pPr>
      <w:r>
        <w:t xml:space="preserve">Článok 4 – odsek 1 – bod 5 – písmeno c </w:t>
      </w:r>
      <w:proofErr w:type="spellStart"/>
      <w:r>
        <w:t>c</w:t>
      </w:r>
      <w:proofErr w:type="spellEnd"/>
      <w:r>
        <w:t xml:space="preserve"> (nové)</w:t>
      </w:r>
    </w:p>
    <w:p>
      <w:r>
        <w:t>Nariadenie (EÚ) 2019/1021</w:t>
      </w:r>
    </w:p>
    <w:p>
      <w:r>
        <w:t>Príloha IV – tabuľka 1 – riadok 27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1430"/>
        <w:gridCol w:w="1237"/>
        <w:gridCol w:w="3278"/>
      </w:tblGrid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AmColumnHeading"/>
            </w:pPr>
            <w:r>
              <w:t>Platný text</w:t>
            </w:r>
          </w:p>
        </w:tc>
      </w:tr>
      <w:t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proofErr w:type="spellStart"/>
            <w:r>
              <w:t>hexabrómcyklododekán</w:t>
            </w:r>
            <w:proofErr w:type="spellEnd"/>
            <w:r>
              <w:rPr>
                <w:sz w:val="20"/>
              </w:rPr>
              <w:t>(</w:t>
            </w:r>
            <w:r>
              <w:rPr>
                <w:sz w:val="20"/>
                <w:vertAlign w:val="superscript"/>
              </w:rPr>
              <w:t>4</w:t>
            </w:r>
            <w:r>
              <w:rPr>
                <w:sz w:val="20"/>
              </w:rPr>
              <w:t>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25637-99-4, 3194-55-6, 134237-50-6, 134237-51-7, 134237-52-8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247-148-4</w:t>
            </w:r>
            <w:r>
              <w:br/>
              <w:t>221-695-9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500 mg/kg</w:t>
            </w:r>
          </w:p>
          <w:p>
            <w:pPr>
              <w:pStyle w:val="Normal6a"/>
            </w:pPr>
            <w:r>
              <w:t xml:space="preserve">Komisia preskúma tento koncentračný limit a v náležitých prípadoch prijme </w:t>
            </w:r>
            <w:r>
              <w:rPr>
                <w:b/>
                <w:i/>
              </w:rPr>
              <w:t>legislatívny návrh</w:t>
            </w:r>
            <w:r>
              <w:t xml:space="preserve"> na zníženie tejto hodnoty na hodnotu nie vyššiu ako 200 mg/kg </w:t>
            </w:r>
            <w:r>
              <w:rPr>
                <w:b/>
                <w:i/>
              </w:rPr>
              <w:t>najneskôr do 30. decembra 2027</w:t>
            </w:r>
            <w:r>
              <w:t>.</w:t>
            </w:r>
          </w:p>
        </w:tc>
      </w:tr>
      <w:t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  <w:tabs>
                <w:tab w:val="left" w:pos="314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  <w:vertAlign w:val="superscript"/>
              </w:rPr>
              <w:t>4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z w:val="20"/>
                <w:shd w:val="clear" w:color="auto" w:fill="FFFFFF"/>
              </w:rPr>
              <w:t>„</w:t>
            </w:r>
            <w:proofErr w:type="spellStart"/>
            <w:r>
              <w:rPr>
                <w:sz w:val="20"/>
                <w:shd w:val="clear" w:color="auto" w:fill="FFFFFF"/>
              </w:rPr>
              <w:t>Hexabrómcyklododekán</w:t>
            </w:r>
            <w:proofErr w:type="spellEnd"/>
            <w:r>
              <w:rPr>
                <w:sz w:val="20"/>
                <w:shd w:val="clear" w:color="auto" w:fill="FFFFFF"/>
              </w:rPr>
              <w:t xml:space="preserve">“ je </w:t>
            </w:r>
            <w:proofErr w:type="spellStart"/>
            <w:r>
              <w:rPr>
                <w:sz w:val="20"/>
                <w:shd w:val="clear" w:color="auto" w:fill="FFFFFF"/>
              </w:rPr>
              <w:t>hexabrómcyklododekán</w:t>
            </w:r>
            <w:proofErr w:type="spellEnd"/>
            <w:r>
              <w:rPr>
                <w:sz w:val="20"/>
                <w:shd w:val="clear" w:color="auto" w:fill="FFFFFF"/>
              </w:rPr>
              <w:t xml:space="preserve">, 1,2,5,6,9,10-hexabrómcyklododekán a jeho hlavné </w:t>
            </w:r>
            <w:proofErr w:type="spellStart"/>
            <w:r>
              <w:rPr>
                <w:sz w:val="20"/>
                <w:shd w:val="clear" w:color="auto" w:fill="FFFFFF"/>
              </w:rPr>
              <w:t>diastereoizoméry</w:t>
            </w:r>
            <w:proofErr w:type="spellEnd"/>
            <w:r>
              <w:rPr>
                <w:sz w:val="20"/>
                <w:shd w:val="clear" w:color="auto" w:fill="FFFFFF"/>
              </w:rPr>
              <w:t>: alfa-</w:t>
            </w:r>
            <w:proofErr w:type="spellStart"/>
            <w:r>
              <w:rPr>
                <w:sz w:val="20"/>
                <w:shd w:val="clear" w:color="auto" w:fill="FFFFFF"/>
              </w:rPr>
              <w:t>hexabrómcyklododekán</w:t>
            </w:r>
            <w:proofErr w:type="spellEnd"/>
            <w:r>
              <w:rPr>
                <w:sz w:val="20"/>
                <w:shd w:val="clear" w:color="auto" w:fill="FFFFFF"/>
              </w:rPr>
              <w:t>, beta-</w:t>
            </w:r>
            <w:proofErr w:type="spellStart"/>
            <w:r>
              <w:rPr>
                <w:sz w:val="20"/>
                <w:shd w:val="clear" w:color="auto" w:fill="FFFFFF"/>
              </w:rPr>
              <w:t>hexabrómcyklododekán</w:t>
            </w:r>
            <w:proofErr w:type="spellEnd"/>
            <w:r>
              <w:rPr>
                <w:sz w:val="20"/>
                <w:shd w:val="clear" w:color="auto" w:fill="FFFFFF"/>
              </w:rPr>
              <w:t xml:space="preserve"> a gama-</w:t>
            </w:r>
            <w:proofErr w:type="spellStart"/>
            <w:r>
              <w:rPr>
                <w:sz w:val="20"/>
                <w:shd w:val="clear" w:color="auto" w:fill="FFFFFF"/>
              </w:rPr>
              <w:t>hexabrómcyklododekán</w:t>
            </w:r>
            <w:proofErr w:type="spellEnd"/>
            <w:r>
              <w:rPr>
                <w:sz w:val="20"/>
                <w:shd w:val="clear" w:color="auto" w:fill="FFFFFF"/>
              </w:rPr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6a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6a"/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6a"/>
            </w:pPr>
          </w:p>
        </w:tc>
      </w:tr>
    </w:tbl>
    <w:p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1430"/>
        <w:gridCol w:w="1237"/>
        <w:gridCol w:w="3278"/>
      </w:tblGrid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mColumnHeading"/>
              <w:jc w:val="left"/>
              <w:rPr>
                <w:b/>
              </w:rPr>
            </w:pPr>
            <w:r>
              <w:rPr>
                <w:b/>
              </w:rPr>
              <w:t>cc)</w:t>
            </w:r>
            <w:r>
              <w:rPr>
                <w:b/>
              </w:rPr>
              <w:tab/>
              <w:t>v prílohe IV tabuľke 1 sa riadok 27 nahrádza takto:</w:t>
            </w:r>
          </w:p>
        </w:tc>
      </w:tr>
      <w:t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proofErr w:type="spellStart"/>
            <w:r>
              <w:t>hexabrómcyklododekán</w:t>
            </w:r>
            <w:proofErr w:type="spellEnd"/>
            <w:r>
              <w:rPr>
                <w:sz w:val="20"/>
              </w:rPr>
              <w:t>(</w:t>
            </w:r>
            <w:r>
              <w:rPr>
                <w:sz w:val="20"/>
                <w:vertAlign w:val="superscript"/>
              </w:rPr>
              <w:t>4</w:t>
            </w:r>
            <w:r>
              <w:rPr>
                <w:sz w:val="20"/>
              </w:rPr>
              <w:t>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 xml:space="preserve">25637-99-4, 3194-55-6, 134237-50-6, 134237-51-7, </w:t>
            </w:r>
            <w:r>
              <w:lastRenderedPageBreak/>
              <w:t>134237-52-8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lastRenderedPageBreak/>
              <w:t>247-148-4</w:t>
            </w:r>
            <w:r>
              <w:br/>
              <w:t>221-695-9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500 mg/kg</w:t>
            </w:r>
          </w:p>
          <w:p>
            <w:pPr>
              <w:pStyle w:val="Normal6a"/>
            </w:pPr>
            <w:r>
              <w:t xml:space="preserve">Komisia </w:t>
            </w:r>
            <w:r>
              <w:rPr>
                <w:b/>
                <w:bCs/>
                <w:i/>
                <w:iCs/>
              </w:rPr>
              <w:t>do 30. decembra 2027</w:t>
            </w:r>
            <w:r>
              <w:t xml:space="preserve"> preskúma tento koncentračný limit a v náležitých prípadoch </w:t>
            </w:r>
            <w:r>
              <w:lastRenderedPageBreak/>
              <w:t xml:space="preserve">prijme </w:t>
            </w:r>
            <w:r>
              <w:rPr>
                <w:b/>
                <w:bCs/>
                <w:i/>
                <w:iCs/>
              </w:rPr>
              <w:t>delegovaný akt v súlade s článkom 15 ods. 2</w:t>
            </w:r>
            <w:r>
              <w:t xml:space="preserve"> na zníženie tejto hodnoty na hodnotu nie vyššiu ako 200 mg/kg.</w:t>
            </w:r>
          </w:p>
        </w:tc>
      </w:tr>
      <w:t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  <w:tabs>
                <w:tab w:val="left" w:pos="314"/>
              </w:tabs>
              <w:rPr>
                <w:sz w:val="20"/>
              </w:rPr>
            </w:pPr>
            <w:r>
              <w:rPr>
                <w:sz w:val="20"/>
              </w:rPr>
              <w:lastRenderedPageBreak/>
              <w:t>(</w:t>
            </w:r>
            <w:r>
              <w:rPr>
                <w:sz w:val="20"/>
                <w:vertAlign w:val="superscript"/>
              </w:rPr>
              <w:t>4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z w:val="20"/>
                <w:shd w:val="clear" w:color="auto" w:fill="FFFFFF"/>
              </w:rPr>
              <w:t>„</w:t>
            </w:r>
            <w:proofErr w:type="spellStart"/>
            <w:r>
              <w:rPr>
                <w:sz w:val="20"/>
                <w:shd w:val="clear" w:color="auto" w:fill="FFFFFF"/>
              </w:rPr>
              <w:t>Hexabrómcyklododekán</w:t>
            </w:r>
            <w:proofErr w:type="spellEnd"/>
            <w:r>
              <w:rPr>
                <w:sz w:val="20"/>
                <w:shd w:val="clear" w:color="auto" w:fill="FFFFFF"/>
              </w:rPr>
              <w:t xml:space="preserve">“ je </w:t>
            </w:r>
            <w:proofErr w:type="spellStart"/>
            <w:r>
              <w:rPr>
                <w:sz w:val="20"/>
                <w:shd w:val="clear" w:color="auto" w:fill="FFFFFF"/>
              </w:rPr>
              <w:t>hexabrómcyklododekán</w:t>
            </w:r>
            <w:proofErr w:type="spellEnd"/>
            <w:r>
              <w:rPr>
                <w:sz w:val="20"/>
                <w:shd w:val="clear" w:color="auto" w:fill="FFFFFF"/>
              </w:rPr>
              <w:t xml:space="preserve">, 1,2,5,6,9,10-hexabrómcyklododekán a jeho hlavné </w:t>
            </w:r>
            <w:proofErr w:type="spellStart"/>
            <w:r>
              <w:rPr>
                <w:sz w:val="20"/>
                <w:shd w:val="clear" w:color="auto" w:fill="FFFFFF"/>
              </w:rPr>
              <w:t>diastereoizoméry</w:t>
            </w:r>
            <w:proofErr w:type="spellEnd"/>
            <w:r>
              <w:rPr>
                <w:sz w:val="20"/>
                <w:shd w:val="clear" w:color="auto" w:fill="FFFFFF"/>
              </w:rPr>
              <w:t>: alfa-</w:t>
            </w:r>
            <w:proofErr w:type="spellStart"/>
            <w:r>
              <w:rPr>
                <w:sz w:val="20"/>
                <w:shd w:val="clear" w:color="auto" w:fill="FFFFFF"/>
              </w:rPr>
              <w:t>hexabrómcyklododekán</w:t>
            </w:r>
            <w:proofErr w:type="spellEnd"/>
            <w:r>
              <w:rPr>
                <w:sz w:val="20"/>
                <w:shd w:val="clear" w:color="auto" w:fill="FFFFFF"/>
              </w:rPr>
              <w:t>, beta-</w:t>
            </w:r>
            <w:proofErr w:type="spellStart"/>
            <w:r>
              <w:rPr>
                <w:sz w:val="20"/>
                <w:shd w:val="clear" w:color="auto" w:fill="FFFFFF"/>
              </w:rPr>
              <w:t>hexabrómcyklododekán</w:t>
            </w:r>
            <w:proofErr w:type="spellEnd"/>
            <w:r>
              <w:rPr>
                <w:sz w:val="20"/>
                <w:shd w:val="clear" w:color="auto" w:fill="FFFFFF"/>
              </w:rPr>
              <w:t xml:space="preserve"> a gama-</w:t>
            </w:r>
            <w:proofErr w:type="spellStart"/>
            <w:r>
              <w:rPr>
                <w:sz w:val="20"/>
                <w:shd w:val="clear" w:color="auto" w:fill="FFFFFF"/>
              </w:rPr>
              <w:t>hexabrómcyklododekán</w:t>
            </w:r>
            <w:proofErr w:type="spellEnd"/>
            <w:r>
              <w:rPr>
                <w:sz w:val="20"/>
                <w:shd w:val="clear" w:color="auto" w:fill="FFFFFF"/>
              </w:rPr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6a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6a"/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Normal6a"/>
            </w:pPr>
          </w:p>
        </w:tc>
      </w:tr>
    </w:tbl>
    <w:p/>
    <w:p>
      <w:pPr>
        <w:pStyle w:val="AmNumberTabs"/>
      </w:pPr>
      <w:r>
        <w:t>Pozmeňujúci návrh</w:t>
      </w:r>
      <w:r>
        <w:tab/>
        <w:t>18</w:t>
      </w:r>
    </w:p>
    <w:p>
      <w:pPr>
        <w:pStyle w:val="NormalBold"/>
      </w:pPr>
    </w:p>
    <w:p>
      <w:pPr>
        <w:pStyle w:val="NormalBold"/>
      </w:pPr>
      <w:r>
        <w:t>Návrh nariadenia</w:t>
      </w:r>
    </w:p>
    <w:p>
      <w:pPr>
        <w:pStyle w:val="NormalBold"/>
      </w:pPr>
      <w:r>
        <w:t>Článok 4 – odsek 1 – bod 5 – písmeno c d (nové)</w:t>
      </w:r>
    </w:p>
    <w:p>
      <w:r>
        <w:t>Nariadenie (EÚ) 2019/1021</w:t>
      </w:r>
    </w:p>
    <w:p>
      <w:r>
        <w:t>Príloha IV – tabuľka 1 – riadok 30</w:t>
      </w:r>
    </w:p>
    <w:p>
      <w:pPr>
        <w:pStyle w:val="Normal0"/>
        <w:rPr>
          <w:rStyle w:val="HideTWBExt"/>
          <w:rFonts w:ascii="Times New Roman" w:hAnsi="Times New Roman"/>
          <w:noProof w:val="0"/>
          <w:vanish w:val="0"/>
          <w:color w:val="auto"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AmColumnHeading"/>
            </w:pPr>
            <w:r>
              <w:t>Platný text</w:t>
            </w:r>
          </w:p>
        </w:tc>
      </w:tr>
      <w:t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 xml:space="preserve">kyselina </w:t>
            </w:r>
            <w:proofErr w:type="spellStart"/>
            <w:r>
              <w:t>perfluóroktánová</w:t>
            </w:r>
            <w:proofErr w:type="spellEnd"/>
            <w:r>
              <w:t xml:space="preserve"> (PFOA), jej soli a príbuzné zlúčeniny, ako sa stanovuje v prílohe 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335-67-1 a iné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206-397-9 a iné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1 mg/kg</w:t>
            </w:r>
          </w:p>
          <w:p>
            <w:pPr>
              <w:pStyle w:val="Normal6a"/>
            </w:pPr>
            <w:r>
              <w:t>(PFOA a jej soli),</w:t>
            </w:r>
          </w:p>
          <w:p>
            <w:pPr>
              <w:pStyle w:val="Normal6a"/>
            </w:pPr>
            <w:r>
              <w:t>40 mg/kg</w:t>
            </w:r>
          </w:p>
          <w:p>
            <w:pPr>
              <w:pStyle w:val="Normal6a"/>
            </w:pPr>
            <w:r>
              <w:t>(súčet jej príbuzných zlúčenín)</w:t>
            </w:r>
          </w:p>
          <w:p>
            <w:pPr>
              <w:pStyle w:val="Normal6a"/>
            </w:pPr>
            <w:r>
              <w:t xml:space="preserve">Komisia preskúma tento koncentračný limit a v náležitých prípadoch prijme </w:t>
            </w:r>
            <w:r>
              <w:rPr>
                <w:b/>
                <w:i/>
              </w:rPr>
              <w:t>legislatívny návrh</w:t>
            </w:r>
            <w:r>
              <w:t xml:space="preserve"> na zníženie tejto hodnoty</w:t>
            </w:r>
            <w:r>
              <w:rPr>
                <w:b/>
                <w:i/>
              </w:rPr>
              <w:t>, ak je takéto zníženie uskutočniteľné v súlade s vedeckým a technickým pokrokom, najneskôr do 30. decembra 2027</w:t>
            </w:r>
            <w:r>
              <w:t>.</w:t>
            </w:r>
          </w:p>
        </w:tc>
      </w:tr>
    </w:tbl>
    <w:p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mColumnHeading"/>
              <w:jc w:val="left"/>
              <w:rPr>
                <w:b/>
              </w:rPr>
            </w:pPr>
            <w:r>
              <w:rPr>
                <w:b/>
              </w:rPr>
              <w:t>cd)</w:t>
            </w:r>
            <w:r>
              <w:rPr>
                <w:b/>
              </w:rPr>
              <w:tab/>
              <w:t>v prílohe IV tabuľke 1 sa riadok 30 nahrádza takto:</w:t>
            </w:r>
          </w:p>
        </w:tc>
      </w:tr>
      <w:t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 xml:space="preserve">kyselina </w:t>
            </w:r>
            <w:proofErr w:type="spellStart"/>
            <w:r>
              <w:t>perfluóroktánová</w:t>
            </w:r>
            <w:proofErr w:type="spellEnd"/>
            <w:r>
              <w:t xml:space="preserve"> (PFOA), jej soli a príbuzné zlúčeniny, ako sa stanovuje v prílohe 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335-67-1 a iné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206-397-9 a iné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1 mg/kg</w:t>
            </w:r>
          </w:p>
          <w:p>
            <w:pPr>
              <w:pStyle w:val="Normal6a"/>
            </w:pPr>
            <w:r>
              <w:t>(PFOA a jej soli),</w:t>
            </w:r>
          </w:p>
          <w:p>
            <w:pPr>
              <w:pStyle w:val="Normal6a"/>
            </w:pPr>
            <w:r>
              <w:t>40 mg/kg</w:t>
            </w:r>
          </w:p>
          <w:p>
            <w:pPr>
              <w:pStyle w:val="Normal6a"/>
            </w:pPr>
            <w:r>
              <w:t>(súčet jej príbuzných zlúčenín)</w:t>
            </w:r>
          </w:p>
          <w:p>
            <w:pPr>
              <w:pStyle w:val="Normal6a"/>
            </w:pPr>
            <w:r>
              <w:t xml:space="preserve">Komisia </w:t>
            </w:r>
            <w:r>
              <w:rPr>
                <w:b/>
                <w:bCs/>
                <w:i/>
                <w:iCs/>
              </w:rPr>
              <w:t>do 30. decembra 2027</w:t>
            </w:r>
            <w:r>
              <w:t xml:space="preserve"> preskúma tento koncentračný limit a v náležitých prípadoch prijme </w:t>
            </w:r>
            <w:r>
              <w:rPr>
                <w:b/>
                <w:bCs/>
                <w:i/>
                <w:iCs/>
              </w:rPr>
              <w:lastRenderedPageBreak/>
              <w:t>delegovaný akt v súlade s článkom 15 ods. 2</w:t>
            </w:r>
            <w:r>
              <w:t xml:space="preserve"> na zníženie tejto hodnoty.</w:t>
            </w:r>
          </w:p>
        </w:tc>
      </w:tr>
    </w:tbl>
    <w:p/>
    <w:p>
      <w:pPr>
        <w:pStyle w:val="AmNumberTabs"/>
      </w:pPr>
      <w:r>
        <w:t>Pozmeňujúci návrh</w:t>
      </w:r>
      <w:r>
        <w:tab/>
        <w:t>19</w:t>
      </w:r>
    </w:p>
    <w:p/>
    <w:p>
      <w:pPr>
        <w:rPr>
          <w:b/>
        </w:rPr>
      </w:pPr>
      <w:r>
        <w:rPr>
          <w:b/>
        </w:rPr>
        <w:t>Návrh nariadenia</w:t>
      </w:r>
    </w:p>
    <w:p>
      <w:pPr>
        <w:pStyle w:val="NormalBold"/>
      </w:pPr>
      <w:r>
        <w:t>Článok 4 – odsek 1 – bod 5 – písmeno c e (nové)</w:t>
      </w:r>
    </w:p>
    <w:p>
      <w:r>
        <w:t>Nariadenie (EÚ) 2019/1021</w:t>
      </w:r>
    </w:p>
    <w:p>
      <w:r>
        <w:t>Príloha IV – tabuľka 1 – riadok 31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9"/>
        <w:gridCol w:w="1500"/>
        <w:gridCol w:w="1368"/>
        <w:gridCol w:w="3683"/>
      </w:tblGrid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AmColumnHeading"/>
            </w:pPr>
            <w:r>
              <w:t>Platný text</w:t>
            </w:r>
          </w:p>
        </w:tc>
      </w:tr>
      <w:t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 xml:space="preserve">kyselina </w:t>
            </w:r>
            <w:proofErr w:type="spellStart"/>
            <w:r>
              <w:t>perfluórhexánsulfónová</w:t>
            </w:r>
            <w:proofErr w:type="spellEnd"/>
            <w:r>
              <w:t xml:space="preserve"> (</w:t>
            </w:r>
            <w:proofErr w:type="spellStart"/>
            <w:r>
              <w:t>PFHxS</w:t>
            </w:r>
            <w:proofErr w:type="spellEnd"/>
            <w:r>
              <w:t>), jej soli a príbuzné zlúčeniny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355-46-4 a iné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206-587-1 a iné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1 mg/kg</w:t>
            </w:r>
          </w:p>
          <w:p>
            <w:pPr>
              <w:pStyle w:val="Normal6a"/>
            </w:pPr>
            <w:r>
              <w:t>(</w:t>
            </w:r>
            <w:proofErr w:type="spellStart"/>
            <w:r>
              <w:t>PFHxS</w:t>
            </w:r>
            <w:proofErr w:type="spellEnd"/>
            <w:r>
              <w:t xml:space="preserve"> a jej soli), 40 mg/kg</w:t>
            </w:r>
          </w:p>
          <w:p>
            <w:pPr>
              <w:pStyle w:val="Normal6a"/>
            </w:pPr>
            <w:r>
              <w:t>(súčet jej príbuzných zlúčenín)</w:t>
            </w:r>
          </w:p>
          <w:p>
            <w:pPr>
              <w:pStyle w:val="Normal6a"/>
            </w:pPr>
            <w:r>
              <w:t xml:space="preserve">Komisia preskúma tento koncentračný limit a v náležitých prípadoch prijme </w:t>
            </w:r>
            <w:r>
              <w:rPr>
                <w:b/>
                <w:i/>
              </w:rPr>
              <w:t>legislatívny návrh</w:t>
            </w:r>
            <w:r>
              <w:t xml:space="preserve"> na zníženie tejto hodnoty</w:t>
            </w:r>
            <w:r>
              <w:rPr>
                <w:b/>
                <w:i/>
              </w:rPr>
              <w:t>, ak je takéto zníženie uskutočniteľné v súlade s vedeckým a technickým pokrokom, najneskôr do 30. decembra 2027</w:t>
            </w:r>
            <w:r>
              <w:t>.</w:t>
            </w:r>
          </w:p>
        </w:tc>
      </w:tr>
    </w:tbl>
    <w:p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9"/>
        <w:gridCol w:w="1502"/>
        <w:gridCol w:w="1371"/>
        <w:gridCol w:w="3678"/>
      </w:tblGrid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mColumnHeading"/>
              <w:jc w:val="left"/>
              <w:rPr>
                <w:b/>
              </w:rPr>
            </w:pPr>
            <w:proofErr w:type="spellStart"/>
            <w:r>
              <w:rPr>
                <w:b/>
              </w:rPr>
              <w:t>ce</w:t>
            </w:r>
            <w:proofErr w:type="spellEnd"/>
            <w:r>
              <w:rPr>
                <w:b/>
              </w:rPr>
              <w:t>)</w:t>
            </w:r>
            <w:r>
              <w:rPr>
                <w:b/>
              </w:rPr>
              <w:tab/>
              <w:t>v prílohe IV tabuľke 1 sa riadok 31 nahrádza takto:</w:t>
            </w:r>
          </w:p>
        </w:tc>
      </w:tr>
      <w:t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 xml:space="preserve">kyselina </w:t>
            </w:r>
            <w:proofErr w:type="spellStart"/>
            <w:r>
              <w:t>perfluórhexánsulfónová</w:t>
            </w:r>
            <w:proofErr w:type="spellEnd"/>
            <w:r>
              <w:t xml:space="preserve"> (</w:t>
            </w:r>
            <w:proofErr w:type="spellStart"/>
            <w:r>
              <w:t>PFHxS</w:t>
            </w:r>
            <w:proofErr w:type="spellEnd"/>
            <w:r>
              <w:t>), jej soli a príbuzné zlúčeniny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355-46-4 a iné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206-587-1 a iné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Normal6a"/>
            </w:pPr>
            <w:r>
              <w:t>1 mg/kg</w:t>
            </w:r>
          </w:p>
          <w:p>
            <w:pPr>
              <w:pStyle w:val="Normal6a"/>
            </w:pPr>
            <w:r>
              <w:t>(</w:t>
            </w:r>
            <w:proofErr w:type="spellStart"/>
            <w:r>
              <w:t>PFHxS</w:t>
            </w:r>
            <w:proofErr w:type="spellEnd"/>
            <w:r>
              <w:t xml:space="preserve"> a jej soli), 40 mg/kg</w:t>
            </w:r>
          </w:p>
          <w:p>
            <w:pPr>
              <w:pStyle w:val="Normal6a"/>
            </w:pPr>
            <w:r>
              <w:t>(súčet jej príbuzných zlúčenín)</w:t>
            </w:r>
          </w:p>
          <w:p>
            <w:pPr>
              <w:pStyle w:val="Normal6a"/>
            </w:pPr>
            <w:r>
              <w:t xml:space="preserve">Komisia </w:t>
            </w:r>
            <w:r>
              <w:rPr>
                <w:b/>
                <w:bCs/>
                <w:i/>
                <w:iCs/>
              </w:rPr>
              <w:t>do 30. decembra 2027</w:t>
            </w:r>
            <w:r>
              <w:t xml:space="preserve"> preskúma tento koncentračný limit a v náležitých prípadoch prijme </w:t>
            </w:r>
            <w:r>
              <w:rPr>
                <w:b/>
                <w:bCs/>
                <w:i/>
                <w:iCs/>
              </w:rPr>
              <w:t>delegovaný akt v súlade s článkom 15 ods. 2</w:t>
            </w:r>
            <w:r>
              <w:t xml:space="preserve"> na zníženie tejto hodnoty.</w:t>
            </w:r>
          </w:p>
        </w:tc>
      </w:tr>
    </w:tbl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>
        <w:rPr>
          <w:lang w:val="fi-FI"/>
        </w:rPr>
        <w:t xml:space="preserve"> </w:t>
      </w:r>
      <w:r>
        <w:rPr>
          <w:lang w:val="fi-FI"/>
        </w:rPr>
        <w:tab/>
      </w:r>
      <w:r>
        <w:rPr>
          <w:sz w:val="24"/>
          <w:szCs w:val="24"/>
          <w:lang w:val="sk-SK"/>
        </w:rPr>
        <w:t xml:space="preserve">Vec bola vrátená gestorskému výboru na </w:t>
      </w:r>
      <w:proofErr w:type="spellStart"/>
      <w:r>
        <w:rPr>
          <w:sz w:val="24"/>
          <w:szCs w:val="24"/>
          <w:lang w:val="sk-SK"/>
        </w:rPr>
        <w:t>medziinštitucionálne</w:t>
      </w:r>
      <w:proofErr w:type="spellEnd"/>
      <w:r>
        <w:rPr>
          <w:sz w:val="24"/>
          <w:szCs w:val="24"/>
          <w:lang w:val="sk-SK"/>
        </w:rPr>
        <w:t xml:space="preserve"> rokovania podľa článku 60 ods. 4 štvrtého </w:t>
      </w:r>
      <w:proofErr w:type="spellStart"/>
      <w:r>
        <w:rPr>
          <w:sz w:val="24"/>
          <w:szCs w:val="24"/>
          <w:lang w:val="sk-SK"/>
        </w:rPr>
        <w:t>pododseku</w:t>
      </w:r>
      <w:proofErr w:type="spellEnd"/>
      <w:r>
        <w:rPr>
          <w:sz w:val="24"/>
          <w:szCs w:val="24"/>
          <w:lang w:val="sk-SK"/>
        </w:rPr>
        <w:t xml:space="preserve"> (A10-0020/2025).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0/2025"/>
    <w:docVar w:name="dvlangue" w:val="SK"/>
    <w:docVar w:name="dvnumam" w:val="19"/>
    <w:docVar w:name="dvpe" w:val="763.253"/>
    <w:docVar w:name="dvrapporteur" w:val="Spravodajca: "/>
    <w:docVar w:name="dvstar" w:val="***I"/>
    <w:docVar w:name="dvtitre" w:val="Legislatívne uznesenie Európskeho parlamentu z 1. apríla 2025 o návrhu nariadenia Európskeho parlamentu a Rady, ktorým sa menia nariadenia Európskeho parlamentu a Rady (ES) č. 178/2002, (ES) č. 401/2009, (EÚ) 2017/745 a (EÚ) 2019/1021, pokiaľ ide o prerozdelenie vedeckých a technických úloh a zlepšenie spolupráce medzi agentúrami Únie v oblasti chemických látok(COM(2023)0783 – C9-0447/2023 – 2023/0455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CF18B-8C27-4E09-95D8-AA22DBA63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Pr>
      <w:sz w:val="2"/>
      <w:szCs w:val="24"/>
      <w:lang w:eastAsia="en-US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60BF2-1F90-4192-906D-CF8B612E5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2804</Words>
  <Characters>16917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9</cp:revision>
  <cp:lastPrinted>2004-11-19T15:42:00Z</cp:lastPrinted>
  <dcterms:created xsi:type="dcterms:W3CDTF">2025-04-01T09:18:00Z</dcterms:created>
  <dcterms:modified xsi:type="dcterms:W3CDTF">2025-04-01T13:54:00Z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A10-0020/2025</vt:lpwstr>
  </property>
  <property fmtid="{D5CDD505-2E9C-101B-9397-08002B2CF9AE}" pid="4" name="&lt;Type&gt;">
    <vt:lpwstr>RR</vt:lpwstr>
  </property>
</Properties>
</file>