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F6D" w14:paraId="1B4CA6F4" w14:textId="77777777" w:rsidTr="0010095E">
        <w:trPr>
          <w:trHeight w:hRule="exact" w:val="1418"/>
        </w:trPr>
        <w:tc>
          <w:tcPr>
            <w:tcW w:w="6804" w:type="dxa"/>
            <w:shd w:val="clear" w:color="auto" w:fill="auto"/>
            <w:vAlign w:val="center"/>
          </w:tcPr>
          <w:p w14:paraId="0103BD9C" w14:textId="77777777" w:rsidR="00751A4A" w:rsidRPr="009F1F6D" w:rsidRDefault="005D4722" w:rsidP="0010095E">
            <w:pPr>
              <w:pStyle w:val="EPName"/>
            </w:pPr>
            <w:r w:rsidRPr="009F1F6D">
              <w:t>Parlamento Europeo</w:t>
            </w:r>
          </w:p>
          <w:p w14:paraId="078DA8C5" w14:textId="77777777" w:rsidR="00751A4A" w:rsidRPr="009F1F6D" w:rsidRDefault="005F1B17" w:rsidP="005F1B17">
            <w:pPr>
              <w:pStyle w:val="EPTerm"/>
              <w:rPr>
                <w:rStyle w:val="HideTWBExt"/>
                <w:noProof w:val="0"/>
                <w:vanish w:val="0"/>
                <w:color w:val="auto"/>
              </w:rPr>
            </w:pPr>
            <w:r w:rsidRPr="009F1F6D">
              <w:t>2024</w:t>
            </w:r>
            <w:r w:rsidR="00817416" w:rsidRPr="009F1F6D">
              <w:t>-202</w:t>
            </w:r>
            <w:r w:rsidRPr="009F1F6D">
              <w:t>9</w:t>
            </w:r>
          </w:p>
        </w:tc>
        <w:tc>
          <w:tcPr>
            <w:tcW w:w="2268" w:type="dxa"/>
            <w:shd w:val="clear" w:color="auto" w:fill="auto"/>
          </w:tcPr>
          <w:p w14:paraId="60904FA7" w14:textId="77777777" w:rsidR="00751A4A" w:rsidRPr="009F1F6D" w:rsidRDefault="00187494" w:rsidP="0010095E">
            <w:pPr>
              <w:pStyle w:val="EPLogo"/>
            </w:pPr>
            <w:r w:rsidRPr="009F1F6D">
              <w:rPr>
                <w:noProof/>
                <w:lang w:val="en-GB"/>
              </w:rPr>
              <w:drawing>
                <wp:inline distT="0" distB="0" distL="0" distR="0" wp14:anchorId="24E41B28" wp14:editId="5DF2A2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DA260" w14:textId="77777777" w:rsidR="00D058B8" w:rsidRPr="009F1F6D" w:rsidRDefault="00D058B8" w:rsidP="004C5D52">
      <w:pPr>
        <w:pStyle w:val="LineTop"/>
      </w:pPr>
    </w:p>
    <w:p w14:paraId="2E3B1E82" w14:textId="77777777" w:rsidR="00680577" w:rsidRPr="009F1F6D" w:rsidRDefault="005D4722" w:rsidP="00680577">
      <w:pPr>
        <w:pStyle w:val="EPBodyTA1"/>
      </w:pPr>
      <w:r w:rsidRPr="009F1F6D">
        <w:t>TEXTOS APROBADOS</w:t>
      </w:r>
    </w:p>
    <w:p w14:paraId="2D0E2EB4" w14:textId="77777777" w:rsidR="00D058B8" w:rsidRPr="009F1F6D" w:rsidRDefault="00D058B8" w:rsidP="00D058B8">
      <w:pPr>
        <w:pStyle w:val="LineBottom"/>
      </w:pPr>
    </w:p>
    <w:p w14:paraId="14228230" w14:textId="77777777" w:rsidR="005D4722" w:rsidRPr="009F1F6D" w:rsidRDefault="005D4722" w:rsidP="005D4722">
      <w:pPr>
        <w:pStyle w:val="ATHeading1"/>
      </w:pPr>
      <w:bookmarkStart w:id="0" w:name="TANumber"/>
      <w:r w:rsidRPr="009F1F6D">
        <w:t>P10_</w:t>
      </w:r>
      <w:proofErr w:type="gramStart"/>
      <w:r w:rsidRPr="009F1F6D">
        <w:t>TA(</w:t>
      </w:r>
      <w:proofErr w:type="gramEnd"/>
      <w:r w:rsidRPr="009F1F6D">
        <w:t>2025)00</w:t>
      </w:r>
      <w:r w:rsidR="00EA52BA" w:rsidRPr="009F1F6D">
        <w:t>49</w:t>
      </w:r>
      <w:bookmarkEnd w:id="0"/>
    </w:p>
    <w:p w14:paraId="0AE93A44" w14:textId="77777777" w:rsidR="005D4722" w:rsidRPr="009F1F6D" w:rsidRDefault="005D4722" w:rsidP="005D4722">
      <w:pPr>
        <w:pStyle w:val="ATHeading2"/>
      </w:pPr>
      <w:bookmarkStart w:id="1" w:name="title"/>
      <w:r w:rsidRPr="009F1F6D">
        <w:t>Ayuda macrofinanciera a Egipto</w:t>
      </w:r>
      <w:bookmarkEnd w:id="1"/>
    </w:p>
    <w:p w14:paraId="306CF97A" w14:textId="77777777" w:rsidR="005D4722" w:rsidRPr="009F1F6D" w:rsidRDefault="005D4722" w:rsidP="005D4722">
      <w:pPr>
        <w:rPr>
          <w:i/>
          <w:vanish/>
        </w:rPr>
      </w:pPr>
      <w:r w:rsidRPr="009F1F6D">
        <w:rPr>
          <w:i/>
        </w:rPr>
        <w:fldChar w:fldCharType="begin"/>
      </w:r>
      <w:r w:rsidRPr="009F1F6D">
        <w:rPr>
          <w:i/>
        </w:rPr>
        <w:instrText xml:space="preserve"> TC"(</w:instrText>
      </w:r>
      <w:bookmarkStart w:id="2" w:name="DocNumber"/>
      <w:r w:rsidRPr="009F1F6D">
        <w:rPr>
          <w:i/>
        </w:rPr>
        <w:instrText>A10-0037/2025</w:instrText>
      </w:r>
      <w:bookmarkEnd w:id="2"/>
      <w:r w:rsidRPr="009F1F6D">
        <w:rPr>
          <w:i/>
        </w:rPr>
        <w:instrText xml:space="preserve"> - Ponente: Céline </w:instrText>
      </w:r>
      <w:proofErr w:type="spellStart"/>
      <w:r w:rsidRPr="009F1F6D">
        <w:rPr>
          <w:i/>
        </w:rPr>
        <w:instrText>Imart</w:instrText>
      </w:r>
      <w:proofErr w:type="spellEnd"/>
      <w:r w:rsidRPr="009F1F6D">
        <w:rPr>
          <w:i/>
        </w:rPr>
        <w:instrText xml:space="preserve">)"\l3 \n&gt; \* MERGEFORMAT </w:instrText>
      </w:r>
      <w:r w:rsidRPr="009F1F6D">
        <w:rPr>
          <w:i/>
        </w:rPr>
        <w:fldChar w:fldCharType="end"/>
      </w:r>
    </w:p>
    <w:p w14:paraId="5FAB8EB1" w14:textId="77777777" w:rsidR="005D4722" w:rsidRPr="009F1F6D" w:rsidRDefault="005D4722" w:rsidP="005D4722">
      <w:pPr>
        <w:rPr>
          <w:vanish/>
        </w:rPr>
      </w:pPr>
      <w:bookmarkStart w:id="3" w:name="Commission"/>
      <w:r w:rsidRPr="009F1F6D">
        <w:rPr>
          <w:vanish/>
        </w:rPr>
        <w:t>Comisión de Comercio Internacional</w:t>
      </w:r>
      <w:bookmarkEnd w:id="3"/>
    </w:p>
    <w:p w14:paraId="538E002E" w14:textId="77777777" w:rsidR="005D4722" w:rsidRPr="009F1F6D" w:rsidRDefault="005D4722" w:rsidP="005D4722">
      <w:pPr>
        <w:rPr>
          <w:vanish/>
        </w:rPr>
      </w:pPr>
      <w:bookmarkStart w:id="4" w:name="PE"/>
      <w:r w:rsidRPr="009F1F6D">
        <w:rPr>
          <w:vanish/>
        </w:rPr>
        <w:t>PE765.300</w:t>
      </w:r>
      <w:bookmarkEnd w:id="4"/>
    </w:p>
    <w:p w14:paraId="09A9C36D" w14:textId="77777777" w:rsidR="005D4722" w:rsidRPr="009F1F6D" w:rsidRDefault="00EA52BA" w:rsidP="005D4722">
      <w:pPr>
        <w:pStyle w:val="ATHeading3"/>
      </w:pPr>
      <w:bookmarkStart w:id="5" w:name="Sujet"/>
      <w:r w:rsidRPr="009F1F6D">
        <w:t xml:space="preserve">Enmiendas aprobadas por </w:t>
      </w:r>
      <w:r w:rsidR="005D4722" w:rsidRPr="009F1F6D">
        <w:t>el Parlamento Europeo e</w:t>
      </w:r>
      <w:r w:rsidRPr="009F1F6D">
        <w:t>l</w:t>
      </w:r>
      <w:r w:rsidR="005D4722" w:rsidRPr="009F1F6D">
        <w:t xml:space="preserve"> </w:t>
      </w:r>
      <w:r w:rsidRPr="009F1F6D">
        <w:t>1</w:t>
      </w:r>
      <w:r w:rsidR="005D4722" w:rsidRPr="009F1F6D">
        <w:t xml:space="preserve"> de abril de 2025 sobre la propuesta de Decisión del Parlamento Europeo y del Consejo relativa a la concesión de una ayuda macrofinanciera a la República Árabe de Egipto</w:t>
      </w:r>
      <w:bookmarkEnd w:id="5"/>
      <w:r w:rsidR="005D4722" w:rsidRPr="009F1F6D">
        <w:t xml:space="preserve"> </w:t>
      </w:r>
      <w:bookmarkStart w:id="6" w:name="References"/>
      <w:r w:rsidR="005D4722" w:rsidRPr="009F1F6D">
        <w:t>(COM(2024)0461 – C10-0009/2024 – 2024/0071(COD))</w:t>
      </w:r>
      <w:bookmarkEnd w:id="6"/>
      <w:r w:rsidRPr="009F1F6D">
        <w:rPr>
          <w:rStyle w:val="FootnoteReference"/>
        </w:rPr>
        <w:footnoteReference w:id="1"/>
      </w:r>
    </w:p>
    <w:p w14:paraId="50BAD07D" w14:textId="77777777" w:rsidR="003C2A24" w:rsidRPr="009F1F6D" w:rsidRDefault="003C2A24" w:rsidP="003C2A24">
      <w:pPr>
        <w:pStyle w:val="NormalBold"/>
      </w:pPr>
      <w:r w:rsidRPr="009F1F6D">
        <w:t>(Procedimiento legislativo ordinario: primera lectura)</w:t>
      </w:r>
    </w:p>
    <w:p w14:paraId="29DD257A" w14:textId="77777777" w:rsidR="003C2A24" w:rsidRPr="009F1F6D" w:rsidRDefault="003C2A24" w:rsidP="003C2A24"/>
    <w:p w14:paraId="23F37989" w14:textId="77777777" w:rsidR="003C2A24" w:rsidRPr="009F1F6D" w:rsidRDefault="003C2A24" w:rsidP="003C2A24">
      <w:pPr>
        <w:pStyle w:val="AmNumberTabs"/>
      </w:pPr>
      <w:r w:rsidRPr="009F1F6D">
        <w:t>Enmienda</w:t>
      </w:r>
      <w:r w:rsidRPr="009F1F6D">
        <w:tab/>
      </w:r>
      <w:r w:rsidRPr="009F1F6D">
        <w:tab/>
        <w:t>1</w:t>
      </w:r>
    </w:p>
    <w:p w14:paraId="4E8A49CC" w14:textId="77777777" w:rsidR="003C2A24" w:rsidRPr="009F1F6D" w:rsidRDefault="003C2A24" w:rsidP="003C2A24">
      <w:pPr>
        <w:pStyle w:val="NormalBold12b"/>
      </w:pPr>
      <w:r w:rsidRPr="009F1F6D">
        <w:t>Propuesta de Decisión</w:t>
      </w:r>
    </w:p>
    <w:p w14:paraId="2A3DE676" w14:textId="77777777" w:rsidR="003C2A24" w:rsidRPr="009F1F6D" w:rsidRDefault="003C2A24" w:rsidP="003C2A24">
      <w:pPr>
        <w:pStyle w:val="NormalBold"/>
      </w:pPr>
      <w:r w:rsidRPr="009F1F6D">
        <w:t>Considerando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712539F9" w14:textId="77777777" w:rsidTr="00CF4BA9">
        <w:trPr>
          <w:trHeight w:val="240"/>
          <w:jc w:val="center"/>
        </w:trPr>
        <w:tc>
          <w:tcPr>
            <w:tcW w:w="9752" w:type="dxa"/>
            <w:gridSpan w:val="2"/>
            <w:tcBorders>
              <w:top w:val="nil"/>
              <w:left w:val="nil"/>
              <w:bottom w:val="nil"/>
              <w:right w:val="nil"/>
            </w:tcBorders>
          </w:tcPr>
          <w:p w14:paraId="23BEFE0F" w14:textId="77777777" w:rsidR="003C2A24" w:rsidRPr="009F1F6D" w:rsidRDefault="003C2A24" w:rsidP="00CF4BA9"/>
        </w:tc>
      </w:tr>
      <w:tr w:rsidR="003C2A24" w:rsidRPr="009F1F6D" w14:paraId="55E3E311" w14:textId="77777777" w:rsidTr="00CF4BA9">
        <w:trPr>
          <w:trHeight w:val="240"/>
          <w:jc w:val="center"/>
        </w:trPr>
        <w:tc>
          <w:tcPr>
            <w:tcW w:w="4876" w:type="dxa"/>
            <w:tcBorders>
              <w:top w:val="nil"/>
              <w:left w:val="nil"/>
              <w:bottom w:val="nil"/>
              <w:right w:val="nil"/>
            </w:tcBorders>
            <w:hideMark/>
          </w:tcPr>
          <w:p w14:paraId="3C2DEBF6"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hideMark/>
          </w:tcPr>
          <w:p w14:paraId="48C2026D" w14:textId="77777777" w:rsidR="003C2A24" w:rsidRPr="009F1F6D" w:rsidRDefault="003C2A24" w:rsidP="00CF4BA9">
            <w:pPr>
              <w:pStyle w:val="AmColumnHeading"/>
            </w:pPr>
            <w:r w:rsidRPr="009F1F6D">
              <w:t>Enmienda</w:t>
            </w:r>
          </w:p>
        </w:tc>
      </w:tr>
      <w:tr w:rsidR="003C2A24" w:rsidRPr="009F1F6D" w14:paraId="20F9A98E" w14:textId="77777777" w:rsidTr="00CF4BA9">
        <w:trPr>
          <w:jc w:val="center"/>
        </w:trPr>
        <w:tc>
          <w:tcPr>
            <w:tcW w:w="4876" w:type="dxa"/>
            <w:tcBorders>
              <w:top w:val="nil"/>
              <w:left w:val="nil"/>
              <w:bottom w:val="nil"/>
              <w:right w:val="nil"/>
            </w:tcBorders>
            <w:hideMark/>
          </w:tcPr>
          <w:p w14:paraId="228AEA5B" w14:textId="77777777" w:rsidR="003C2A24" w:rsidRPr="009F1F6D" w:rsidRDefault="003C2A24" w:rsidP="00CF4BA9">
            <w:pPr>
              <w:pStyle w:val="Normal6a"/>
            </w:pPr>
          </w:p>
        </w:tc>
        <w:tc>
          <w:tcPr>
            <w:tcW w:w="4876" w:type="dxa"/>
            <w:tcBorders>
              <w:top w:val="nil"/>
              <w:left w:val="nil"/>
              <w:bottom w:val="nil"/>
              <w:right w:val="nil"/>
            </w:tcBorders>
            <w:hideMark/>
          </w:tcPr>
          <w:p w14:paraId="464D5D1B" w14:textId="77777777" w:rsidR="003C2A24" w:rsidRPr="009F1F6D" w:rsidRDefault="003C2A24" w:rsidP="00CF4BA9">
            <w:pPr>
              <w:pStyle w:val="Normal6a"/>
            </w:pPr>
            <w:r w:rsidRPr="009F1F6D">
              <w:rPr>
                <w:b/>
                <w:i/>
              </w:rPr>
              <w:t>(1 bis)</w:t>
            </w:r>
            <w:r w:rsidRPr="009F1F6D">
              <w:rPr>
                <w:b/>
                <w:i/>
              </w:rPr>
              <w:tab/>
              <w:t>La presente Decisión tiene incidencia en el presupuesto de la Unión. Por consiguiente, la Comisión de Presupuestos del Parlamento Europeo ha aprobado una evaluación presupuestaria que forma parte del mandato de negociación del Parlamento.</w:t>
            </w:r>
          </w:p>
        </w:tc>
      </w:tr>
    </w:tbl>
    <w:p w14:paraId="24EA70C6" w14:textId="77777777" w:rsidR="003C2A24" w:rsidRPr="009F1F6D" w:rsidRDefault="003C2A24" w:rsidP="003C2A24"/>
    <w:p w14:paraId="50F51AA5" w14:textId="77777777" w:rsidR="003C2A24" w:rsidRPr="009F1F6D" w:rsidRDefault="003C2A24" w:rsidP="003C2A24">
      <w:pPr>
        <w:pStyle w:val="AmNumberTabs"/>
      </w:pPr>
      <w:r w:rsidRPr="009F1F6D">
        <w:t>Enmienda</w:t>
      </w:r>
      <w:r w:rsidRPr="009F1F6D">
        <w:tab/>
      </w:r>
      <w:r w:rsidRPr="009F1F6D">
        <w:tab/>
        <w:t>2</w:t>
      </w:r>
    </w:p>
    <w:p w14:paraId="660C070D" w14:textId="77777777" w:rsidR="003C2A24" w:rsidRPr="009F1F6D" w:rsidRDefault="003C2A24" w:rsidP="003C2A24">
      <w:pPr>
        <w:pStyle w:val="NormalBold12b"/>
      </w:pPr>
      <w:r w:rsidRPr="009F1F6D">
        <w:t>Propuesta de Decisión</w:t>
      </w:r>
    </w:p>
    <w:p w14:paraId="76777920" w14:textId="77777777" w:rsidR="003C2A24" w:rsidRPr="009F1F6D" w:rsidRDefault="003C2A24" w:rsidP="003C2A24">
      <w:pPr>
        <w:pStyle w:val="NormalBold"/>
      </w:pPr>
      <w:r w:rsidRPr="009F1F6D">
        <w:t>Considerando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14D6EC1B" w14:textId="77777777" w:rsidTr="00CF4BA9">
        <w:trPr>
          <w:trHeight w:hRule="exact" w:val="240"/>
          <w:jc w:val="center"/>
        </w:trPr>
        <w:tc>
          <w:tcPr>
            <w:tcW w:w="9752" w:type="dxa"/>
            <w:gridSpan w:val="2"/>
            <w:tcBorders>
              <w:top w:val="nil"/>
              <w:left w:val="nil"/>
              <w:bottom w:val="nil"/>
              <w:right w:val="nil"/>
            </w:tcBorders>
          </w:tcPr>
          <w:p w14:paraId="606EC70B" w14:textId="77777777" w:rsidR="003C2A24" w:rsidRPr="009F1F6D" w:rsidRDefault="003C2A24" w:rsidP="00CF4BA9"/>
        </w:tc>
      </w:tr>
      <w:tr w:rsidR="003C2A24" w:rsidRPr="009F1F6D" w14:paraId="7B937BCE" w14:textId="77777777" w:rsidTr="00CF4BA9">
        <w:trPr>
          <w:trHeight w:val="240"/>
          <w:jc w:val="center"/>
        </w:trPr>
        <w:tc>
          <w:tcPr>
            <w:tcW w:w="4876" w:type="dxa"/>
            <w:tcBorders>
              <w:top w:val="nil"/>
              <w:left w:val="nil"/>
              <w:bottom w:val="nil"/>
              <w:right w:val="nil"/>
            </w:tcBorders>
          </w:tcPr>
          <w:p w14:paraId="142C8BFF"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tcPr>
          <w:p w14:paraId="0C03745B" w14:textId="77777777" w:rsidR="003C2A24" w:rsidRPr="009F1F6D" w:rsidRDefault="003C2A24" w:rsidP="00CF4BA9">
            <w:pPr>
              <w:pStyle w:val="AmColumnHeading"/>
            </w:pPr>
            <w:r w:rsidRPr="009F1F6D">
              <w:t>Enmienda</w:t>
            </w:r>
          </w:p>
        </w:tc>
      </w:tr>
      <w:tr w:rsidR="003C2A24" w:rsidRPr="009F1F6D" w14:paraId="1AC8DB99" w14:textId="77777777" w:rsidTr="00CF4BA9">
        <w:trPr>
          <w:jc w:val="center"/>
        </w:trPr>
        <w:tc>
          <w:tcPr>
            <w:tcW w:w="4876" w:type="dxa"/>
            <w:tcBorders>
              <w:top w:val="nil"/>
              <w:left w:val="nil"/>
              <w:bottom w:val="nil"/>
              <w:right w:val="nil"/>
            </w:tcBorders>
          </w:tcPr>
          <w:p w14:paraId="6401893E" w14:textId="77777777" w:rsidR="003C2A24" w:rsidRPr="009F1F6D" w:rsidRDefault="003C2A24" w:rsidP="00CF4BA9">
            <w:pPr>
              <w:pStyle w:val="Normal6a"/>
            </w:pPr>
          </w:p>
        </w:tc>
        <w:tc>
          <w:tcPr>
            <w:tcW w:w="4876" w:type="dxa"/>
            <w:tcBorders>
              <w:top w:val="nil"/>
              <w:left w:val="nil"/>
              <w:bottom w:val="nil"/>
              <w:right w:val="nil"/>
            </w:tcBorders>
          </w:tcPr>
          <w:p w14:paraId="29FAEFA8" w14:textId="77777777" w:rsidR="003C2A24" w:rsidRPr="009F1F6D" w:rsidRDefault="003C2A24" w:rsidP="00CF4BA9">
            <w:pPr>
              <w:pStyle w:val="Normal6a"/>
            </w:pPr>
            <w:r w:rsidRPr="009F1F6D">
              <w:rPr>
                <w:b/>
                <w:i/>
              </w:rPr>
              <w:t>(2 bis)</w:t>
            </w:r>
            <w:r w:rsidRPr="009F1F6D">
              <w:tab/>
            </w:r>
            <w:r w:rsidRPr="009F1F6D">
              <w:rPr>
                <w:b/>
                <w:i/>
              </w:rPr>
              <w:t>El 17 de marzo de 2024, Egipto y la Unión Europea decidieron conjuntamente mejorar sus relaciones y establecer una asociación global y estratégica, basada en los valores de la equidad y del respeto y la confianza mutuos, con el fin de reforzar su estabilidad, paz y prosperidad comunes.</w:t>
            </w:r>
          </w:p>
        </w:tc>
      </w:tr>
    </w:tbl>
    <w:p w14:paraId="269D2EB6" w14:textId="77777777" w:rsidR="003C2A24" w:rsidRPr="009F1F6D" w:rsidRDefault="003C2A24" w:rsidP="003C2A24"/>
    <w:p w14:paraId="7715C372" w14:textId="77777777" w:rsidR="003C2A24" w:rsidRPr="009F1F6D" w:rsidRDefault="003C2A24" w:rsidP="003C2A24">
      <w:pPr>
        <w:pStyle w:val="AmNumberTabs"/>
        <w:keepNext/>
      </w:pPr>
      <w:r w:rsidRPr="009F1F6D">
        <w:t>Enmienda</w:t>
      </w:r>
      <w:r w:rsidR="00F43D41" w:rsidRPr="009F1F6D">
        <w:t>s</w:t>
      </w:r>
      <w:r w:rsidRPr="009F1F6D">
        <w:tab/>
      </w:r>
      <w:r w:rsidRPr="009F1F6D">
        <w:tab/>
        <w:t>3</w:t>
      </w:r>
      <w:r w:rsidR="00F43D41" w:rsidRPr="009F1F6D">
        <w:t xml:space="preserve"> y 39</w:t>
      </w:r>
    </w:p>
    <w:p w14:paraId="18F7E99F" w14:textId="77777777" w:rsidR="003C2A24" w:rsidRPr="009F1F6D" w:rsidRDefault="003C2A24" w:rsidP="003C2A24"/>
    <w:p w14:paraId="79CA4051" w14:textId="77777777" w:rsidR="003C2A24" w:rsidRPr="009F1F6D" w:rsidRDefault="003C2A24" w:rsidP="003C2A24">
      <w:pPr>
        <w:pStyle w:val="NormalBold"/>
        <w:keepNext/>
      </w:pPr>
      <w:r w:rsidRPr="009F1F6D">
        <w:t>Propuesta de Decisión</w:t>
      </w:r>
    </w:p>
    <w:p w14:paraId="5F124F2C" w14:textId="77777777" w:rsidR="003C2A24" w:rsidRPr="009F1F6D" w:rsidRDefault="003C2A24" w:rsidP="003C2A24">
      <w:pPr>
        <w:pStyle w:val="NormalBold"/>
      </w:pPr>
      <w:r w:rsidRPr="009F1F6D">
        <w:t>Considerando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6FE076DF" w14:textId="77777777" w:rsidTr="00EA52BA">
        <w:trPr>
          <w:jc w:val="center"/>
        </w:trPr>
        <w:tc>
          <w:tcPr>
            <w:tcW w:w="9752" w:type="dxa"/>
            <w:gridSpan w:val="2"/>
          </w:tcPr>
          <w:p w14:paraId="5C742C9D" w14:textId="77777777" w:rsidR="003C2A24" w:rsidRPr="009F1F6D" w:rsidRDefault="003C2A24" w:rsidP="00CF4BA9">
            <w:pPr>
              <w:keepNext/>
            </w:pPr>
          </w:p>
        </w:tc>
      </w:tr>
      <w:tr w:rsidR="003C2A24" w:rsidRPr="009F1F6D" w14:paraId="5331A234" w14:textId="77777777" w:rsidTr="00EA52BA">
        <w:trPr>
          <w:jc w:val="center"/>
        </w:trPr>
        <w:tc>
          <w:tcPr>
            <w:tcW w:w="4876" w:type="dxa"/>
            <w:hideMark/>
          </w:tcPr>
          <w:p w14:paraId="113D422D"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762060E2"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00536717" w14:textId="77777777" w:rsidTr="00EA52BA">
        <w:trPr>
          <w:jc w:val="center"/>
        </w:trPr>
        <w:tc>
          <w:tcPr>
            <w:tcW w:w="4876" w:type="dxa"/>
            <w:hideMark/>
          </w:tcPr>
          <w:p w14:paraId="32289882" w14:textId="77777777" w:rsidR="003C2A24" w:rsidRPr="009F1F6D" w:rsidRDefault="003C2A24" w:rsidP="00CF4BA9">
            <w:pPr>
              <w:pStyle w:val="Normal6"/>
              <w:rPr>
                <w:lang w:val="es-ES_tradnl"/>
              </w:rPr>
            </w:pPr>
            <w:r w:rsidRPr="009F1F6D">
              <w:rPr>
                <w:lang w:val="es-ES_tradnl"/>
              </w:rPr>
              <w:t>(3)</w:t>
            </w:r>
            <w:r w:rsidRPr="009F1F6D">
              <w:rPr>
                <w:lang w:val="es-ES_tradnl"/>
              </w:rPr>
              <w:tab/>
              <w:t xml:space="preserve">En consonancia con las prioridades de la Asociación, la UE y Egipto se comprometen a garantizar la rendición de cuentas, el Estado de Derecho, el pleno respeto de los derechos humanos, las libertades fundamentales, la promoción de la democracia, la igualdad de género y la igualdad de oportunidades como derechos constitucionales de todos sus ciudadanos. Estos compromisos contribuyen al avance de la Asociación y al desarrollo sostenible y la estabilidad de Egipto. El compromiso reforzado y constructivo entre la UE y Egipto en el último período ha abierto el camino hacia un diálogo más sustancial sobre cuestiones relacionadas con los derechos humanos. El Subcomité de Asuntos Políticos, Derechos Humanos y Democracia, Asuntos Internacionales y Regionales de diciembre de 2022 y el Comité de Asociación de mayo de 2023 aportaron las plataformas institucionales para intercambiar información sobre una serie de cuestiones de derechos humanos, que la UE desearía proseguir y desarrollar. </w:t>
            </w:r>
            <w:r w:rsidRPr="009F1F6D">
              <w:rPr>
                <w:b/>
                <w:i/>
                <w:lang w:val="es-ES_tradnl"/>
              </w:rPr>
              <w:t>La</w:t>
            </w:r>
            <w:r w:rsidRPr="009F1F6D">
              <w:rPr>
                <w:lang w:val="es-ES_tradnl"/>
              </w:rPr>
              <w:t xml:space="preserve"> mejora de la situación de los derechos humanos en Egipto tendrá un impacto positivo en las relaciones UE-Egipto.</w:t>
            </w:r>
          </w:p>
        </w:tc>
        <w:tc>
          <w:tcPr>
            <w:tcW w:w="4876" w:type="dxa"/>
            <w:hideMark/>
          </w:tcPr>
          <w:p w14:paraId="5A6F711E" w14:textId="77777777" w:rsidR="003C2A24" w:rsidRPr="009F1F6D" w:rsidRDefault="003C2A24" w:rsidP="00F43D41">
            <w:pPr>
              <w:pStyle w:val="Normal6"/>
              <w:rPr>
                <w:szCs w:val="24"/>
                <w:lang w:val="es-ES_tradnl"/>
              </w:rPr>
            </w:pPr>
            <w:r w:rsidRPr="009F1F6D">
              <w:rPr>
                <w:lang w:val="es-ES_tradnl"/>
              </w:rPr>
              <w:t>(3)</w:t>
            </w:r>
            <w:r w:rsidRPr="009F1F6D">
              <w:rPr>
                <w:lang w:val="es-ES_tradnl"/>
              </w:rPr>
              <w:tab/>
              <w:t xml:space="preserve">En consonancia con las prioridades de la Asociación, la UE y Egipto se comprometen a garantizar la rendición de cuentas, el Estado de Derecho, el pleno respeto de los derechos humanos, las libertades fundamentales, la promoción de la democracia, la igualdad de género y la igualdad de oportunidades como derechos constitucionales de todos sus ciudadanos. Estos compromisos contribuyen al avance de la Asociación y al desarrollo </w:t>
            </w:r>
            <w:r w:rsidR="00F43D41" w:rsidRPr="009F1F6D">
              <w:rPr>
                <w:b/>
                <w:i/>
              </w:rPr>
              <w:t xml:space="preserve">económico y social </w:t>
            </w:r>
            <w:r w:rsidRPr="009F1F6D">
              <w:rPr>
                <w:lang w:val="es-ES_tradnl"/>
              </w:rPr>
              <w:t>sostenible</w:t>
            </w:r>
            <w:r w:rsidRPr="009F1F6D">
              <w:rPr>
                <w:b/>
                <w:i/>
                <w:lang w:val="es-ES_tradnl"/>
              </w:rPr>
              <w:t>, la buena gobernanza</w:t>
            </w:r>
            <w:r w:rsidRPr="009F1F6D">
              <w:rPr>
                <w:lang w:val="es-ES_tradnl"/>
              </w:rPr>
              <w:t xml:space="preserve"> y la estabilidad</w:t>
            </w:r>
            <w:r w:rsidRPr="009F1F6D">
              <w:rPr>
                <w:b/>
                <w:i/>
                <w:lang w:val="es-ES_tradnl"/>
              </w:rPr>
              <w:t xml:space="preserve"> socieconómica</w:t>
            </w:r>
            <w:r w:rsidRPr="009F1F6D">
              <w:rPr>
                <w:lang w:val="es-ES_tradnl"/>
              </w:rPr>
              <w:t xml:space="preserve"> de Egipto. El compromiso reforzado y constructivo entre la UE y Egipto en el último período ha abierto el camino hacia un diálogo más sustancial sobre cuestiones relacionadas con los derechos humanos. El Subcomité de Asuntos Políticos, Derechos Humanos y Democracia, Asuntos Internacionales y Regionales de diciembre de 2022 y el Comité de Asociación de mayo de 2023 aportaron las plataformas institucionales para intercambiar información sobre una serie de cuestiones de derechos humanos, que la UE desearía proseguir y desarrollar. </w:t>
            </w:r>
            <w:r w:rsidR="00F43D41" w:rsidRPr="009F1F6D">
              <w:rPr>
                <w:b/>
                <w:i/>
                <w:lang w:val="es-ES_tradnl"/>
              </w:rPr>
              <w:t>Una</w:t>
            </w:r>
            <w:r w:rsidRPr="009F1F6D">
              <w:rPr>
                <w:lang w:val="es-ES_tradnl"/>
              </w:rPr>
              <w:t xml:space="preserve"> mejora </w:t>
            </w:r>
            <w:r w:rsidRPr="009F1F6D">
              <w:rPr>
                <w:b/>
                <w:i/>
                <w:lang w:val="es-ES_tradnl"/>
              </w:rPr>
              <w:t>constante</w:t>
            </w:r>
            <w:r w:rsidRPr="009F1F6D">
              <w:rPr>
                <w:lang w:val="es-ES_tradnl"/>
              </w:rPr>
              <w:t xml:space="preserve"> de la situación de los derechos humanos</w:t>
            </w:r>
            <w:r w:rsidRPr="009F1F6D">
              <w:rPr>
                <w:b/>
                <w:i/>
                <w:lang w:val="es-ES_tradnl"/>
              </w:rPr>
              <w:t xml:space="preserve"> </w:t>
            </w:r>
            <w:r w:rsidR="00F43D41" w:rsidRPr="009F1F6D">
              <w:rPr>
                <w:b/>
                <w:i/>
              </w:rPr>
              <w:t xml:space="preserve">en el futuro, por ejemplo, mejorar los derechos a las libertades de expresión, asociación y reunión pacífica, introducir una moratoria a la pena de muerte, combatir la tortura y las desapariciones forzosas, y </w:t>
            </w:r>
            <w:r w:rsidR="00F43D41" w:rsidRPr="009F1F6D">
              <w:rPr>
                <w:b/>
                <w:i/>
              </w:rPr>
              <w:lastRenderedPageBreak/>
              <w:t xml:space="preserve">mejorar las condiciones de las prisiones, </w:t>
            </w:r>
            <w:r w:rsidRPr="009F1F6D">
              <w:rPr>
                <w:b/>
                <w:i/>
                <w:lang w:val="es-ES_tradnl"/>
              </w:rPr>
              <w:t>y de los derechos de las mujeres y las libertades fundamentales gracias a una política activa, coherente y proactiva en este ámbito</w:t>
            </w:r>
            <w:r w:rsidRPr="009F1F6D">
              <w:rPr>
                <w:lang w:val="es-ES_tradnl"/>
              </w:rPr>
              <w:t xml:space="preserve"> en Egipto tendrá un impacto positivo en las relaciones UE-Egipto.</w:t>
            </w:r>
          </w:p>
        </w:tc>
      </w:tr>
    </w:tbl>
    <w:p w14:paraId="1AA69302" w14:textId="77777777" w:rsidR="003C2A24" w:rsidRPr="009F1F6D" w:rsidRDefault="003C2A24" w:rsidP="00EA52BA"/>
    <w:p w14:paraId="0362694E" w14:textId="77777777" w:rsidR="003C2A24" w:rsidRPr="009F1F6D" w:rsidRDefault="003C2A24" w:rsidP="003C2A24">
      <w:pPr>
        <w:pStyle w:val="AmNumberTabs"/>
      </w:pPr>
      <w:r w:rsidRPr="009F1F6D">
        <w:t>Enmienda</w:t>
      </w:r>
      <w:r w:rsidRPr="009F1F6D">
        <w:tab/>
      </w:r>
      <w:r w:rsidRPr="009F1F6D">
        <w:tab/>
        <w:t>4</w:t>
      </w:r>
    </w:p>
    <w:p w14:paraId="716E924E" w14:textId="77777777" w:rsidR="003C2A24" w:rsidRPr="009F1F6D" w:rsidRDefault="003C2A24" w:rsidP="003C2A24">
      <w:pPr>
        <w:pStyle w:val="NormalBold12b"/>
      </w:pPr>
      <w:r w:rsidRPr="009F1F6D">
        <w:t>Propuesta de Decisión</w:t>
      </w:r>
    </w:p>
    <w:p w14:paraId="39EFBCD8" w14:textId="77777777" w:rsidR="003C2A24" w:rsidRPr="009F1F6D" w:rsidRDefault="003C2A24" w:rsidP="003C2A24">
      <w:pPr>
        <w:pStyle w:val="NormalBold"/>
      </w:pPr>
      <w:r w:rsidRPr="009F1F6D">
        <w:t>Considerando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6DB4B533" w14:textId="77777777" w:rsidTr="00CF4BA9">
        <w:trPr>
          <w:trHeight w:hRule="exact" w:val="240"/>
          <w:jc w:val="center"/>
        </w:trPr>
        <w:tc>
          <w:tcPr>
            <w:tcW w:w="9752" w:type="dxa"/>
            <w:gridSpan w:val="2"/>
            <w:tcBorders>
              <w:top w:val="nil"/>
              <w:left w:val="nil"/>
              <w:bottom w:val="nil"/>
              <w:right w:val="nil"/>
            </w:tcBorders>
          </w:tcPr>
          <w:p w14:paraId="3D2C75EC" w14:textId="77777777" w:rsidR="003C2A24" w:rsidRPr="009F1F6D" w:rsidRDefault="003C2A24" w:rsidP="00CF4BA9"/>
        </w:tc>
      </w:tr>
      <w:tr w:rsidR="003C2A24" w:rsidRPr="009F1F6D" w14:paraId="1BA97538" w14:textId="77777777" w:rsidTr="00CF4BA9">
        <w:trPr>
          <w:trHeight w:val="240"/>
          <w:jc w:val="center"/>
        </w:trPr>
        <w:tc>
          <w:tcPr>
            <w:tcW w:w="4876" w:type="dxa"/>
            <w:tcBorders>
              <w:top w:val="nil"/>
              <w:left w:val="nil"/>
              <w:bottom w:val="nil"/>
              <w:right w:val="nil"/>
            </w:tcBorders>
          </w:tcPr>
          <w:p w14:paraId="489856E5"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tcPr>
          <w:p w14:paraId="174A624A" w14:textId="77777777" w:rsidR="003C2A24" w:rsidRPr="009F1F6D" w:rsidRDefault="003C2A24" w:rsidP="00CF4BA9">
            <w:pPr>
              <w:pStyle w:val="AmColumnHeading"/>
            </w:pPr>
            <w:r w:rsidRPr="009F1F6D">
              <w:t>Enmienda</w:t>
            </w:r>
          </w:p>
        </w:tc>
      </w:tr>
      <w:tr w:rsidR="003C2A24" w:rsidRPr="009F1F6D" w14:paraId="24CA8F05" w14:textId="77777777" w:rsidTr="00CF4BA9">
        <w:trPr>
          <w:jc w:val="center"/>
        </w:trPr>
        <w:tc>
          <w:tcPr>
            <w:tcW w:w="4876" w:type="dxa"/>
            <w:tcBorders>
              <w:top w:val="nil"/>
              <w:left w:val="nil"/>
              <w:bottom w:val="nil"/>
              <w:right w:val="nil"/>
            </w:tcBorders>
          </w:tcPr>
          <w:p w14:paraId="4F02B1FF" w14:textId="77777777" w:rsidR="003C2A24" w:rsidRPr="009F1F6D" w:rsidRDefault="003C2A24" w:rsidP="00CF4BA9">
            <w:pPr>
              <w:pStyle w:val="Normal6a"/>
            </w:pPr>
          </w:p>
        </w:tc>
        <w:tc>
          <w:tcPr>
            <w:tcW w:w="4876" w:type="dxa"/>
            <w:tcBorders>
              <w:top w:val="nil"/>
              <w:left w:val="nil"/>
              <w:bottom w:val="nil"/>
              <w:right w:val="nil"/>
            </w:tcBorders>
          </w:tcPr>
          <w:p w14:paraId="35735682" w14:textId="77777777" w:rsidR="003C2A24" w:rsidRPr="009F1F6D" w:rsidRDefault="003C2A24" w:rsidP="00CF4BA9">
            <w:pPr>
              <w:pStyle w:val="Normal6a"/>
            </w:pPr>
            <w:r w:rsidRPr="009F1F6D">
              <w:rPr>
                <w:b/>
                <w:i/>
              </w:rPr>
              <w:t>(3 bis)</w:t>
            </w:r>
            <w:r w:rsidRPr="009F1F6D">
              <w:tab/>
            </w:r>
            <w:r w:rsidRPr="009F1F6D">
              <w:rPr>
                <w:b/>
                <w:i/>
              </w:rPr>
              <w:t>La situación económica y financiera de Egipto se ha caracterizado por varios programas de ajuste macroeconómico ejecutados bajo los auspicios del FMI a cambio de facilidades de crédito (12 000 millones USD de 2016 a 2019 y 3 000 millones USD en 2022, que se ampliaron a 8 000 millones USD en marzo de 2024).</w:t>
            </w:r>
          </w:p>
        </w:tc>
      </w:tr>
    </w:tbl>
    <w:p w14:paraId="09DD8BD6" w14:textId="77777777" w:rsidR="003C2A24" w:rsidRPr="009F1F6D" w:rsidRDefault="003C2A24" w:rsidP="003C2A24"/>
    <w:p w14:paraId="134A3C21" w14:textId="77777777" w:rsidR="003C2A24" w:rsidRPr="009F1F6D" w:rsidRDefault="003C2A24" w:rsidP="003C2A24">
      <w:pPr>
        <w:pStyle w:val="AmNumberTabs"/>
      </w:pPr>
      <w:r w:rsidRPr="009F1F6D">
        <w:t>Enmienda</w:t>
      </w:r>
      <w:r w:rsidR="00F43D41" w:rsidRPr="009F1F6D">
        <w:t>s</w:t>
      </w:r>
      <w:r w:rsidRPr="009F1F6D">
        <w:tab/>
      </w:r>
      <w:r w:rsidRPr="009F1F6D">
        <w:tab/>
        <w:t>5</w:t>
      </w:r>
      <w:r w:rsidR="00F43D41" w:rsidRPr="009F1F6D">
        <w:t xml:space="preserve"> y 40</w:t>
      </w:r>
    </w:p>
    <w:p w14:paraId="21F177FC" w14:textId="77777777" w:rsidR="003C2A24" w:rsidRPr="009F1F6D" w:rsidRDefault="003C2A24" w:rsidP="003C2A24"/>
    <w:p w14:paraId="4794C8A7" w14:textId="77777777" w:rsidR="003C2A24" w:rsidRPr="009F1F6D" w:rsidRDefault="003C2A24" w:rsidP="003C2A24">
      <w:pPr>
        <w:pStyle w:val="NormalBold"/>
        <w:keepNext/>
      </w:pPr>
      <w:r w:rsidRPr="009F1F6D">
        <w:t>Propuesta de Decisión</w:t>
      </w:r>
    </w:p>
    <w:p w14:paraId="31E27ACC" w14:textId="77777777" w:rsidR="003C2A24" w:rsidRPr="009F1F6D" w:rsidRDefault="003C2A24" w:rsidP="003C2A24">
      <w:pPr>
        <w:pStyle w:val="NormalBold"/>
      </w:pPr>
      <w:r w:rsidRPr="009F1F6D">
        <w:t>Considerando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4E2202F4" w14:textId="77777777" w:rsidTr="00EA52BA">
        <w:trPr>
          <w:jc w:val="center"/>
        </w:trPr>
        <w:tc>
          <w:tcPr>
            <w:tcW w:w="9752" w:type="dxa"/>
            <w:gridSpan w:val="2"/>
          </w:tcPr>
          <w:p w14:paraId="588DAC90" w14:textId="77777777" w:rsidR="003C2A24" w:rsidRPr="009F1F6D" w:rsidRDefault="003C2A24" w:rsidP="00CF4BA9">
            <w:pPr>
              <w:keepNext/>
            </w:pPr>
          </w:p>
        </w:tc>
      </w:tr>
      <w:tr w:rsidR="003C2A24" w:rsidRPr="009F1F6D" w14:paraId="7195F97A" w14:textId="77777777" w:rsidTr="00EA52BA">
        <w:trPr>
          <w:jc w:val="center"/>
        </w:trPr>
        <w:tc>
          <w:tcPr>
            <w:tcW w:w="4876" w:type="dxa"/>
            <w:hideMark/>
          </w:tcPr>
          <w:p w14:paraId="09D82109"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43781A4E"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397FC8EC" w14:textId="77777777" w:rsidTr="00EA52BA">
        <w:trPr>
          <w:jc w:val="center"/>
        </w:trPr>
        <w:tc>
          <w:tcPr>
            <w:tcW w:w="4876" w:type="dxa"/>
            <w:hideMark/>
          </w:tcPr>
          <w:p w14:paraId="2190A0AD" w14:textId="77777777" w:rsidR="003C2A24" w:rsidRPr="009F1F6D" w:rsidRDefault="003C2A24" w:rsidP="00CF4BA9">
            <w:pPr>
              <w:pStyle w:val="Normal6"/>
              <w:rPr>
                <w:lang w:val="es-ES_tradnl"/>
              </w:rPr>
            </w:pPr>
            <w:r w:rsidRPr="009F1F6D">
              <w:rPr>
                <w:lang w:val="es-ES_tradnl"/>
              </w:rPr>
              <w:t>(5)</w:t>
            </w:r>
            <w:r w:rsidRPr="009F1F6D">
              <w:rPr>
                <w:lang w:val="es-ES_tradnl"/>
              </w:rPr>
              <w:tab/>
              <w:t xml:space="preserve">La UE reconoce el papel fundamental de Egipto para la seguridad y la estabilidad regionales. El terrorismo, la delincuencia organizada </w:t>
            </w:r>
            <w:r w:rsidRPr="009F1F6D">
              <w:rPr>
                <w:b/>
                <w:i/>
                <w:lang w:val="es-ES_tradnl"/>
              </w:rPr>
              <w:t>y</w:t>
            </w:r>
            <w:r w:rsidRPr="009F1F6D">
              <w:rPr>
                <w:lang w:val="es-ES_tradnl"/>
              </w:rPr>
              <w:t xml:space="preserve"> los conflictos son amenazas comunes contra nuestra seguridad y el tejido social de las naciones a ambos lados del Mediterráneo. Por lo tanto, la UE y Egipto tienen un interés común en reforzar la cooperación destacada en las prioridades de la Asociación, respetando plenamente el Derecho internacional, incluidos los derechos humanos y el Derecho internacional humanitario.</w:t>
            </w:r>
          </w:p>
        </w:tc>
        <w:tc>
          <w:tcPr>
            <w:tcW w:w="4876" w:type="dxa"/>
            <w:hideMark/>
          </w:tcPr>
          <w:p w14:paraId="4470E14B" w14:textId="77777777" w:rsidR="003C2A24" w:rsidRPr="009F1F6D" w:rsidRDefault="003C2A24" w:rsidP="00F43D41">
            <w:pPr>
              <w:pStyle w:val="Normal6"/>
              <w:rPr>
                <w:szCs w:val="24"/>
                <w:lang w:val="es-ES_tradnl"/>
              </w:rPr>
            </w:pPr>
            <w:r w:rsidRPr="009F1F6D">
              <w:rPr>
                <w:lang w:val="es-ES_tradnl"/>
              </w:rPr>
              <w:t>(5)</w:t>
            </w:r>
            <w:r w:rsidRPr="009F1F6D">
              <w:rPr>
                <w:lang w:val="es-ES_tradnl"/>
              </w:rPr>
              <w:tab/>
              <w:t>La UE reconoce el papel fundamental de Egipto para la seguridad y la estabilidad regionales</w:t>
            </w:r>
            <w:r w:rsidR="00F43D41" w:rsidRPr="009F1F6D">
              <w:rPr>
                <w:b/>
                <w:i/>
                <w:lang w:val="es-ES_tradnl"/>
              </w:rPr>
              <w:t>,</w:t>
            </w:r>
            <w:r w:rsidR="00F43D41" w:rsidRPr="009F1F6D">
              <w:rPr>
                <w:b/>
                <w:i/>
              </w:rPr>
              <w:t xml:space="preserve"> y tiene un gran interés en evitar que haya en el país una inestabilidad económica a corto plazo que podría tener consecuencias más amplias y beneficiar a rivales geopolíticos</w:t>
            </w:r>
            <w:r w:rsidRPr="009F1F6D">
              <w:rPr>
                <w:lang w:val="es-ES_tradnl"/>
              </w:rPr>
              <w:t>. El terrorismo, la delincuencia organizada</w:t>
            </w:r>
            <w:r w:rsidRPr="009F1F6D">
              <w:rPr>
                <w:b/>
                <w:i/>
                <w:lang w:val="es-ES_tradnl"/>
              </w:rPr>
              <w:t>, como el tráfico de personas, la migración irregular</w:t>
            </w:r>
            <w:r w:rsidRPr="009F1F6D">
              <w:rPr>
                <w:lang w:val="es-ES_tradnl"/>
              </w:rPr>
              <w:t>,</w:t>
            </w:r>
            <w:r w:rsidR="00F43D41" w:rsidRPr="009F1F6D">
              <w:rPr>
                <w:b/>
                <w:i/>
              </w:rPr>
              <w:t xml:space="preserve"> la desinformación</w:t>
            </w:r>
            <w:r w:rsidR="004979B1" w:rsidRPr="009F1F6D">
              <w:rPr>
                <w:b/>
                <w:i/>
              </w:rPr>
              <w:t>,</w:t>
            </w:r>
            <w:r w:rsidRPr="009F1F6D">
              <w:rPr>
                <w:lang w:val="es-ES_tradnl"/>
              </w:rPr>
              <w:t xml:space="preserve"> los conflictos </w:t>
            </w:r>
            <w:r w:rsidR="00F43D41" w:rsidRPr="009F1F6D">
              <w:rPr>
                <w:b/>
                <w:i/>
              </w:rPr>
              <w:t xml:space="preserve">y la persecución de minorías étnicas y religiosas </w:t>
            </w:r>
            <w:r w:rsidRPr="009F1F6D">
              <w:rPr>
                <w:lang w:val="es-ES_tradnl"/>
              </w:rPr>
              <w:t>son amenazas comunes contra nuestra seguridad y el tejido social de las naciones a ambos lados del Mediterráneo.</w:t>
            </w:r>
            <w:r w:rsidRPr="009F1F6D">
              <w:rPr>
                <w:b/>
                <w:i/>
                <w:lang w:val="es-ES_tradnl"/>
              </w:rPr>
              <w:t xml:space="preserve"> Del mismo modo, la energía conforma otro de los retos más acuciantes a los que se enfrentan los países de ambos </w:t>
            </w:r>
            <w:r w:rsidRPr="009F1F6D">
              <w:rPr>
                <w:b/>
                <w:i/>
                <w:lang w:val="es-ES_tradnl"/>
              </w:rPr>
              <w:lastRenderedPageBreak/>
              <w:t>lados del Mediterráneo. La cooperación energética entre la U</w:t>
            </w:r>
            <w:r w:rsidR="00F43D41" w:rsidRPr="009F1F6D">
              <w:rPr>
                <w:b/>
                <w:i/>
                <w:lang w:val="es-ES_tradnl"/>
              </w:rPr>
              <w:t>E</w:t>
            </w:r>
            <w:r w:rsidRPr="009F1F6D">
              <w:rPr>
                <w:b/>
                <w:i/>
                <w:lang w:val="es-ES_tradnl"/>
              </w:rPr>
              <w:t xml:space="preserve"> y Egipto en el Mediterráneo oriental podría no solo brindar una fuente de prosperidad económica para la región, sino también reforzar la seguridad energética de la U</w:t>
            </w:r>
            <w:r w:rsidR="00F43D41" w:rsidRPr="009F1F6D">
              <w:rPr>
                <w:b/>
                <w:i/>
                <w:lang w:val="es-ES_tradnl"/>
              </w:rPr>
              <w:t>E</w:t>
            </w:r>
            <w:r w:rsidRPr="009F1F6D">
              <w:rPr>
                <w:b/>
                <w:i/>
                <w:lang w:val="es-ES_tradnl"/>
              </w:rPr>
              <w:t xml:space="preserve"> mediante la diversificación del suministro de energía y el fomento de la colaboración regional. En este sentido, el Foro del Gas del Mediterráneo Oriental funciona como una plataforma de cooperación regional positiva.</w:t>
            </w:r>
            <w:r w:rsidRPr="009F1F6D">
              <w:rPr>
                <w:lang w:val="es-ES_tradnl"/>
              </w:rPr>
              <w:t xml:space="preserve"> Por lo tanto, la UE y Egipto tienen un interés común en reforzar la cooperación destacada en las prioridades de la Asociación, respetando plenamente el Derecho internacional, incluidos</w:t>
            </w:r>
            <w:r w:rsidRPr="009F1F6D">
              <w:rPr>
                <w:b/>
                <w:i/>
                <w:lang w:val="es-ES_tradnl"/>
              </w:rPr>
              <w:t xml:space="preserve"> el Derecho internacional del mar,</w:t>
            </w:r>
            <w:r w:rsidRPr="009F1F6D">
              <w:rPr>
                <w:lang w:val="es-ES_tradnl"/>
              </w:rPr>
              <w:t xml:space="preserve"> los derechos humanos y el Derecho internacional humanitario</w:t>
            </w:r>
            <w:r w:rsidR="00F43D41" w:rsidRPr="009F1F6D">
              <w:rPr>
                <w:b/>
                <w:i/>
              </w:rPr>
              <w:t>, así como en promover intereses compartidos y abordar retos comunes</w:t>
            </w:r>
            <w:r w:rsidRPr="009F1F6D">
              <w:rPr>
                <w:lang w:val="es-ES_tradnl"/>
              </w:rPr>
              <w:t>.</w:t>
            </w:r>
          </w:p>
        </w:tc>
      </w:tr>
    </w:tbl>
    <w:p w14:paraId="764BD4EE" w14:textId="77777777" w:rsidR="003C2A24" w:rsidRPr="009F1F6D" w:rsidRDefault="003C2A24" w:rsidP="00EA52BA"/>
    <w:p w14:paraId="5634AE70" w14:textId="77777777" w:rsidR="003C2A24" w:rsidRPr="009F1F6D" w:rsidRDefault="003C2A24" w:rsidP="003C2A24">
      <w:pPr>
        <w:pStyle w:val="AmNumberTabs"/>
      </w:pPr>
      <w:r w:rsidRPr="009F1F6D">
        <w:t>Enmienda</w:t>
      </w:r>
      <w:r w:rsidRPr="009F1F6D">
        <w:tab/>
      </w:r>
      <w:r w:rsidRPr="009F1F6D">
        <w:tab/>
        <w:t>6</w:t>
      </w:r>
    </w:p>
    <w:p w14:paraId="3E14E1D1" w14:textId="77777777" w:rsidR="003C2A24" w:rsidRPr="009F1F6D" w:rsidRDefault="003C2A24" w:rsidP="003C2A24"/>
    <w:p w14:paraId="4227F4AE" w14:textId="77777777" w:rsidR="003C2A24" w:rsidRPr="009F1F6D" w:rsidRDefault="003C2A24" w:rsidP="003C2A24">
      <w:pPr>
        <w:pStyle w:val="NormalBold"/>
        <w:keepNext/>
      </w:pPr>
      <w:r w:rsidRPr="009F1F6D">
        <w:t>Propuesta de Decisión</w:t>
      </w:r>
    </w:p>
    <w:p w14:paraId="11E28451" w14:textId="77777777" w:rsidR="003C2A24" w:rsidRPr="009F1F6D" w:rsidRDefault="003C2A24" w:rsidP="003C2A24">
      <w:pPr>
        <w:pStyle w:val="NormalBold"/>
      </w:pPr>
      <w:r w:rsidRPr="009F1F6D">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64BFB7AB" w14:textId="77777777" w:rsidTr="00CF4BA9">
        <w:trPr>
          <w:jc w:val="center"/>
        </w:trPr>
        <w:tc>
          <w:tcPr>
            <w:tcW w:w="9752" w:type="dxa"/>
            <w:gridSpan w:val="2"/>
          </w:tcPr>
          <w:p w14:paraId="39FAC761" w14:textId="77777777" w:rsidR="003C2A24" w:rsidRPr="009F1F6D" w:rsidRDefault="003C2A24" w:rsidP="00CF4BA9">
            <w:pPr>
              <w:keepNext/>
            </w:pPr>
          </w:p>
        </w:tc>
      </w:tr>
      <w:tr w:rsidR="003C2A24" w:rsidRPr="009F1F6D" w14:paraId="1E8F5BF2" w14:textId="77777777" w:rsidTr="00CF4BA9">
        <w:trPr>
          <w:jc w:val="center"/>
        </w:trPr>
        <w:tc>
          <w:tcPr>
            <w:tcW w:w="4876" w:type="dxa"/>
            <w:hideMark/>
          </w:tcPr>
          <w:p w14:paraId="29F5F663"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5BF9F095"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2ABF5C1F" w14:textId="77777777" w:rsidTr="00CF4BA9">
        <w:trPr>
          <w:jc w:val="center"/>
        </w:trPr>
        <w:tc>
          <w:tcPr>
            <w:tcW w:w="4876" w:type="dxa"/>
            <w:hideMark/>
          </w:tcPr>
          <w:p w14:paraId="7CC72841" w14:textId="77777777" w:rsidR="003C2A24" w:rsidRPr="009F1F6D" w:rsidRDefault="003C2A24" w:rsidP="00CF4BA9">
            <w:pPr>
              <w:pStyle w:val="Normal6"/>
              <w:rPr>
                <w:lang w:val="es-ES_tradnl"/>
              </w:rPr>
            </w:pPr>
            <w:r w:rsidRPr="009F1F6D">
              <w:rPr>
                <w:lang w:val="es-ES_tradnl"/>
              </w:rPr>
              <w:t>(6)</w:t>
            </w:r>
            <w:r w:rsidRPr="009F1F6D">
              <w:rPr>
                <w:lang w:val="es-ES_tradnl"/>
              </w:rPr>
              <w:tab/>
              <w:t xml:space="preserve">Recordando los retos geopolíticos, como las consecuencias de los atentados terroristas de Hamás en Israel el 7 de octubre de 2023, así como el conflicto en Sudán, y la importancia estratégica de Egipto como mayor país de la región y un pilar de estabilidad para todo Oriente Próximo, la Unión </w:t>
            </w:r>
            <w:r w:rsidRPr="009F1F6D">
              <w:rPr>
                <w:b/>
                <w:i/>
                <w:lang w:val="es-ES_tradnl"/>
              </w:rPr>
              <w:t>favorece</w:t>
            </w:r>
            <w:r w:rsidRPr="009F1F6D">
              <w:rPr>
                <w:lang w:val="es-ES_tradnl"/>
              </w:rPr>
              <w:t xml:space="preserve"> una Asociación Global y Estratégica con Egipto, tal como se indica en la Declaración conjunta.</w:t>
            </w:r>
          </w:p>
        </w:tc>
        <w:tc>
          <w:tcPr>
            <w:tcW w:w="4876" w:type="dxa"/>
            <w:hideMark/>
          </w:tcPr>
          <w:p w14:paraId="7F60418B" w14:textId="77777777" w:rsidR="003C2A24" w:rsidRPr="009F1F6D" w:rsidRDefault="003C2A24" w:rsidP="00CF4BA9">
            <w:pPr>
              <w:pStyle w:val="Normal6"/>
              <w:rPr>
                <w:szCs w:val="24"/>
                <w:lang w:val="es-ES_tradnl"/>
              </w:rPr>
            </w:pPr>
            <w:r w:rsidRPr="009F1F6D">
              <w:rPr>
                <w:lang w:val="es-ES_tradnl"/>
              </w:rPr>
              <w:t>(6)</w:t>
            </w:r>
            <w:r w:rsidRPr="009F1F6D">
              <w:rPr>
                <w:lang w:val="es-ES_tradnl"/>
              </w:rPr>
              <w:tab/>
              <w:t xml:space="preserve">Recordando los retos geopolíticos </w:t>
            </w:r>
            <w:r w:rsidRPr="009F1F6D">
              <w:rPr>
                <w:b/>
                <w:i/>
                <w:lang w:val="es-ES_tradnl"/>
              </w:rPr>
              <w:t>mundiales y regionales</w:t>
            </w:r>
            <w:r w:rsidRPr="009F1F6D">
              <w:rPr>
                <w:lang w:val="es-ES_tradnl"/>
              </w:rPr>
              <w:t xml:space="preserve">, como </w:t>
            </w:r>
            <w:r w:rsidRPr="009F1F6D">
              <w:rPr>
                <w:b/>
                <w:i/>
                <w:lang w:val="es-ES_tradnl"/>
              </w:rPr>
              <w:t xml:space="preserve">la crisis humanitarias en Gaza, que es resultado de </w:t>
            </w:r>
            <w:r w:rsidRPr="009F1F6D">
              <w:rPr>
                <w:lang w:val="es-ES_tradnl"/>
              </w:rPr>
              <w:t>las consecuencias de los atentados terroristas de Hamás en Israel el 7 de octubre de 2023</w:t>
            </w:r>
            <w:r w:rsidRPr="009F1F6D">
              <w:rPr>
                <w:b/>
                <w:i/>
                <w:lang w:val="es-ES_tradnl"/>
              </w:rPr>
              <w:t>, la escalada de tensiones en el Cuerno de África y la seguridad de la navegación en el mar Rojo y el canal de Suez,</w:t>
            </w:r>
            <w:r w:rsidRPr="009F1F6D">
              <w:rPr>
                <w:lang w:val="es-ES_tradnl"/>
              </w:rPr>
              <w:t xml:space="preserve"> y </w:t>
            </w:r>
            <w:r w:rsidRPr="009F1F6D">
              <w:rPr>
                <w:b/>
                <w:i/>
                <w:lang w:val="es-ES_tradnl"/>
              </w:rPr>
              <w:t>la presión migratoria por</w:t>
            </w:r>
            <w:r w:rsidRPr="009F1F6D">
              <w:rPr>
                <w:lang w:val="es-ES_tradnl"/>
              </w:rPr>
              <w:t xml:space="preserve"> el conflicto en Sudán,</w:t>
            </w:r>
            <w:r w:rsidRPr="009F1F6D">
              <w:rPr>
                <w:b/>
                <w:i/>
                <w:lang w:val="es-ES_tradnl"/>
              </w:rPr>
              <w:t xml:space="preserve"> las incertidumbres en Siria, la inestabilidad en Libia, las responsabilidades de Egipto como país de acogida de un gran número de refugiados y migrantes,</w:t>
            </w:r>
            <w:r w:rsidRPr="009F1F6D">
              <w:rPr>
                <w:lang w:val="es-ES_tradnl"/>
              </w:rPr>
              <w:t xml:space="preserve"> y la importancia estratégica de Egipto como mayor país de la región y un pilar de estabilidad para todo Oriente Próximo, la Unión </w:t>
            </w:r>
            <w:r w:rsidRPr="009F1F6D">
              <w:rPr>
                <w:b/>
                <w:i/>
                <w:lang w:val="es-ES_tradnl"/>
              </w:rPr>
              <w:t>se ha embarcado en</w:t>
            </w:r>
            <w:r w:rsidRPr="009F1F6D">
              <w:rPr>
                <w:lang w:val="es-ES_tradnl"/>
              </w:rPr>
              <w:t xml:space="preserve"> una Asociación Global y Estratégica con Egipto, tal como se indica en la Declaración conjunta.</w:t>
            </w:r>
          </w:p>
        </w:tc>
      </w:tr>
    </w:tbl>
    <w:p w14:paraId="0A3DD706" w14:textId="77777777" w:rsidR="003C2A24" w:rsidRPr="009F1F6D" w:rsidRDefault="003C2A24" w:rsidP="003C2A24"/>
    <w:p w14:paraId="016EB8C8" w14:textId="77777777" w:rsidR="003C2A24" w:rsidRPr="009F1F6D" w:rsidRDefault="003C2A24" w:rsidP="003C2A24">
      <w:pPr>
        <w:pStyle w:val="AmNumberTabs"/>
      </w:pPr>
      <w:r w:rsidRPr="009F1F6D">
        <w:t>Enmienda</w:t>
      </w:r>
      <w:r w:rsidRPr="009F1F6D">
        <w:tab/>
      </w:r>
      <w:r w:rsidRPr="009F1F6D">
        <w:tab/>
        <w:t>7</w:t>
      </w:r>
    </w:p>
    <w:p w14:paraId="0FB37B98" w14:textId="77777777" w:rsidR="003C2A24" w:rsidRPr="009F1F6D" w:rsidRDefault="003C2A24" w:rsidP="003C2A24"/>
    <w:p w14:paraId="73992CC4" w14:textId="77777777" w:rsidR="003C2A24" w:rsidRPr="009F1F6D" w:rsidRDefault="003C2A24" w:rsidP="003C2A24">
      <w:pPr>
        <w:pStyle w:val="NormalBold"/>
        <w:keepNext/>
      </w:pPr>
      <w:r w:rsidRPr="009F1F6D">
        <w:t>Propuesta de Decisión</w:t>
      </w:r>
    </w:p>
    <w:p w14:paraId="56574989" w14:textId="77777777" w:rsidR="003C2A24" w:rsidRPr="009F1F6D" w:rsidRDefault="003C2A24" w:rsidP="003C2A24">
      <w:pPr>
        <w:pStyle w:val="NormalBold"/>
      </w:pPr>
      <w:r w:rsidRPr="009F1F6D">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1CE9C26A" w14:textId="77777777" w:rsidTr="00CF4BA9">
        <w:trPr>
          <w:jc w:val="center"/>
        </w:trPr>
        <w:tc>
          <w:tcPr>
            <w:tcW w:w="9752" w:type="dxa"/>
            <w:gridSpan w:val="2"/>
          </w:tcPr>
          <w:p w14:paraId="6DACE568" w14:textId="77777777" w:rsidR="003C2A24" w:rsidRPr="009F1F6D" w:rsidRDefault="003C2A24" w:rsidP="00CF4BA9">
            <w:pPr>
              <w:keepNext/>
            </w:pPr>
          </w:p>
        </w:tc>
      </w:tr>
      <w:tr w:rsidR="003C2A24" w:rsidRPr="009F1F6D" w14:paraId="6F44B5EF" w14:textId="77777777" w:rsidTr="00CF4BA9">
        <w:trPr>
          <w:jc w:val="center"/>
        </w:trPr>
        <w:tc>
          <w:tcPr>
            <w:tcW w:w="4876" w:type="dxa"/>
            <w:hideMark/>
          </w:tcPr>
          <w:p w14:paraId="4ED42B42"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3C8C5925"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5E1AF33F" w14:textId="77777777" w:rsidTr="00CF4BA9">
        <w:trPr>
          <w:jc w:val="center"/>
        </w:trPr>
        <w:tc>
          <w:tcPr>
            <w:tcW w:w="4876" w:type="dxa"/>
            <w:hideMark/>
          </w:tcPr>
          <w:p w14:paraId="3A047554" w14:textId="77777777" w:rsidR="003C2A24" w:rsidRPr="009F1F6D" w:rsidRDefault="003C2A24" w:rsidP="00CF4BA9">
            <w:pPr>
              <w:pStyle w:val="Normal6"/>
              <w:rPr>
                <w:lang w:val="es-ES_tradnl"/>
              </w:rPr>
            </w:pPr>
            <w:r w:rsidRPr="009F1F6D">
              <w:rPr>
                <w:lang w:val="es-ES_tradnl"/>
              </w:rPr>
              <w:t>(7)</w:t>
            </w:r>
            <w:r w:rsidRPr="009F1F6D">
              <w:rPr>
                <w:lang w:val="es-ES_tradnl"/>
              </w:rPr>
              <w:tab/>
              <w:t>El objetivo de la Asociación Global y Estratégica con Egipto es elevar las relaciones políticas entre la UE y Egipto a una asociación estratégica y permitir que Egipto cumpla su papel clave de asentar la estabilidad en la región. La Asociación tiene por objeto contribuir a apoyar la resiliencia macroeconómica de Egipto y permitir la aplicación de reformas socioeconómicas ambiciosas de manera que completen y refuercen el proceso de reforma previsto en el programa del FMI para Egipto. Como se indica en la Declaración conjunta, la Asociación abordará un amplio conjunto de medidas políticas agrupadas en seis pilares de intervención, a saber: relaciones políticas, estabilidad económica, inversión y comercio, migración, cooperación policial y en materia de seguridad, y demografía y capital humano.</w:t>
            </w:r>
          </w:p>
        </w:tc>
        <w:tc>
          <w:tcPr>
            <w:tcW w:w="4876" w:type="dxa"/>
            <w:hideMark/>
          </w:tcPr>
          <w:p w14:paraId="5815F9BF" w14:textId="77777777" w:rsidR="003C2A24" w:rsidRPr="009F1F6D" w:rsidRDefault="003C2A24" w:rsidP="00CF4BA9">
            <w:pPr>
              <w:pStyle w:val="Normal6"/>
              <w:rPr>
                <w:szCs w:val="24"/>
                <w:lang w:val="es-ES_tradnl"/>
              </w:rPr>
            </w:pPr>
            <w:r w:rsidRPr="009F1F6D">
              <w:rPr>
                <w:lang w:val="es-ES_tradnl"/>
              </w:rPr>
              <w:t>(7)</w:t>
            </w:r>
            <w:r w:rsidRPr="009F1F6D">
              <w:rPr>
                <w:lang w:val="es-ES_tradnl"/>
              </w:rPr>
              <w:tab/>
              <w:t>El objetivo de la Asociación Global y Estratégica con Egipto es elevar las relaciones políticas entre la UE y Egipto a una asociación estratégica y permitir que Egipto cumpla su papel clave de asentar la estabilidad en la región</w:t>
            </w:r>
            <w:r w:rsidRPr="009F1F6D">
              <w:rPr>
                <w:b/>
                <w:i/>
                <w:lang w:val="es-ES_tradnl"/>
              </w:rPr>
              <w:t>, Oriente Próximo y el norte de África</w:t>
            </w:r>
            <w:r w:rsidRPr="009F1F6D">
              <w:rPr>
                <w:lang w:val="es-ES_tradnl"/>
              </w:rPr>
              <w:t>. La Asociación tiene por objeto contribuir a apoyar la resiliencia macroeconómica de Egipto y permitir la aplicación de reformas socioeconómicas ambiciosas de manera que completen y refuercen el proceso de reforma previsto en el programa del FMI para Egipto. Como se indica en la Declaración conjunta, la Asociación abordará un amplio conjunto de medidas políticas agrupadas en seis pilares de intervención, a saber: relaciones políticas, estabilidad económica, inversión y comercio, migración</w:t>
            </w:r>
            <w:r w:rsidRPr="009F1F6D">
              <w:rPr>
                <w:b/>
                <w:i/>
                <w:lang w:val="es-ES_tradnl"/>
              </w:rPr>
              <w:t xml:space="preserve"> irregular y movilidad con respeto de los derechos humanos</w:t>
            </w:r>
            <w:r w:rsidRPr="009F1F6D">
              <w:rPr>
                <w:lang w:val="es-ES_tradnl"/>
              </w:rPr>
              <w:t xml:space="preserve">, cooperación policial y en materia de seguridad, y demografía y capital humano. </w:t>
            </w:r>
            <w:r w:rsidRPr="009F1F6D">
              <w:rPr>
                <w:b/>
                <w:i/>
                <w:lang w:val="es-ES_tradnl"/>
              </w:rPr>
              <w:t xml:space="preserve">Esta Asociación Global y Estratégica debe desarrollarse en consonancia con iniciativas a escala de la Unión y de los Estados miembros, como Global Gateway y el Plan </w:t>
            </w:r>
            <w:proofErr w:type="spellStart"/>
            <w:r w:rsidRPr="009F1F6D">
              <w:rPr>
                <w:b/>
                <w:i/>
                <w:lang w:val="es-ES_tradnl"/>
              </w:rPr>
              <w:t>Mattei</w:t>
            </w:r>
            <w:proofErr w:type="spellEnd"/>
            <w:r w:rsidRPr="009F1F6D">
              <w:rPr>
                <w:b/>
                <w:i/>
                <w:lang w:val="es-ES_tradnl"/>
              </w:rPr>
              <w:t xml:space="preserve"> para África.</w:t>
            </w:r>
          </w:p>
        </w:tc>
      </w:tr>
    </w:tbl>
    <w:p w14:paraId="4AF29014" w14:textId="77777777" w:rsidR="003C2A24" w:rsidRPr="009F1F6D" w:rsidRDefault="003C2A24" w:rsidP="003C2A24"/>
    <w:p w14:paraId="568E2116" w14:textId="77777777" w:rsidR="003C2A24" w:rsidRPr="009F1F6D" w:rsidRDefault="003C2A24" w:rsidP="003C2A24">
      <w:pPr>
        <w:pStyle w:val="AmNumberTabs"/>
      </w:pPr>
      <w:r w:rsidRPr="009F1F6D">
        <w:t>Enmienda</w:t>
      </w:r>
      <w:r w:rsidRPr="009F1F6D">
        <w:tab/>
      </w:r>
      <w:r w:rsidRPr="009F1F6D">
        <w:tab/>
        <w:t>8</w:t>
      </w:r>
    </w:p>
    <w:p w14:paraId="25983052" w14:textId="77777777" w:rsidR="003C2A24" w:rsidRPr="009F1F6D" w:rsidRDefault="003C2A24" w:rsidP="003C2A24"/>
    <w:p w14:paraId="5A827FC5" w14:textId="77777777" w:rsidR="003C2A24" w:rsidRPr="009F1F6D" w:rsidRDefault="003C2A24" w:rsidP="003C2A24">
      <w:pPr>
        <w:pStyle w:val="NormalBold"/>
        <w:keepNext/>
      </w:pPr>
      <w:r w:rsidRPr="009F1F6D">
        <w:t>Propuesta de Decisión</w:t>
      </w:r>
    </w:p>
    <w:p w14:paraId="5B6C9B6E" w14:textId="77777777" w:rsidR="003C2A24" w:rsidRPr="009F1F6D" w:rsidRDefault="003C2A24" w:rsidP="003C2A24">
      <w:pPr>
        <w:pStyle w:val="NormalBold"/>
      </w:pPr>
      <w:r w:rsidRPr="009F1F6D">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6DC3E002" w14:textId="77777777" w:rsidTr="00CF4BA9">
        <w:trPr>
          <w:jc w:val="center"/>
        </w:trPr>
        <w:tc>
          <w:tcPr>
            <w:tcW w:w="9752" w:type="dxa"/>
            <w:gridSpan w:val="2"/>
          </w:tcPr>
          <w:p w14:paraId="7093B641" w14:textId="77777777" w:rsidR="003C2A24" w:rsidRPr="009F1F6D" w:rsidRDefault="003C2A24" w:rsidP="00CF4BA9">
            <w:pPr>
              <w:keepNext/>
            </w:pPr>
          </w:p>
        </w:tc>
      </w:tr>
      <w:tr w:rsidR="003C2A24" w:rsidRPr="009F1F6D" w14:paraId="1EF9A3CD" w14:textId="77777777" w:rsidTr="00CF4BA9">
        <w:trPr>
          <w:jc w:val="center"/>
        </w:trPr>
        <w:tc>
          <w:tcPr>
            <w:tcW w:w="4876" w:type="dxa"/>
            <w:hideMark/>
          </w:tcPr>
          <w:p w14:paraId="0E75AB6F"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533E7ACB"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01B37296" w14:textId="77777777" w:rsidTr="00CF4BA9">
        <w:trPr>
          <w:jc w:val="center"/>
        </w:trPr>
        <w:tc>
          <w:tcPr>
            <w:tcW w:w="4876" w:type="dxa"/>
            <w:hideMark/>
          </w:tcPr>
          <w:p w14:paraId="6A0DB215" w14:textId="77777777" w:rsidR="003C2A24" w:rsidRPr="009F1F6D" w:rsidRDefault="003C2A24" w:rsidP="00CF4BA9">
            <w:pPr>
              <w:pStyle w:val="Normal6"/>
              <w:rPr>
                <w:lang w:val="es-ES_tradnl"/>
              </w:rPr>
            </w:pPr>
            <w:r w:rsidRPr="009F1F6D">
              <w:rPr>
                <w:lang w:val="es-ES_tradnl"/>
              </w:rPr>
              <w:t>(8)</w:t>
            </w:r>
            <w:r w:rsidRPr="009F1F6D">
              <w:rPr>
                <w:lang w:val="es-ES_tradnl"/>
              </w:rPr>
              <w:tab/>
              <w:t xml:space="preserve">El apoyo de la Asociación </w:t>
            </w:r>
            <w:r w:rsidRPr="009F1F6D">
              <w:rPr>
                <w:b/>
                <w:i/>
                <w:lang w:val="es-ES_tradnl"/>
              </w:rPr>
              <w:t>consistirá</w:t>
            </w:r>
            <w:r w:rsidRPr="009F1F6D">
              <w:rPr>
                <w:lang w:val="es-ES_tradnl"/>
              </w:rPr>
              <w:t xml:space="preserve"> en un paquete financiero formado por un apoyo a corto y largo plazo para el programa de reformas macro </w:t>
            </w:r>
            <w:r w:rsidRPr="009F1F6D">
              <w:rPr>
                <w:lang w:val="es-ES_tradnl"/>
              </w:rPr>
              <w:lastRenderedPageBreak/>
              <w:t>presupuestarias y socioeconómicas necesario, así como un aumento de los importes disponibles para apoyar las inversiones en Egipto y un apoyo específico para la aplicación de las diferentes prioridades estratégicas. Parte del apoyo lo constituye el paquete de ayuda macrofinanciera de la UE de hasta 5 000 millones EUR en préstamos, compuesto por dos operaciones, una a corto plazo de hasta 1 000 millones EUR y otra normal y más a medio plazo por un máximo de 4 000 millones EUR; instrumentos financieros, como garantías e instrumentos de financiación mixta, destinados a movilizar inversiones públicas y privadas con el objetivo de generar nuevas inversiones sustanciales. Esto se complementará con programas de apoyo a prioridades específicas en el marco de la Asociación Global y Estratégica a través de proyectos individuales y asistencia técnica ejecutados en el marco del Instrumento de Vecindad, Desarrollo y Cooperación Internacional</w:t>
            </w:r>
            <w:r w:rsidRPr="009F1F6D">
              <w:rPr>
                <w:vertAlign w:val="superscript"/>
                <w:lang w:val="es-ES_tradnl"/>
              </w:rPr>
              <w:t>2</w:t>
            </w:r>
            <w:r w:rsidRPr="009F1F6D">
              <w:rPr>
                <w:lang w:val="es-ES_tradnl"/>
              </w:rPr>
              <w:t>.</w:t>
            </w:r>
          </w:p>
        </w:tc>
        <w:tc>
          <w:tcPr>
            <w:tcW w:w="4876" w:type="dxa"/>
            <w:hideMark/>
          </w:tcPr>
          <w:p w14:paraId="2A75BBD4" w14:textId="77777777" w:rsidR="003C2A24" w:rsidRPr="009F1F6D" w:rsidRDefault="003C2A24" w:rsidP="00CF4BA9">
            <w:pPr>
              <w:pStyle w:val="Normal6"/>
              <w:rPr>
                <w:szCs w:val="24"/>
                <w:lang w:val="es-ES_tradnl"/>
              </w:rPr>
            </w:pPr>
            <w:r w:rsidRPr="009F1F6D">
              <w:rPr>
                <w:lang w:val="es-ES_tradnl"/>
              </w:rPr>
              <w:lastRenderedPageBreak/>
              <w:t>(8)</w:t>
            </w:r>
            <w:r w:rsidRPr="009F1F6D">
              <w:rPr>
                <w:lang w:val="es-ES_tradnl"/>
              </w:rPr>
              <w:tab/>
              <w:t xml:space="preserve">El apoyo de la Asociación </w:t>
            </w:r>
            <w:r w:rsidRPr="009F1F6D">
              <w:rPr>
                <w:b/>
                <w:i/>
                <w:lang w:val="es-ES_tradnl"/>
              </w:rPr>
              <w:t>consiste</w:t>
            </w:r>
            <w:r w:rsidRPr="009F1F6D">
              <w:rPr>
                <w:lang w:val="es-ES_tradnl"/>
              </w:rPr>
              <w:t xml:space="preserve"> en un paquete financiero formado por un apoyo a corto y largo plazo para el programa de reformas macro </w:t>
            </w:r>
            <w:r w:rsidRPr="009F1F6D">
              <w:rPr>
                <w:lang w:val="es-ES_tradnl"/>
              </w:rPr>
              <w:lastRenderedPageBreak/>
              <w:t>presupuestarias y socioeconómicas necesario, así como un aumento de los importes disponibles para apoyar las inversiones en Egipto y un apoyo específico para la aplicación de las diferentes prioridades estratégicas</w:t>
            </w:r>
            <w:r w:rsidRPr="009F1F6D">
              <w:rPr>
                <w:b/>
                <w:i/>
                <w:lang w:val="es-ES_tradnl"/>
              </w:rPr>
              <w:t>, en especial en cuanto a la migración irregular y la energía renovable</w:t>
            </w:r>
            <w:r w:rsidRPr="009F1F6D">
              <w:rPr>
                <w:lang w:val="es-ES_tradnl"/>
              </w:rPr>
              <w:t>. Parte del apoyo lo constituye el paquete de ayuda macrofinanciera de la UE de hasta 5 000 millones EUR en préstamos</w:t>
            </w:r>
            <w:r w:rsidRPr="009F1F6D">
              <w:rPr>
                <w:b/>
                <w:i/>
                <w:lang w:val="es-ES_tradnl"/>
              </w:rPr>
              <w:t xml:space="preserve"> en condiciones favorables</w:t>
            </w:r>
            <w:r w:rsidRPr="009F1F6D">
              <w:rPr>
                <w:lang w:val="es-ES_tradnl"/>
              </w:rPr>
              <w:t xml:space="preserve">, compuesto por dos operaciones, una a corto plazo de hasta 1 000 millones EUR y otra normal y más a medio plazo por un máximo de 4 000 millones EUR; instrumentos financieros, como garantías e instrumentos de financiación mixta, destinados a movilizar inversiones públicas y privadas </w:t>
            </w:r>
            <w:r w:rsidRPr="009F1F6D">
              <w:rPr>
                <w:b/>
                <w:i/>
                <w:lang w:val="es-ES_tradnl"/>
              </w:rPr>
              <w:t xml:space="preserve">que beneficien a la mayoría de los egipcios </w:t>
            </w:r>
            <w:r w:rsidRPr="009F1F6D">
              <w:rPr>
                <w:lang w:val="es-ES_tradnl"/>
              </w:rPr>
              <w:t>con el objetivo de generar nuevas inversiones sustanciales. Esto se complementará con programas de apoyo a prioridades específicas en el marco de la Asociación Global y Estratégica a través de proyectos individuales y asistencia técnica ejecutados en el marco del Instrumento de Vecindad, Desarrollo y Cooperación Internacional</w:t>
            </w:r>
            <w:r w:rsidRPr="009F1F6D">
              <w:rPr>
                <w:vertAlign w:val="superscript"/>
                <w:lang w:val="es-ES_tradnl"/>
              </w:rPr>
              <w:t>2</w:t>
            </w:r>
            <w:r w:rsidRPr="009F1F6D">
              <w:rPr>
                <w:lang w:val="es-ES_tradnl"/>
              </w:rPr>
              <w:t>.</w:t>
            </w:r>
          </w:p>
        </w:tc>
      </w:tr>
      <w:tr w:rsidR="003C2A24" w:rsidRPr="009F1F6D" w14:paraId="24812613" w14:textId="77777777" w:rsidTr="00CF4BA9">
        <w:trPr>
          <w:jc w:val="center"/>
        </w:trPr>
        <w:tc>
          <w:tcPr>
            <w:tcW w:w="4876" w:type="dxa"/>
            <w:hideMark/>
          </w:tcPr>
          <w:p w14:paraId="5C3F8B4E" w14:textId="77777777" w:rsidR="003C2A24" w:rsidRPr="009F1F6D" w:rsidRDefault="003C2A24" w:rsidP="00CF4BA9">
            <w:pPr>
              <w:pStyle w:val="Normal6"/>
              <w:rPr>
                <w:lang w:val="es-ES_tradnl"/>
              </w:rPr>
            </w:pPr>
            <w:r w:rsidRPr="009F1F6D">
              <w:rPr>
                <w:lang w:val="es-ES_tradnl"/>
              </w:rPr>
              <w:lastRenderedPageBreak/>
              <w:t>__________________</w:t>
            </w:r>
          </w:p>
        </w:tc>
        <w:tc>
          <w:tcPr>
            <w:tcW w:w="4876" w:type="dxa"/>
            <w:hideMark/>
          </w:tcPr>
          <w:p w14:paraId="0CD00CA1" w14:textId="77777777" w:rsidR="003C2A24" w:rsidRPr="009F1F6D" w:rsidRDefault="003C2A24" w:rsidP="00CF4BA9">
            <w:pPr>
              <w:pStyle w:val="Normal6"/>
              <w:rPr>
                <w:szCs w:val="24"/>
                <w:lang w:val="es-ES_tradnl"/>
              </w:rPr>
            </w:pPr>
            <w:r w:rsidRPr="009F1F6D">
              <w:rPr>
                <w:lang w:val="es-ES_tradnl"/>
              </w:rPr>
              <w:t>__________________</w:t>
            </w:r>
          </w:p>
        </w:tc>
      </w:tr>
      <w:tr w:rsidR="003C2A24" w:rsidRPr="009F1F6D" w14:paraId="6367C8A8" w14:textId="77777777" w:rsidTr="00CF4BA9">
        <w:trPr>
          <w:jc w:val="center"/>
        </w:trPr>
        <w:tc>
          <w:tcPr>
            <w:tcW w:w="4876" w:type="dxa"/>
            <w:hideMark/>
          </w:tcPr>
          <w:p w14:paraId="099E797A" w14:textId="0AD901F7" w:rsidR="003C2A24" w:rsidRPr="009F1F6D" w:rsidRDefault="003C2A24" w:rsidP="00CF4BA9">
            <w:pPr>
              <w:pStyle w:val="Normal6"/>
              <w:rPr>
                <w:lang w:val="es-ES_tradnl"/>
              </w:rPr>
            </w:pPr>
            <w:r w:rsidRPr="009F1F6D">
              <w:rPr>
                <w:vertAlign w:val="superscript"/>
                <w:lang w:val="es-ES_tradnl"/>
              </w:rPr>
              <w:t>2</w:t>
            </w:r>
            <w:r w:rsidRPr="009F1F6D">
              <w:rPr>
                <w:lang w:val="es-ES_tradnl"/>
              </w:rPr>
              <w:t xml:space="preserve"> </w:t>
            </w:r>
            <w:proofErr w:type="gramStart"/>
            <w:r w:rsidRPr="009F1F6D">
              <w:rPr>
                <w:lang w:val="es-ES_tradnl"/>
              </w:rPr>
              <w:t>Reglamento</w:t>
            </w:r>
            <w:proofErr w:type="gramEnd"/>
            <w:r w:rsidRPr="009F1F6D">
              <w:rPr>
                <w:lang w:val="es-ES_tradnl"/>
              </w:rPr>
              <w:t xml:space="preserve">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 (DO</w:t>
            </w:r>
            <w:r w:rsidR="00B80F77">
              <w:rPr>
                <w:lang w:val="es-ES_tradnl"/>
              </w:rPr>
              <w:t xml:space="preserve"> </w:t>
            </w:r>
            <w:r w:rsidRPr="009F1F6D">
              <w:rPr>
                <w:lang w:val="es-ES_tradnl"/>
              </w:rPr>
              <w:t>L 209 de 14.6.2021, p. 1).</w:t>
            </w:r>
          </w:p>
        </w:tc>
        <w:tc>
          <w:tcPr>
            <w:tcW w:w="4876" w:type="dxa"/>
            <w:hideMark/>
          </w:tcPr>
          <w:p w14:paraId="1FA6F73E" w14:textId="422D26CA" w:rsidR="003C2A24" w:rsidRPr="009F1F6D" w:rsidRDefault="003C2A24" w:rsidP="00CF4BA9">
            <w:pPr>
              <w:pStyle w:val="Normal6"/>
              <w:rPr>
                <w:szCs w:val="24"/>
                <w:lang w:val="es-ES_tradnl"/>
              </w:rPr>
            </w:pPr>
            <w:r w:rsidRPr="009F1F6D">
              <w:rPr>
                <w:vertAlign w:val="superscript"/>
                <w:lang w:val="es-ES_tradnl"/>
              </w:rPr>
              <w:t>2</w:t>
            </w:r>
            <w:r w:rsidRPr="009F1F6D">
              <w:rPr>
                <w:lang w:val="es-ES_tradnl"/>
              </w:rPr>
              <w:t xml:space="preserve"> </w:t>
            </w:r>
            <w:proofErr w:type="gramStart"/>
            <w:r w:rsidRPr="009F1F6D">
              <w:rPr>
                <w:lang w:val="es-ES_tradnl"/>
              </w:rPr>
              <w:t>Reglamento</w:t>
            </w:r>
            <w:proofErr w:type="gramEnd"/>
            <w:r w:rsidRPr="009F1F6D">
              <w:rPr>
                <w:lang w:val="es-ES_tradnl"/>
              </w:rPr>
              <w:t xml:space="preserve">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 (DO</w:t>
            </w:r>
            <w:r w:rsidR="00B80F77">
              <w:rPr>
                <w:lang w:val="es-ES_tradnl"/>
              </w:rPr>
              <w:t xml:space="preserve"> </w:t>
            </w:r>
            <w:r w:rsidRPr="009F1F6D">
              <w:rPr>
                <w:lang w:val="es-ES_tradnl"/>
              </w:rPr>
              <w:t>L 209 de 14.6.2021, p. 1).</w:t>
            </w:r>
          </w:p>
        </w:tc>
      </w:tr>
    </w:tbl>
    <w:p w14:paraId="1F89CBA5" w14:textId="77777777" w:rsidR="003C2A24" w:rsidRPr="009F1F6D" w:rsidRDefault="003C2A24" w:rsidP="003C2A24"/>
    <w:p w14:paraId="04564107" w14:textId="77777777" w:rsidR="003C2A24" w:rsidRPr="009F1F6D" w:rsidRDefault="003C2A24" w:rsidP="003C2A24">
      <w:pPr>
        <w:pStyle w:val="AmNumberTabs"/>
      </w:pPr>
      <w:r w:rsidRPr="009F1F6D">
        <w:t>Enmienda</w:t>
      </w:r>
      <w:r w:rsidRPr="009F1F6D">
        <w:tab/>
      </w:r>
      <w:r w:rsidRPr="009F1F6D">
        <w:tab/>
        <w:t>9</w:t>
      </w:r>
    </w:p>
    <w:p w14:paraId="7C0952FA" w14:textId="77777777" w:rsidR="003C2A24" w:rsidRPr="009F1F6D" w:rsidRDefault="003C2A24" w:rsidP="003C2A24"/>
    <w:p w14:paraId="0CC12BD2" w14:textId="77777777" w:rsidR="003C2A24" w:rsidRPr="009F1F6D" w:rsidRDefault="003C2A24" w:rsidP="003C2A24">
      <w:pPr>
        <w:pStyle w:val="NormalBold"/>
        <w:keepNext/>
      </w:pPr>
      <w:r w:rsidRPr="009F1F6D">
        <w:t>Propuesta de Decisión</w:t>
      </w:r>
    </w:p>
    <w:p w14:paraId="69BAD973" w14:textId="77777777" w:rsidR="003C2A24" w:rsidRPr="009F1F6D" w:rsidRDefault="003C2A24" w:rsidP="003C2A24">
      <w:pPr>
        <w:pStyle w:val="NormalBold"/>
      </w:pPr>
      <w:r w:rsidRPr="009F1F6D">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4B558756" w14:textId="77777777" w:rsidTr="00CF4BA9">
        <w:trPr>
          <w:jc w:val="center"/>
        </w:trPr>
        <w:tc>
          <w:tcPr>
            <w:tcW w:w="9752" w:type="dxa"/>
            <w:gridSpan w:val="2"/>
          </w:tcPr>
          <w:p w14:paraId="4034F987" w14:textId="77777777" w:rsidR="003C2A24" w:rsidRPr="009F1F6D" w:rsidRDefault="003C2A24" w:rsidP="00CF4BA9">
            <w:pPr>
              <w:keepNext/>
            </w:pPr>
          </w:p>
        </w:tc>
      </w:tr>
      <w:tr w:rsidR="003C2A24" w:rsidRPr="009F1F6D" w14:paraId="6FB4D61E" w14:textId="77777777" w:rsidTr="00CF4BA9">
        <w:trPr>
          <w:jc w:val="center"/>
        </w:trPr>
        <w:tc>
          <w:tcPr>
            <w:tcW w:w="4876" w:type="dxa"/>
            <w:hideMark/>
          </w:tcPr>
          <w:p w14:paraId="2B35B92C"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470D9909"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68E079EF" w14:textId="77777777" w:rsidTr="00CF4BA9">
        <w:trPr>
          <w:jc w:val="center"/>
        </w:trPr>
        <w:tc>
          <w:tcPr>
            <w:tcW w:w="4876" w:type="dxa"/>
            <w:hideMark/>
          </w:tcPr>
          <w:p w14:paraId="078733AA" w14:textId="77777777" w:rsidR="003C2A24" w:rsidRPr="009F1F6D" w:rsidRDefault="003C2A24" w:rsidP="00CF4BA9">
            <w:pPr>
              <w:pStyle w:val="Normal6"/>
              <w:rPr>
                <w:lang w:val="es-ES_tradnl"/>
              </w:rPr>
            </w:pPr>
            <w:r w:rsidRPr="009F1F6D">
              <w:rPr>
                <w:lang w:val="es-ES_tradnl"/>
              </w:rPr>
              <w:t>(9)</w:t>
            </w:r>
            <w:r w:rsidRPr="009F1F6D">
              <w:rPr>
                <w:lang w:val="es-ES_tradnl"/>
              </w:rPr>
              <w:tab/>
              <w:t xml:space="preserve">La situación macro presupuestaria de Egipto se ha enfrentado a importantes retos y se ha deteriorado sustancialmente en los últimos meses, ya que las presiones externas se han intensificado y la deuda pública ha seguido aumentando, con importantes riesgos para las perspectivas económicas. Las repercusiones de la guerra de Rusia contra Ucrania y </w:t>
            </w:r>
            <w:r w:rsidRPr="009F1F6D">
              <w:rPr>
                <w:b/>
                <w:i/>
                <w:lang w:val="es-ES_tradnl"/>
              </w:rPr>
              <w:t>los atentados terroristas de Hamás perpetrados en Israel</w:t>
            </w:r>
            <w:r w:rsidRPr="009F1F6D">
              <w:rPr>
                <w:lang w:val="es-ES_tradnl"/>
              </w:rPr>
              <w:t xml:space="preserve"> han dado lugar a salidas prolongadas de capital y a una disminución de las exportaciones de servicios, en particular procedentes del turismo</w:t>
            </w:r>
            <w:r w:rsidRPr="009F1F6D">
              <w:rPr>
                <w:b/>
                <w:i/>
                <w:lang w:val="es-ES_tradnl"/>
              </w:rPr>
              <w:t xml:space="preserve"> y de</w:t>
            </w:r>
            <w:r w:rsidRPr="009F1F6D">
              <w:rPr>
                <w:lang w:val="es-ES_tradnl"/>
              </w:rPr>
              <w:t xml:space="preserve"> los ingresos del Canal de Suez. Esto es especialmente complicado en el contexto de la difícil situación presupuestaria de Egipto, que se caracteriza por unos déficits presupuestarios constantes y unas ratios de deuda con respecto al PIB altas y crecientes.</w:t>
            </w:r>
          </w:p>
        </w:tc>
        <w:tc>
          <w:tcPr>
            <w:tcW w:w="4876" w:type="dxa"/>
            <w:hideMark/>
          </w:tcPr>
          <w:p w14:paraId="68D5B07C" w14:textId="77777777" w:rsidR="003C2A24" w:rsidRPr="009F1F6D" w:rsidRDefault="003C2A24" w:rsidP="00CF4BA9">
            <w:pPr>
              <w:pStyle w:val="Normal6"/>
              <w:rPr>
                <w:szCs w:val="24"/>
                <w:lang w:val="es-ES_tradnl"/>
              </w:rPr>
            </w:pPr>
            <w:r w:rsidRPr="009F1F6D">
              <w:rPr>
                <w:lang w:val="es-ES_tradnl"/>
              </w:rPr>
              <w:t>(9)</w:t>
            </w:r>
            <w:r w:rsidRPr="009F1F6D">
              <w:rPr>
                <w:lang w:val="es-ES_tradnl"/>
              </w:rPr>
              <w:tab/>
              <w:t>La situación macro presupuestaria de Egipto se ha enfrentado a importantes retos y se ha deteriorado sustancialmente en los últimos meses, ya que las presiones externas se han intensificado y la deuda pública ha seguido aumentando, con importantes riesgos para las perspectivas económicas. Las repercusiones de la guerra de Rusia contra Ucrania y </w:t>
            </w:r>
            <w:r w:rsidRPr="009F1F6D">
              <w:rPr>
                <w:b/>
                <w:i/>
                <w:lang w:val="es-ES_tradnl"/>
              </w:rPr>
              <w:t>las tensiones geopolíticas y los conflictos en Oriente Próximo</w:t>
            </w:r>
            <w:r w:rsidRPr="009F1F6D">
              <w:rPr>
                <w:lang w:val="es-ES_tradnl"/>
              </w:rPr>
              <w:t xml:space="preserve"> han dado lugar a salidas prolongadas de capital y a una disminución de las exportaciones de servicios, en particular procedentes del turismo</w:t>
            </w:r>
            <w:r w:rsidRPr="009F1F6D">
              <w:rPr>
                <w:b/>
                <w:i/>
                <w:lang w:val="es-ES_tradnl"/>
              </w:rPr>
              <w:t>,</w:t>
            </w:r>
            <w:r w:rsidRPr="009F1F6D">
              <w:rPr>
                <w:lang w:val="es-ES_tradnl"/>
              </w:rPr>
              <w:t xml:space="preserve"> los ingresos del Canal de Suez</w:t>
            </w:r>
            <w:r w:rsidRPr="009F1F6D">
              <w:rPr>
                <w:b/>
                <w:i/>
                <w:lang w:val="es-ES_tradnl"/>
              </w:rPr>
              <w:t>, y la producción de gas y la pérdida de confianza de los inversores extranjeros</w:t>
            </w:r>
            <w:r w:rsidRPr="009F1F6D">
              <w:rPr>
                <w:lang w:val="es-ES_tradnl"/>
              </w:rPr>
              <w:t xml:space="preserve">. Esto es especialmente complicado en el contexto de la difícil situación presupuestaria de Egipto, que se caracteriza por unos déficits presupuestarios constantes y unas ratios de deuda con respecto al PIB altas y crecientes. </w:t>
            </w:r>
            <w:r w:rsidRPr="009F1F6D">
              <w:rPr>
                <w:b/>
                <w:i/>
                <w:lang w:val="es-ES_tradnl"/>
              </w:rPr>
              <w:t>A pesar de este difícil contexto exterior, en 2024 Egipto pudo aplicar reformas, como la unificación de los tipos de cambio y los avances en el endurecimiento de la política monetaria, para contribuir a preservar la estabilidad macroeconómica.</w:t>
            </w:r>
          </w:p>
        </w:tc>
      </w:tr>
    </w:tbl>
    <w:p w14:paraId="06B2AD74" w14:textId="77777777" w:rsidR="003C2A24" w:rsidRPr="009F1F6D" w:rsidRDefault="003C2A24" w:rsidP="003C2A24"/>
    <w:p w14:paraId="0FB4F6A3" w14:textId="77777777" w:rsidR="003C2A24" w:rsidRPr="009F1F6D" w:rsidRDefault="003C2A24" w:rsidP="003C2A24">
      <w:pPr>
        <w:pStyle w:val="AmNumberTabs"/>
      </w:pPr>
      <w:r w:rsidRPr="009F1F6D">
        <w:t>Enmienda</w:t>
      </w:r>
      <w:r w:rsidRPr="009F1F6D">
        <w:tab/>
      </w:r>
      <w:r w:rsidRPr="009F1F6D">
        <w:tab/>
        <w:t>10</w:t>
      </w:r>
    </w:p>
    <w:p w14:paraId="2C66873C" w14:textId="77777777" w:rsidR="003C2A24" w:rsidRPr="009F1F6D" w:rsidRDefault="003C2A24" w:rsidP="003C2A24">
      <w:pPr>
        <w:pStyle w:val="NormalBold12b"/>
      </w:pPr>
      <w:r w:rsidRPr="009F1F6D">
        <w:t>Propuesta de Decisión</w:t>
      </w:r>
    </w:p>
    <w:p w14:paraId="745ECF3A" w14:textId="77777777" w:rsidR="003C2A24" w:rsidRPr="009F1F6D" w:rsidRDefault="003C2A24" w:rsidP="003C2A24">
      <w:pPr>
        <w:pStyle w:val="NormalBold"/>
      </w:pPr>
      <w:r w:rsidRPr="009F1F6D">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7706B43F" w14:textId="77777777" w:rsidTr="00CF4BA9">
        <w:trPr>
          <w:trHeight w:hRule="exact" w:val="240"/>
          <w:jc w:val="center"/>
        </w:trPr>
        <w:tc>
          <w:tcPr>
            <w:tcW w:w="9752" w:type="dxa"/>
            <w:gridSpan w:val="2"/>
            <w:tcBorders>
              <w:top w:val="nil"/>
              <w:left w:val="nil"/>
              <w:bottom w:val="nil"/>
              <w:right w:val="nil"/>
            </w:tcBorders>
          </w:tcPr>
          <w:p w14:paraId="7440DA61" w14:textId="77777777" w:rsidR="003C2A24" w:rsidRPr="009F1F6D" w:rsidRDefault="003C2A24" w:rsidP="00CF4BA9"/>
        </w:tc>
      </w:tr>
      <w:tr w:rsidR="003C2A24" w:rsidRPr="009F1F6D" w14:paraId="678D631A" w14:textId="77777777" w:rsidTr="00CF4BA9">
        <w:trPr>
          <w:trHeight w:val="240"/>
          <w:jc w:val="center"/>
        </w:trPr>
        <w:tc>
          <w:tcPr>
            <w:tcW w:w="4876" w:type="dxa"/>
            <w:tcBorders>
              <w:top w:val="nil"/>
              <w:left w:val="nil"/>
              <w:bottom w:val="nil"/>
              <w:right w:val="nil"/>
            </w:tcBorders>
          </w:tcPr>
          <w:p w14:paraId="573DBC36"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tcPr>
          <w:p w14:paraId="766A5009" w14:textId="77777777" w:rsidR="003C2A24" w:rsidRPr="009F1F6D" w:rsidRDefault="003C2A24" w:rsidP="00CF4BA9">
            <w:pPr>
              <w:pStyle w:val="AmColumnHeading"/>
            </w:pPr>
            <w:r w:rsidRPr="009F1F6D">
              <w:t>Enmienda</w:t>
            </w:r>
          </w:p>
        </w:tc>
      </w:tr>
      <w:tr w:rsidR="003C2A24" w:rsidRPr="009F1F6D" w14:paraId="35480583" w14:textId="77777777" w:rsidTr="00CF4BA9">
        <w:trPr>
          <w:jc w:val="center"/>
        </w:trPr>
        <w:tc>
          <w:tcPr>
            <w:tcW w:w="4876" w:type="dxa"/>
            <w:tcBorders>
              <w:top w:val="nil"/>
              <w:left w:val="nil"/>
              <w:bottom w:val="nil"/>
              <w:right w:val="nil"/>
            </w:tcBorders>
          </w:tcPr>
          <w:p w14:paraId="361FC3C6" w14:textId="77777777" w:rsidR="003C2A24" w:rsidRPr="009F1F6D" w:rsidRDefault="003C2A24" w:rsidP="00CF4BA9">
            <w:pPr>
              <w:pStyle w:val="Normal6a"/>
            </w:pPr>
            <w:r w:rsidRPr="009F1F6D">
              <w:t>(12)</w:t>
            </w:r>
            <w:r w:rsidRPr="009F1F6D">
              <w:tab/>
              <w:t xml:space="preserve">Egipto volvió a colaborar con el FMI a principios de 2024 y alcanzó un acuerdo administrativo el 6 de marzo de 2024 sobre un programa renovado del Servicio Ampliado del Fondo, que se amplió hasta 8 000 millones USD. </w:t>
            </w:r>
            <w:r w:rsidRPr="009F1F6D">
              <w:rPr>
                <w:b/>
                <w:i/>
              </w:rPr>
              <w:t>Se espera que el</w:t>
            </w:r>
            <w:r w:rsidRPr="009F1F6D">
              <w:t xml:space="preserve"> nuevo programa</w:t>
            </w:r>
            <w:r w:rsidRPr="009F1F6D">
              <w:rPr>
                <w:b/>
                <w:i/>
              </w:rPr>
              <w:t xml:space="preserve"> sea adoptado por decisión del Directorio </w:t>
            </w:r>
            <w:r w:rsidRPr="009F1F6D">
              <w:rPr>
                <w:b/>
                <w:i/>
              </w:rPr>
              <w:lastRenderedPageBreak/>
              <w:t>Ejecutivo del FMI en marzo de 2024 y</w:t>
            </w:r>
            <w:r w:rsidRPr="009F1F6D">
              <w:t xml:space="preserve"> tiene por objeto abordar los ámbitos de: 1) flexibilidad creíble de los tipos de cambio, 2) endurecimiento sostenible de la política monetaria, 3) saneamiento presupuestario para preservar la sostenibilidad de la deuda, 4) un nuevo marco para controlar el gasto en infraestructuras, 5) lograr niveles adecuados de gasto social para proteger a los grupos vulnerables, 6) aplicar la política de propiedad estatal y reformar la las condiciones de participación en igualdad de condiciones. Junto con la firma del acuerdo administrativo, Egipto también aplicó una flexibilización del tipo de cambio y elevó el tipo de interés oficial del banco central en 600 puntos básicos, en consonancia con las prioridades del programa del FMI.</w:t>
            </w:r>
          </w:p>
        </w:tc>
        <w:tc>
          <w:tcPr>
            <w:tcW w:w="4876" w:type="dxa"/>
            <w:tcBorders>
              <w:top w:val="nil"/>
              <w:left w:val="nil"/>
              <w:bottom w:val="nil"/>
              <w:right w:val="nil"/>
            </w:tcBorders>
          </w:tcPr>
          <w:p w14:paraId="7BA648E9" w14:textId="77777777" w:rsidR="003C2A24" w:rsidRPr="009F1F6D" w:rsidRDefault="003C2A24" w:rsidP="00CF4BA9">
            <w:pPr>
              <w:pStyle w:val="Normal6a"/>
            </w:pPr>
            <w:r w:rsidRPr="009F1F6D">
              <w:lastRenderedPageBreak/>
              <w:t>(12)</w:t>
            </w:r>
            <w:r w:rsidRPr="009F1F6D">
              <w:tab/>
              <w:t xml:space="preserve">Egipto volvió a colaborar con el FMI a principios de 2024 y alcanzó un acuerdo administrativo el 6 de marzo de 2024 sobre un programa renovado del Servicio Ampliado del Fondo, que se amplió hasta 8 000 millones USD. </w:t>
            </w:r>
            <w:r w:rsidRPr="009F1F6D">
              <w:rPr>
                <w:b/>
                <w:i/>
              </w:rPr>
              <w:t xml:space="preserve">Las negociaciones a nivel de expertos sobre la cuarta revisión del programa de reforma </w:t>
            </w:r>
            <w:r w:rsidRPr="009F1F6D">
              <w:rPr>
                <w:b/>
                <w:i/>
              </w:rPr>
              <w:lastRenderedPageBreak/>
              <w:t>económica de Egipto concluyeron en diciembre de 2024.</w:t>
            </w:r>
            <w:r w:rsidRPr="009F1F6D">
              <w:t xml:space="preserve"> </w:t>
            </w:r>
            <w:r w:rsidRPr="009F1F6D">
              <w:rPr>
                <w:b/>
                <w:bCs/>
                <w:i/>
                <w:iCs/>
              </w:rPr>
              <w:t>El</w:t>
            </w:r>
            <w:r w:rsidRPr="009F1F6D">
              <w:t xml:space="preserve"> nuevo programa tiene por objeto abordar los ámbitos de: 1) flexibilidad creíble de los tipos de cambio, 2) endurecimiento sostenible de la política monetaria, 3) saneamiento presupuestario para preservar la sostenibilidad de la deuda, 4) un nuevo marco para controlar el gasto en infraestructuras, 5) lograr niveles adecuados de gasto social para proteger a los grupos vulnerables</w:t>
            </w:r>
            <w:r w:rsidRPr="009F1F6D">
              <w:rPr>
                <w:b/>
                <w:bCs/>
                <w:i/>
                <w:iCs/>
              </w:rPr>
              <w:t xml:space="preserve"> del coste de la vida y las subidas de los precios de la energía</w:t>
            </w:r>
            <w:r w:rsidRPr="009F1F6D">
              <w:t xml:space="preserve">, 6) aplicar la política de propiedad estatal y reformar la las condiciones de participación en igualdad de condiciones </w:t>
            </w:r>
            <w:r w:rsidRPr="009F1F6D">
              <w:rPr>
                <w:b/>
                <w:i/>
              </w:rPr>
              <w:t>mediante el fomento del desarrollo del sector privado en la economía</w:t>
            </w:r>
            <w:r w:rsidRPr="009F1F6D">
              <w:t>. Junto con la firma del acuerdo administrativo, Egipto también aplicó una flexibilización del tipo de cambio y elevó el tipo de interés oficial del banco central en 600 puntos básicos, en consonancia con las prioridades del programa del FMI.</w:t>
            </w:r>
          </w:p>
        </w:tc>
      </w:tr>
    </w:tbl>
    <w:p w14:paraId="2708379A" w14:textId="77777777" w:rsidR="003C2A24" w:rsidRPr="009F1F6D" w:rsidRDefault="003C2A24" w:rsidP="003C2A24"/>
    <w:p w14:paraId="0149CD97" w14:textId="77777777" w:rsidR="003C2A24" w:rsidRPr="009F1F6D" w:rsidRDefault="003C2A24" w:rsidP="003C2A24">
      <w:pPr>
        <w:pStyle w:val="AmNumberTabs"/>
      </w:pPr>
      <w:r w:rsidRPr="009F1F6D">
        <w:t>Enmienda</w:t>
      </w:r>
      <w:r w:rsidRPr="009F1F6D">
        <w:tab/>
      </w:r>
      <w:r w:rsidRPr="009F1F6D">
        <w:tab/>
        <w:t>11</w:t>
      </w:r>
    </w:p>
    <w:p w14:paraId="0760C7A4" w14:textId="77777777" w:rsidR="003C2A24" w:rsidRPr="009F1F6D" w:rsidRDefault="003C2A24" w:rsidP="003C2A24">
      <w:pPr>
        <w:pStyle w:val="NormalBold12b"/>
      </w:pPr>
      <w:r w:rsidRPr="009F1F6D">
        <w:t>Propuesta de Decisión</w:t>
      </w:r>
    </w:p>
    <w:p w14:paraId="26D79162" w14:textId="77777777" w:rsidR="003C2A24" w:rsidRPr="009F1F6D" w:rsidRDefault="003C2A24" w:rsidP="003C2A24">
      <w:pPr>
        <w:pStyle w:val="NormalBold"/>
      </w:pPr>
      <w:r w:rsidRPr="009F1F6D">
        <w:t>Considerando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5B9C12FF" w14:textId="77777777" w:rsidTr="00CF4BA9">
        <w:trPr>
          <w:trHeight w:hRule="exact" w:val="240"/>
          <w:jc w:val="center"/>
        </w:trPr>
        <w:tc>
          <w:tcPr>
            <w:tcW w:w="9752" w:type="dxa"/>
            <w:gridSpan w:val="2"/>
            <w:tcBorders>
              <w:top w:val="nil"/>
              <w:left w:val="nil"/>
              <w:bottom w:val="nil"/>
              <w:right w:val="nil"/>
            </w:tcBorders>
          </w:tcPr>
          <w:p w14:paraId="36F1216D" w14:textId="77777777" w:rsidR="003C2A24" w:rsidRPr="009F1F6D" w:rsidRDefault="003C2A24" w:rsidP="00CF4BA9"/>
        </w:tc>
      </w:tr>
      <w:tr w:rsidR="003C2A24" w:rsidRPr="009F1F6D" w14:paraId="2C6A0801" w14:textId="77777777" w:rsidTr="00CF4BA9">
        <w:trPr>
          <w:trHeight w:val="240"/>
          <w:jc w:val="center"/>
        </w:trPr>
        <w:tc>
          <w:tcPr>
            <w:tcW w:w="4876" w:type="dxa"/>
            <w:tcBorders>
              <w:top w:val="nil"/>
              <w:left w:val="nil"/>
              <w:bottom w:val="nil"/>
              <w:right w:val="nil"/>
            </w:tcBorders>
          </w:tcPr>
          <w:p w14:paraId="0D91B23B"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tcPr>
          <w:p w14:paraId="296F42FF" w14:textId="77777777" w:rsidR="003C2A24" w:rsidRPr="009F1F6D" w:rsidRDefault="003C2A24" w:rsidP="00CF4BA9">
            <w:pPr>
              <w:pStyle w:val="AmColumnHeading"/>
            </w:pPr>
            <w:r w:rsidRPr="009F1F6D">
              <w:t>Enmienda</w:t>
            </w:r>
          </w:p>
        </w:tc>
      </w:tr>
      <w:tr w:rsidR="003C2A24" w:rsidRPr="009F1F6D" w14:paraId="7A26694A" w14:textId="77777777" w:rsidTr="00CF4BA9">
        <w:trPr>
          <w:jc w:val="center"/>
        </w:trPr>
        <w:tc>
          <w:tcPr>
            <w:tcW w:w="4876" w:type="dxa"/>
            <w:tcBorders>
              <w:top w:val="nil"/>
              <w:left w:val="nil"/>
              <w:bottom w:val="nil"/>
              <w:right w:val="nil"/>
            </w:tcBorders>
          </w:tcPr>
          <w:p w14:paraId="7AC1E042" w14:textId="77777777" w:rsidR="003C2A24" w:rsidRPr="009F1F6D" w:rsidRDefault="003C2A24" w:rsidP="00CF4BA9">
            <w:pPr>
              <w:pStyle w:val="Normal6a"/>
            </w:pPr>
            <w:r w:rsidRPr="009F1F6D">
              <w:t>(16)</w:t>
            </w:r>
            <w:r w:rsidRPr="009F1F6D">
              <w:tab/>
              <w:t xml:space="preserve">Habida cuenta de que la balanza de pagos de Egipto presenta aún un significativo déficit de financiación residual exterior, por encima de los recursos facilitados por el FMI y otras instituciones multilaterales, la ayuda macrofinanciera de la Unión a Egipto se considera, en las excepcionales circunstancias actuales, una respuesta apropiada a su solicitud de apoyo a la estabilización económica conjuntamente con el programa del FMI. La ayuda macrofinanciera de la Unión, incluida la AMF de hasta 4 000 millones EUR contemplada en la presente propuesta, respaldaría la estabilización económica y el programa de reformas estructurales de Egipto, lo que complementaría los recursos </w:t>
            </w:r>
            <w:r w:rsidRPr="009F1F6D">
              <w:lastRenderedPageBreak/>
              <w:t>facilitados en el marco del acuerdo financiero del FMI.</w:t>
            </w:r>
          </w:p>
        </w:tc>
        <w:tc>
          <w:tcPr>
            <w:tcW w:w="4876" w:type="dxa"/>
            <w:tcBorders>
              <w:top w:val="nil"/>
              <w:left w:val="nil"/>
              <w:bottom w:val="nil"/>
              <w:right w:val="nil"/>
            </w:tcBorders>
          </w:tcPr>
          <w:p w14:paraId="7AC53245" w14:textId="77777777" w:rsidR="003C2A24" w:rsidRPr="009F1F6D" w:rsidRDefault="003C2A24" w:rsidP="00CF4BA9">
            <w:pPr>
              <w:pStyle w:val="Normal6a"/>
            </w:pPr>
            <w:r w:rsidRPr="009F1F6D">
              <w:lastRenderedPageBreak/>
              <w:t>(16)</w:t>
            </w:r>
            <w:r w:rsidRPr="009F1F6D">
              <w:tab/>
              <w:t>Habida cuenta de que la balanza de pagos de Egipto presenta aún un significativo déficit de financiación residual exterior, por encima de los recursos facilitados por el FMI y otras instituciones multilaterales</w:t>
            </w:r>
            <w:r w:rsidRPr="009F1F6D">
              <w:rPr>
                <w:b/>
                <w:i/>
              </w:rPr>
              <w:t xml:space="preserve"> y socios regionales</w:t>
            </w:r>
            <w:r w:rsidRPr="009F1F6D">
              <w:t xml:space="preserve">, la ayuda macrofinanciera de la Unión a Egipto se considera, en las excepcionales circunstancias actuales, una respuesta apropiada a su solicitud de apoyo a la estabilización económica conjuntamente con el programa del FMI. La ayuda macrofinanciera de la Unión, incluida la AMF de hasta 4 000 millones EUR contemplada en la presente propuesta, respaldaría la estabilización económica y el programa de reformas estructurales de Egipto, lo que </w:t>
            </w:r>
            <w:r w:rsidRPr="009F1F6D">
              <w:lastRenderedPageBreak/>
              <w:t>complementaría los recursos facilitados en el marco del acuerdo financiero del FMI.</w:t>
            </w:r>
          </w:p>
        </w:tc>
      </w:tr>
    </w:tbl>
    <w:p w14:paraId="2EA22F33" w14:textId="77777777" w:rsidR="003C2A24" w:rsidRPr="009F1F6D" w:rsidRDefault="003C2A24" w:rsidP="003C2A24"/>
    <w:p w14:paraId="1EF97FFC" w14:textId="77777777" w:rsidR="003C2A24" w:rsidRPr="009F1F6D" w:rsidRDefault="003C2A24" w:rsidP="003C2A24">
      <w:pPr>
        <w:pStyle w:val="AmNumberTabs"/>
      </w:pPr>
      <w:r w:rsidRPr="009F1F6D">
        <w:t>Enmienda</w:t>
      </w:r>
      <w:r w:rsidRPr="009F1F6D">
        <w:tab/>
      </w:r>
      <w:r w:rsidRPr="009F1F6D">
        <w:tab/>
        <w:t>12</w:t>
      </w:r>
    </w:p>
    <w:p w14:paraId="64AFB2D2" w14:textId="77777777" w:rsidR="003C2A24" w:rsidRPr="009F1F6D" w:rsidRDefault="003C2A24" w:rsidP="003C2A24"/>
    <w:p w14:paraId="436C1F0B" w14:textId="77777777" w:rsidR="003C2A24" w:rsidRPr="009F1F6D" w:rsidRDefault="003C2A24" w:rsidP="003C2A24">
      <w:pPr>
        <w:pStyle w:val="NormalBold"/>
        <w:keepNext/>
      </w:pPr>
      <w:r w:rsidRPr="009F1F6D">
        <w:t>Propuesta de Decisión</w:t>
      </w:r>
    </w:p>
    <w:p w14:paraId="25EFD365" w14:textId="77777777" w:rsidR="003C2A24" w:rsidRPr="009F1F6D" w:rsidRDefault="003C2A24" w:rsidP="003C2A24">
      <w:pPr>
        <w:pStyle w:val="NormalBold"/>
      </w:pPr>
      <w:r w:rsidRPr="009F1F6D">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605FEEBB" w14:textId="77777777" w:rsidTr="00CF4BA9">
        <w:trPr>
          <w:jc w:val="center"/>
        </w:trPr>
        <w:tc>
          <w:tcPr>
            <w:tcW w:w="9752" w:type="dxa"/>
            <w:gridSpan w:val="2"/>
          </w:tcPr>
          <w:p w14:paraId="7C8DA0D4" w14:textId="77777777" w:rsidR="003C2A24" w:rsidRPr="009F1F6D" w:rsidRDefault="003C2A24" w:rsidP="00CF4BA9">
            <w:pPr>
              <w:keepNext/>
            </w:pPr>
          </w:p>
        </w:tc>
      </w:tr>
      <w:tr w:rsidR="003C2A24" w:rsidRPr="009F1F6D" w14:paraId="2FB1133A" w14:textId="77777777" w:rsidTr="00CF4BA9">
        <w:trPr>
          <w:jc w:val="center"/>
        </w:trPr>
        <w:tc>
          <w:tcPr>
            <w:tcW w:w="4876" w:type="dxa"/>
            <w:hideMark/>
          </w:tcPr>
          <w:p w14:paraId="5B5676BD"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1F1625B3"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559DC424" w14:textId="77777777" w:rsidTr="00CF4BA9">
        <w:trPr>
          <w:jc w:val="center"/>
        </w:trPr>
        <w:tc>
          <w:tcPr>
            <w:tcW w:w="4876" w:type="dxa"/>
            <w:hideMark/>
          </w:tcPr>
          <w:p w14:paraId="373B71AF" w14:textId="77777777" w:rsidR="003C2A24" w:rsidRPr="009F1F6D" w:rsidRDefault="003C2A24" w:rsidP="00CF4BA9">
            <w:pPr>
              <w:pStyle w:val="Normal6"/>
              <w:rPr>
                <w:lang w:val="es-ES_tradnl"/>
              </w:rPr>
            </w:pPr>
            <w:r w:rsidRPr="009F1F6D">
              <w:rPr>
                <w:lang w:val="es-ES_tradnl"/>
              </w:rPr>
              <w:t>(19)</w:t>
            </w:r>
            <w:r w:rsidRPr="009F1F6D">
              <w:rPr>
                <w:lang w:val="es-ES_tradnl"/>
              </w:rPr>
              <w:tab/>
              <w:t>La Comisión debe garantizar que la ayuda macrofinanciera de la Unión se ajuste, sustancialmente y desde el punto de vista jurídico, a los principios, los objetivos y las medidas fundamentales adoptados en los distintos ámbitos de la acción exterior y otras políticas pertinentes de la Unión.</w:t>
            </w:r>
          </w:p>
        </w:tc>
        <w:tc>
          <w:tcPr>
            <w:tcW w:w="4876" w:type="dxa"/>
            <w:hideMark/>
          </w:tcPr>
          <w:p w14:paraId="7E8529B3" w14:textId="77777777" w:rsidR="003C2A24" w:rsidRPr="009F1F6D" w:rsidRDefault="003C2A24" w:rsidP="00CF4BA9">
            <w:pPr>
              <w:pStyle w:val="Normal6"/>
              <w:rPr>
                <w:szCs w:val="24"/>
                <w:lang w:val="es-ES_tradnl"/>
              </w:rPr>
            </w:pPr>
            <w:r w:rsidRPr="009F1F6D">
              <w:rPr>
                <w:lang w:val="es-ES_tradnl"/>
              </w:rPr>
              <w:t>(19)</w:t>
            </w:r>
            <w:r w:rsidRPr="009F1F6D">
              <w:rPr>
                <w:lang w:val="es-ES_tradnl"/>
              </w:rPr>
              <w:tab/>
              <w:t>La Comisión debe garantizar que la ayuda macrofinanciera de la Unión se ajuste, sustancialmente y desde el punto de vista jurídico, a los principios, los objetivos y las medidas fundamentales adoptados en los distintos ámbitos de la acción exterior y otras políticas pertinentes de la Unión</w:t>
            </w:r>
            <w:r w:rsidRPr="009F1F6D">
              <w:rPr>
                <w:b/>
                <w:i/>
                <w:lang w:val="es-ES_tradnl"/>
              </w:rPr>
              <w:t>, en particular las relativas a la democracia y el Estado de Derecho, de conformidad con el artículo 2 del Acuerdo de Asociación UE-Egipto</w:t>
            </w:r>
            <w:r w:rsidRPr="009F1F6D">
              <w:rPr>
                <w:lang w:val="es-ES_tradnl"/>
              </w:rPr>
              <w:t>.</w:t>
            </w:r>
          </w:p>
        </w:tc>
      </w:tr>
    </w:tbl>
    <w:p w14:paraId="207A8CB2" w14:textId="77777777" w:rsidR="003C2A24" w:rsidRPr="009F1F6D" w:rsidRDefault="003C2A24" w:rsidP="003C2A24"/>
    <w:p w14:paraId="1874468F" w14:textId="77777777" w:rsidR="003C2A24" w:rsidRPr="009F1F6D" w:rsidRDefault="003C2A24" w:rsidP="003C2A24">
      <w:pPr>
        <w:pStyle w:val="AmNumberTabs"/>
      </w:pPr>
      <w:r w:rsidRPr="009F1F6D">
        <w:t>Enmienda</w:t>
      </w:r>
      <w:r w:rsidRPr="009F1F6D">
        <w:tab/>
      </w:r>
      <w:r w:rsidRPr="009F1F6D">
        <w:tab/>
        <w:t>13</w:t>
      </w:r>
    </w:p>
    <w:p w14:paraId="3FC390C6" w14:textId="77777777" w:rsidR="003C2A24" w:rsidRPr="009F1F6D" w:rsidRDefault="003C2A24" w:rsidP="003C2A24"/>
    <w:p w14:paraId="4C95D7F1" w14:textId="77777777" w:rsidR="003C2A24" w:rsidRPr="009F1F6D" w:rsidRDefault="003C2A24" w:rsidP="003C2A24">
      <w:pPr>
        <w:pStyle w:val="NormalBold"/>
        <w:keepNext/>
      </w:pPr>
      <w:r w:rsidRPr="009F1F6D">
        <w:t>Propuesta de Decisión</w:t>
      </w:r>
    </w:p>
    <w:p w14:paraId="2B8A147D" w14:textId="77777777" w:rsidR="003C2A24" w:rsidRPr="009F1F6D" w:rsidRDefault="003C2A24" w:rsidP="003C2A24">
      <w:pPr>
        <w:pStyle w:val="NormalBold"/>
      </w:pPr>
      <w:r w:rsidRPr="009F1F6D">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31206654" w14:textId="77777777" w:rsidTr="00CF4BA9">
        <w:trPr>
          <w:jc w:val="center"/>
        </w:trPr>
        <w:tc>
          <w:tcPr>
            <w:tcW w:w="9752" w:type="dxa"/>
            <w:gridSpan w:val="2"/>
          </w:tcPr>
          <w:p w14:paraId="6B40D460" w14:textId="77777777" w:rsidR="003C2A24" w:rsidRPr="009F1F6D" w:rsidRDefault="003C2A24" w:rsidP="00CF4BA9">
            <w:pPr>
              <w:keepNext/>
            </w:pPr>
          </w:p>
        </w:tc>
      </w:tr>
      <w:tr w:rsidR="003C2A24" w:rsidRPr="009F1F6D" w14:paraId="4F1E26DA" w14:textId="77777777" w:rsidTr="00CF4BA9">
        <w:trPr>
          <w:jc w:val="center"/>
        </w:trPr>
        <w:tc>
          <w:tcPr>
            <w:tcW w:w="4876" w:type="dxa"/>
            <w:hideMark/>
          </w:tcPr>
          <w:p w14:paraId="43027D4E"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518DFC8A"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42B81A90" w14:textId="77777777" w:rsidTr="00CF4BA9">
        <w:trPr>
          <w:jc w:val="center"/>
        </w:trPr>
        <w:tc>
          <w:tcPr>
            <w:tcW w:w="4876" w:type="dxa"/>
            <w:hideMark/>
          </w:tcPr>
          <w:p w14:paraId="52C5688A" w14:textId="77777777" w:rsidR="003C2A24" w:rsidRPr="009F1F6D" w:rsidRDefault="003C2A24" w:rsidP="00CF4BA9">
            <w:pPr>
              <w:pStyle w:val="Normal6"/>
              <w:rPr>
                <w:lang w:val="es-ES_tradnl"/>
              </w:rPr>
            </w:pPr>
            <w:r w:rsidRPr="009F1F6D">
              <w:rPr>
                <w:lang w:val="es-ES_tradnl"/>
              </w:rPr>
              <w:t>(22)</w:t>
            </w:r>
            <w:r w:rsidRPr="009F1F6D">
              <w:rPr>
                <w:lang w:val="es-ES_tradnl"/>
              </w:rPr>
              <w:tab/>
            </w:r>
            <w:r w:rsidRPr="009F1F6D">
              <w:rPr>
                <w:b/>
                <w:i/>
                <w:lang w:val="es-ES_tradnl"/>
              </w:rPr>
              <w:t>Una</w:t>
            </w:r>
            <w:r w:rsidRPr="009F1F6D">
              <w:rPr>
                <w:lang w:val="es-ES_tradnl"/>
              </w:rPr>
              <w:t xml:space="preserve"> condición previa para conceder la ayuda macrofinanciera de la Unión debe ser que Egipto siga avanzando de forma concreta</w:t>
            </w:r>
            <w:r w:rsidRPr="009F1F6D">
              <w:rPr>
                <w:b/>
                <w:i/>
                <w:lang w:val="es-ES_tradnl"/>
              </w:rPr>
              <w:t xml:space="preserve"> y</w:t>
            </w:r>
            <w:r w:rsidRPr="009F1F6D">
              <w:rPr>
                <w:lang w:val="es-ES_tradnl"/>
              </w:rPr>
              <w:t xml:space="preserve"> creíble hacia el respeto de una serie de mecanismos democráticos eficaces (tales como un sistema parlamentario multipartidista) y el Estado de Derecho, y </w:t>
            </w:r>
            <w:r w:rsidRPr="009F1F6D">
              <w:rPr>
                <w:b/>
                <w:i/>
                <w:lang w:val="es-ES_tradnl"/>
              </w:rPr>
              <w:t>garantice el</w:t>
            </w:r>
            <w:r w:rsidRPr="009F1F6D">
              <w:rPr>
                <w:lang w:val="es-ES_tradnl"/>
              </w:rPr>
              <w:t xml:space="preserve"> respeto de los derechos humanos. Asimismo, la ayuda macrofinanciera de la Unión debe tener como objetivos específicos fortalecer la eficiencia, la transparencia y la rendición de cuentas de los sistemas de gestión de las finanzas públicas, la gobernanza y la supervisión del sector financiero en Egipto, y promover reformas estructurales en favor de un crecimiento duradero e integrador, la creación de empleo digno y el saneamiento presupuestario. La Comisión y el Servicio </w:t>
            </w:r>
            <w:r w:rsidRPr="009F1F6D">
              <w:rPr>
                <w:lang w:val="es-ES_tradnl"/>
              </w:rPr>
              <w:lastRenderedPageBreak/>
              <w:t>Europeo de Acción Exterior deben controlar periódicamente el cumplimiento de las condiciones previas y la consecución de esos objetivos específicos.</w:t>
            </w:r>
          </w:p>
        </w:tc>
        <w:tc>
          <w:tcPr>
            <w:tcW w:w="4876" w:type="dxa"/>
            <w:hideMark/>
          </w:tcPr>
          <w:p w14:paraId="7A484CD2" w14:textId="77777777" w:rsidR="003C2A24" w:rsidRPr="009F1F6D" w:rsidRDefault="003C2A24" w:rsidP="00CF4BA9">
            <w:pPr>
              <w:pStyle w:val="Normal6"/>
              <w:rPr>
                <w:szCs w:val="24"/>
                <w:lang w:val="es-ES_tradnl"/>
              </w:rPr>
            </w:pPr>
            <w:r w:rsidRPr="009F1F6D">
              <w:rPr>
                <w:lang w:val="es-ES_tradnl"/>
              </w:rPr>
              <w:lastRenderedPageBreak/>
              <w:t>(22)</w:t>
            </w:r>
            <w:r w:rsidRPr="009F1F6D">
              <w:rPr>
                <w:lang w:val="es-ES_tradnl"/>
              </w:rPr>
              <w:tab/>
            </w:r>
            <w:r w:rsidRPr="009F1F6D">
              <w:rPr>
                <w:b/>
                <w:i/>
                <w:lang w:val="es-ES_tradnl"/>
              </w:rPr>
              <w:t>La ayuda macrofinanciera debe seguir siendo un instrumento económico. Sin embargo, una</w:t>
            </w:r>
            <w:r w:rsidRPr="009F1F6D">
              <w:rPr>
                <w:lang w:val="es-ES_tradnl"/>
              </w:rPr>
              <w:t xml:space="preserve"> condición previa para conceder la ayuda macrofinanciera de la Unión debe ser que Egipto siga avanzando de forma concreta</w:t>
            </w:r>
            <w:r w:rsidRPr="009F1F6D">
              <w:rPr>
                <w:b/>
                <w:i/>
                <w:lang w:val="es-ES_tradnl"/>
              </w:rPr>
              <w:t>,</w:t>
            </w:r>
            <w:r w:rsidRPr="009F1F6D">
              <w:rPr>
                <w:lang w:val="es-ES_tradnl"/>
              </w:rPr>
              <w:t xml:space="preserve"> creíble</w:t>
            </w:r>
            <w:r w:rsidRPr="009F1F6D">
              <w:rPr>
                <w:b/>
                <w:i/>
                <w:lang w:val="es-ES_tradnl"/>
              </w:rPr>
              <w:t xml:space="preserve"> y tangible</w:t>
            </w:r>
            <w:r w:rsidRPr="009F1F6D">
              <w:rPr>
                <w:lang w:val="es-ES_tradnl"/>
              </w:rPr>
              <w:t xml:space="preserve"> hacia el respeto</w:t>
            </w:r>
            <w:r w:rsidRPr="009F1F6D">
              <w:rPr>
                <w:b/>
                <w:i/>
                <w:lang w:val="es-ES_tradnl"/>
              </w:rPr>
              <w:t xml:space="preserve"> y el refuerzo</w:t>
            </w:r>
            <w:r w:rsidRPr="009F1F6D">
              <w:rPr>
                <w:lang w:val="es-ES_tradnl"/>
              </w:rPr>
              <w:t xml:space="preserve"> de una serie de mecanismos democráticos eficaces (tales como un sistema parlamentario multipartidista) y el Estado de Derecho, y </w:t>
            </w:r>
            <w:r w:rsidRPr="009F1F6D">
              <w:rPr>
                <w:b/>
                <w:i/>
                <w:lang w:val="es-ES_tradnl"/>
              </w:rPr>
              <w:t>la garantía del</w:t>
            </w:r>
            <w:r w:rsidRPr="009F1F6D">
              <w:rPr>
                <w:lang w:val="es-ES_tradnl"/>
              </w:rPr>
              <w:t xml:space="preserve"> respeto de los derechos humanos. Asimismo, la ayuda macrofinanciera de la Unión debe tener como objetivos específicos fortalecer la eficiencia, la transparencia y la rendición de cuentas de los sistemas de gestión de las finanzas públicas, la gobernanza y la supervisión del sector financiero en Egipto, y promover reformas estructurales en favor </w:t>
            </w:r>
            <w:r w:rsidRPr="009F1F6D">
              <w:rPr>
                <w:lang w:val="es-ES_tradnl"/>
              </w:rPr>
              <w:lastRenderedPageBreak/>
              <w:t>de un crecimiento duradero e integrador, la creación de empleo digno y el saneamiento presupuestario. La Comisión y el Servicio Europeo de Acción Exterior deben controlar periódicamente el cumplimiento de las condiciones previas y la consecución de esos objetivos específicos.</w:t>
            </w:r>
          </w:p>
        </w:tc>
      </w:tr>
    </w:tbl>
    <w:p w14:paraId="2BDFCCF9" w14:textId="77777777" w:rsidR="003C2A24" w:rsidRPr="009F1F6D" w:rsidRDefault="003C2A24" w:rsidP="003C2A24"/>
    <w:p w14:paraId="43C72AF3" w14:textId="77777777" w:rsidR="003C2A24" w:rsidRPr="009F1F6D" w:rsidRDefault="003C2A24" w:rsidP="003C2A24">
      <w:pPr>
        <w:pStyle w:val="AMNumberTabs0"/>
        <w:keepNext/>
        <w:rPr>
          <w:lang w:val="es-ES_tradnl"/>
        </w:rPr>
      </w:pPr>
      <w:r w:rsidRPr="009F1F6D">
        <w:rPr>
          <w:lang w:val="es-ES_tradnl"/>
        </w:rPr>
        <w:t>Enmienda</w:t>
      </w:r>
      <w:r w:rsidRPr="009F1F6D">
        <w:rPr>
          <w:lang w:val="es-ES_tradnl"/>
        </w:rPr>
        <w:tab/>
      </w:r>
      <w:r w:rsidRPr="009F1F6D">
        <w:rPr>
          <w:lang w:val="es-ES_tradnl"/>
        </w:rPr>
        <w:tab/>
        <w:t>14</w:t>
      </w:r>
    </w:p>
    <w:p w14:paraId="4AC7727C" w14:textId="77777777" w:rsidR="003C2A24" w:rsidRPr="009F1F6D" w:rsidRDefault="003C2A24" w:rsidP="003C2A24">
      <w:pPr>
        <w:pStyle w:val="NormalBold12b"/>
        <w:keepNext/>
      </w:pPr>
      <w:r w:rsidRPr="009F1F6D">
        <w:t>Propuesta de Decisión</w:t>
      </w:r>
    </w:p>
    <w:p w14:paraId="607FE074" w14:textId="77777777" w:rsidR="003C2A24" w:rsidRPr="009F1F6D" w:rsidRDefault="003C2A24" w:rsidP="003C2A24">
      <w:pPr>
        <w:pStyle w:val="NormalBold"/>
      </w:pPr>
      <w:r w:rsidRPr="009F1F6D">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3F7A3510" w14:textId="77777777" w:rsidTr="00CF4BA9">
        <w:trPr>
          <w:jc w:val="center"/>
        </w:trPr>
        <w:tc>
          <w:tcPr>
            <w:tcW w:w="9752" w:type="dxa"/>
            <w:gridSpan w:val="2"/>
          </w:tcPr>
          <w:p w14:paraId="24D2A114" w14:textId="77777777" w:rsidR="003C2A24" w:rsidRPr="009F1F6D" w:rsidRDefault="003C2A24" w:rsidP="00CF4BA9">
            <w:pPr>
              <w:keepNext/>
            </w:pPr>
          </w:p>
        </w:tc>
      </w:tr>
      <w:tr w:rsidR="003C2A24" w:rsidRPr="009F1F6D" w14:paraId="34A0D8B5" w14:textId="77777777" w:rsidTr="00CF4BA9">
        <w:trPr>
          <w:jc w:val="center"/>
        </w:trPr>
        <w:tc>
          <w:tcPr>
            <w:tcW w:w="4876" w:type="dxa"/>
            <w:hideMark/>
          </w:tcPr>
          <w:p w14:paraId="4E527483"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4C4CAD4A"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7E035CC3" w14:textId="77777777" w:rsidTr="00CF4BA9">
        <w:trPr>
          <w:jc w:val="center"/>
        </w:trPr>
        <w:tc>
          <w:tcPr>
            <w:tcW w:w="4876" w:type="dxa"/>
            <w:hideMark/>
          </w:tcPr>
          <w:p w14:paraId="19A67604" w14:textId="77777777" w:rsidR="003C2A24" w:rsidRPr="009F1F6D" w:rsidRDefault="003C2A24" w:rsidP="00CF4BA9">
            <w:pPr>
              <w:pStyle w:val="Normal6"/>
              <w:rPr>
                <w:lang w:val="es-ES_tradnl"/>
              </w:rPr>
            </w:pPr>
            <w:r w:rsidRPr="009F1F6D">
              <w:rPr>
                <w:lang w:val="es-ES_tradnl"/>
              </w:rPr>
              <w:t>(23)</w:t>
            </w:r>
            <w:r w:rsidRPr="009F1F6D">
              <w:rPr>
                <w:lang w:val="es-ES_tradnl"/>
              </w:rPr>
              <w:tab/>
            </w:r>
            <w:r w:rsidRPr="009F1F6D">
              <w:rPr>
                <w:b/>
                <w:i/>
                <w:lang w:val="es-ES_tradnl"/>
              </w:rPr>
              <w:t>Con</w:t>
            </w:r>
            <w:r w:rsidRPr="009F1F6D">
              <w:rPr>
                <w:lang w:val="es-ES_tradnl"/>
              </w:rPr>
              <w:t xml:space="preserve"> objeto de garantizar una protección eficaz de los intereses financieros de la Unión asociados a su ayuda macrofinanciera, es necesario que Egipto adopte medidas que permitan prevenir y combatir el fraude, la corrupción y cualesquiera otras irregularidades en el marco de la presente ayuda. Además, un acuerdo de préstamo que se celebre entre la Comisión y las autoridades egipcias debe contener disposiciones que autoricen a la Oficina Europea de Lucha contra el Fraude (OLAF) a llevar a cabo investigaciones, incluidos controles e inspecciones </w:t>
            </w:r>
            <w:r w:rsidRPr="009F1F6D">
              <w:rPr>
                <w:i/>
                <w:iCs/>
                <w:lang w:val="es-ES_tradnl"/>
              </w:rPr>
              <w:t>in situ</w:t>
            </w:r>
            <w:r w:rsidRPr="009F1F6D">
              <w:rPr>
                <w:lang w:val="es-ES_tradnl"/>
              </w:rPr>
              <w:t>, de conformidad con las disposiciones y procedimientos establecidos en el Reglamento (UE, Euratom) n.º 883/2013 del Parlamento Europeo y del Consejo</w:t>
            </w:r>
            <w:r w:rsidRPr="009F1F6D">
              <w:rPr>
                <w:vertAlign w:val="superscript"/>
                <w:lang w:val="es-ES_tradnl"/>
              </w:rPr>
              <w:t>3</w:t>
            </w:r>
            <w:r w:rsidRPr="009F1F6D">
              <w:rPr>
                <w:lang w:val="es-ES_tradnl"/>
              </w:rPr>
              <w:t xml:space="preserve"> y en el Reglamento (Euratom, CE) n.º 2185/96 del Consejo</w:t>
            </w:r>
            <w:r w:rsidRPr="009F1F6D">
              <w:rPr>
                <w:vertAlign w:val="superscript"/>
                <w:lang w:val="es-ES_tradnl"/>
              </w:rPr>
              <w:t>4</w:t>
            </w:r>
            <w:r w:rsidRPr="009F1F6D">
              <w:rPr>
                <w:lang w:val="es-ES_tradnl"/>
              </w:rPr>
              <w:t>, así como a la Comisión y el Tribunal de Cuentas a llevar a cabo auditorías y a la Fiscalía Europea para ejercer sus competencias en relación con la concesión de ayuda macrofinanciera de la Unión durante y después de su período de disponibilidad.</w:t>
            </w:r>
          </w:p>
        </w:tc>
        <w:tc>
          <w:tcPr>
            <w:tcW w:w="4876" w:type="dxa"/>
            <w:hideMark/>
          </w:tcPr>
          <w:p w14:paraId="220A3E43" w14:textId="77777777" w:rsidR="003C2A24" w:rsidRPr="009F1F6D" w:rsidRDefault="003C2A24" w:rsidP="00CF4BA9">
            <w:pPr>
              <w:pStyle w:val="Normal6"/>
              <w:rPr>
                <w:szCs w:val="24"/>
                <w:lang w:val="es-ES_tradnl"/>
              </w:rPr>
            </w:pPr>
            <w:r w:rsidRPr="009F1F6D">
              <w:rPr>
                <w:lang w:val="es-ES_tradnl"/>
              </w:rPr>
              <w:t>(23)</w:t>
            </w:r>
            <w:r w:rsidRPr="009F1F6D">
              <w:rPr>
                <w:lang w:val="es-ES_tradnl"/>
              </w:rPr>
              <w:tab/>
            </w:r>
            <w:r w:rsidRPr="009F1F6D">
              <w:rPr>
                <w:b/>
                <w:i/>
                <w:lang w:val="es-ES_tradnl"/>
              </w:rPr>
              <w:t>Es esencial subrayar que Egipto debe cumplir la condición económica previa necesaria para poder optar a la ayuda. Egipto ha demostrado su solvencia y estabilidad financiera, que han sido verificadas por la Comisión. No obstante, con</w:t>
            </w:r>
            <w:r w:rsidRPr="009F1F6D">
              <w:rPr>
                <w:lang w:val="es-ES_tradnl"/>
              </w:rPr>
              <w:t xml:space="preserve"> objeto de garantizar una protección eficaz de los intereses financieros de la Unión asociados a su ayuda macrofinanciera, es necesario que Egipto adopte medidas que permitan prevenir y combatir el fraude, la corrupción y cualesquiera otras irregularidades en el marco de la presente ayuda. Además, un acuerdo de préstamo que se celebre entre la Comisión y las autoridades egipcias debe contener disposiciones que autoricen a la Oficina Europea de Lucha contra el Fraude (OLAF) a llevar a cabo investigaciones, incluidos controles e inspecciones </w:t>
            </w:r>
            <w:r w:rsidRPr="009F1F6D">
              <w:rPr>
                <w:i/>
                <w:iCs/>
                <w:lang w:val="es-ES_tradnl"/>
              </w:rPr>
              <w:t>in situ</w:t>
            </w:r>
            <w:r w:rsidRPr="009F1F6D">
              <w:rPr>
                <w:lang w:val="es-ES_tradnl"/>
              </w:rPr>
              <w:t>, de conformidad con las disposiciones y procedimientos establecidos en el Reglamento (UE, Euratom) n.º 883/2013 del Parlamento Europeo y del Consejo</w:t>
            </w:r>
            <w:r w:rsidRPr="009F1F6D">
              <w:rPr>
                <w:vertAlign w:val="superscript"/>
                <w:lang w:val="es-ES_tradnl"/>
              </w:rPr>
              <w:t>3</w:t>
            </w:r>
            <w:r w:rsidRPr="009F1F6D">
              <w:rPr>
                <w:lang w:val="es-ES_tradnl"/>
              </w:rPr>
              <w:t xml:space="preserve"> y en el Reglamento (Euratom, CE) n.º 2185/96 del Consejo</w:t>
            </w:r>
            <w:r w:rsidRPr="009F1F6D">
              <w:rPr>
                <w:vertAlign w:val="superscript"/>
                <w:lang w:val="es-ES_tradnl"/>
              </w:rPr>
              <w:t>4</w:t>
            </w:r>
            <w:r w:rsidRPr="009F1F6D">
              <w:rPr>
                <w:lang w:val="es-ES_tradnl"/>
              </w:rPr>
              <w:t>, así como a la Comisión y el Tribunal de Cuentas a llevar a cabo auditorías y a la Fiscalía Europea para ejercer sus competencias en relación con la concesión de ayuda macrofinanciera de la Unión durante y después de su período de disponibilidad.</w:t>
            </w:r>
          </w:p>
        </w:tc>
      </w:tr>
      <w:tr w:rsidR="003C2A24" w:rsidRPr="009F1F6D" w14:paraId="54C30A13" w14:textId="77777777" w:rsidTr="00CF4BA9">
        <w:trPr>
          <w:jc w:val="center"/>
        </w:trPr>
        <w:tc>
          <w:tcPr>
            <w:tcW w:w="4876" w:type="dxa"/>
            <w:hideMark/>
          </w:tcPr>
          <w:p w14:paraId="620AAF88" w14:textId="77777777" w:rsidR="003C2A24" w:rsidRPr="009F1F6D" w:rsidRDefault="003C2A24" w:rsidP="00CF4BA9">
            <w:pPr>
              <w:pStyle w:val="Normal6"/>
              <w:rPr>
                <w:lang w:val="es-ES_tradnl"/>
              </w:rPr>
            </w:pPr>
            <w:r w:rsidRPr="009F1F6D">
              <w:rPr>
                <w:lang w:val="es-ES_tradnl"/>
              </w:rPr>
              <w:t>__________________</w:t>
            </w:r>
          </w:p>
        </w:tc>
        <w:tc>
          <w:tcPr>
            <w:tcW w:w="4876" w:type="dxa"/>
            <w:hideMark/>
          </w:tcPr>
          <w:p w14:paraId="4EFCD6A3" w14:textId="77777777" w:rsidR="003C2A24" w:rsidRPr="009F1F6D" w:rsidRDefault="003C2A24" w:rsidP="00CF4BA9">
            <w:pPr>
              <w:pStyle w:val="Normal6"/>
              <w:rPr>
                <w:szCs w:val="24"/>
                <w:lang w:val="es-ES_tradnl"/>
              </w:rPr>
            </w:pPr>
            <w:r w:rsidRPr="009F1F6D">
              <w:rPr>
                <w:lang w:val="es-ES_tradnl"/>
              </w:rPr>
              <w:t>__________________</w:t>
            </w:r>
          </w:p>
        </w:tc>
      </w:tr>
      <w:tr w:rsidR="003C2A24" w:rsidRPr="009F1F6D" w14:paraId="09724276" w14:textId="77777777" w:rsidTr="00CF4BA9">
        <w:trPr>
          <w:jc w:val="center"/>
        </w:trPr>
        <w:tc>
          <w:tcPr>
            <w:tcW w:w="4876" w:type="dxa"/>
            <w:hideMark/>
          </w:tcPr>
          <w:p w14:paraId="59665317" w14:textId="77777777" w:rsidR="003C2A24" w:rsidRPr="009F1F6D" w:rsidRDefault="003C2A24" w:rsidP="00CF4BA9">
            <w:pPr>
              <w:pStyle w:val="Normal6"/>
              <w:rPr>
                <w:lang w:val="es-ES_tradnl"/>
              </w:rPr>
            </w:pPr>
            <w:r w:rsidRPr="009F1F6D">
              <w:rPr>
                <w:vertAlign w:val="superscript"/>
                <w:lang w:val="es-ES_tradnl"/>
              </w:rPr>
              <w:lastRenderedPageBreak/>
              <w:t>3</w:t>
            </w:r>
            <w:r w:rsidRPr="009F1F6D">
              <w:rPr>
                <w:lang w:val="es-ES_tradnl"/>
              </w:rPr>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c>
          <w:tcPr>
            <w:tcW w:w="4876" w:type="dxa"/>
            <w:hideMark/>
          </w:tcPr>
          <w:p w14:paraId="458E918A" w14:textId="77777777" w:rsidR="003C2A24" w:rsidRPr="009F1F6D" w:rsidRDefault="003C2A24" w:rsidP="00CF4BA9">
            <w:pPr>
              <w:pStyle w:val="Normal6"/>
              <w:rPr>
                <w:szCs w:val="24"/>
                <w:lang w:val="es-ES_tradnl"/>
              </w:rPr>
            </w:pPr>
            <w:r w:rsidRPr="009F1F6D">
              <w:rPr>
                <w:vertAlign w:val="superscript"/>
                <w:lang w:val="es-ES_tradnl"/>
              </w:rPr>
              <w:t>3</w:t>
            </w:r>
            <w:r w:rsidRPr="009F1F6D">
              <w:rPr>
                <w:lang w:val="es-ES_tradnl"/>
              </w:rPr>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tc>
      </w:tr>
      <w:tr w:rsidR="003C2A24" w:rsidRPr="009F1F6D" w14:paraId="65AE3109" w14:textId="77777777" w:rsidTr="00CF4BA9">
        <w:trPr>
          <w:jc w:val="center"/>
        </w:trPr>
        <w:tc>
          <w:tcPr>
            <w:tcW w:w="4876" w:type="dxa"/>
            <w:hideMark/>
          </w:tcPr>
          <w:p w14:paraId="7F6C6ED9" w14:textId="77777777" w:rsidR="003C2A24" w:rsidRPr="009F1F6D" w:rsidRDefault="003C2A24" w:rsidP="00CF4BA9">
            <w:pPr>
              <w:pStyle w:val="Normal6"/>
              <w:rPr>
                <w:lang w:val="es-ES_tradnl"/>
              </w:rPr>
            </w:pPr>
            <w:r w:rsidRPr="009F1F6D">
              <w:rPr>
                <w:vertAlign w:val="superscript"/>
                <w:lang w:val="es-ES_tradnl"/>
              </w:rPr>
              <w:t>4</w:t>
            </w:r>
            <w:r w:rsidRPr="009F1F6D">
              <w:rPr>
                <w:lang w:val="es-ES_tradnl"/>
              </w:rPr>
              <w:t xml:space="preserve"> Reglamento (Euratom, CE) n.º 2185/96 del Consejo, de 11 de noviembre de 1996, relativo a los controles y verificaciones </w:t>
            </w:r>
            <w:r w:rsidRPr="009F1F6D">
              <w:rPr>
                <w:i/>
                <w:iCs/>
                <w:lang w:val="es-ES_tradnl"/>
              </w:rPr>
              <w:t>in situ</w:t>
            </w:r>
            <w:r w:rsidRPr="009F1F6D">
              <w:rPr>
                <w:lang w:val="es-ES_tradnl"/>
              </w:rPr>
              <w:t xml:space="preserve"> que realiza la Comisión para la protección de los intereses financieros de las Comunidades Europeas contra los fraudes e irregularidades (DO L 292 de 15.11.1996, p. 2).</w:t>
            </w:r>
          </w:p>
        </w:tc>
        <w:tc>
          <w:tcPr>
            <w:tcW w:w="4876" w:type="dxa"/>
            <w:hideMark/>
          </w:tcPr>
          <w:p w14:paraId="7DE56DB2" w14:textId="77777777" w:rsidR="003C2A24" w:rsidRPr="009F1F6D" w:rsidRDefault="003C2A24" w:rsidP="00CF4BA9">
            <w:pPr>
              <w:pStyle w:val="Normal6"/>
              <w:rPr>
                <w:szCs w:val="24"/>
                <w:lang w:val="es-ES_tradnl"/>
              </w:rPr>
            </w:pPr>
            <w:r w:rsidRPr="009F1F6D">
              <w:rPr>
                <w:vertAlign w:val="superscript"/>
                <w:lang w:val="es-ES_tradnl"/>
              </w:rPr>
              <w:t>4</w:t>
            </w:r>
            <w:r w:rsidRPr="009F1F6D">
              <w:rPr>
                <w:lang w:val="es-ES_tradnl"/>
              </w:rPr>
              <w:t xml:space="preserve"> Reglamento (Euratom, CE) n.º 2185/96 del Consejo, de 11 de noviembre de 1996, relativo a los controles y verificaciones </w:t>
            </w:r>
            <w:r w:rsidRPr="009F1F6D">
              <w:rPr>
                <w:i/>
                <w:iCs/>
                <w:lang w:val="es-ES_tradnl"/>
              </w:rPr>
              <w:t>in situ</w:t>
            </w:r>
            <w:r w:rsidRPr="009F1F6D">
              <w:rPr>
                <w:lang w:val="es-ES_tradnl"/>
              </w:rPr>
              <w:t xml:space="preserve"> que realiza la Comisión para la protección de los intereses financieros de las Comunidades Europeas contra los fraudes e irregularidades (DO L 292 de 15.11.1996, p. 2).</w:t>
            </w:r>
          </w:p>
        </w:tc>
      </w:tr>
    </w:tbl>
    <w:p w14:paraId="669C0B59" w14:textId="77777777" w:rsidR="003C2A24" w:rsidRPr="009F1F6D" w:rsidRDefault="003C2A24" w:rsidP="003C2A24"/>
    <w:p w14:paraId="0B6C3073" w14:textId="77777777" w:rsidR="003C2A24" w:rsidRPr="009F1F6D" w:rsidRDefault="003C2A24" w:rsidP="003C2A24">
      <w:pPr>
        <w:pStyle w:val="AmNumberTabs"/>
      </w:pPr>
      <w:r w:rsidRPr="009F1F6D">
        <w:t>Enmienda</w:t>
      </w:r>
      <w:r w:rsidRPr="009F1F6D">
        <w:tab/>
      </w:r>
      <w:r w:rsidRPr="009F1F6D">
        <w:tab/>
        <w:t>15</w:t>
      </w:r>
    </w:p>
    <w:p w14:paraId="508B5A75" w14:textId="77777777" w:rsidR="003C2A24" w:rsidRPr="009F1F6D" w:rsidRDefault="003C2A24" w:rsidP="003C2A24"/>
    <w:p w14:paraId="0D1A1A91" w14:textId="77777777" w:rsidR="003C2A24" w:rsidRPr="009F1F6D" w:rsidRDefault="003C2A24" w:rsidP="003C2A24">
      <w:pPr>
        <w:pStyle w:val="NormalBold"/>
        <w:keepNext/>
      </w:pPr>
      <w:r w:rsidRPr="009F1F6D">
        <w:t>Propuesta de Decisión</w:t>
      </w:r>
    </w:p>
    <w:p w14:paraId="3D79DAE8" w14:textId="77777777" w:rsidR="003C2A24" w:rsidRPr="009F1F6D" w:rsidRDefault="003C2A24" w:rsidP="003C2A24">
      <w:pPr>
        <w:pStyle w:val="NormalBold"/>
      </w:pPr>
      <w:r w:rsidRPr="009F1F6D">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2A24" w:rsidRPr="009F1F6D" w14:paraId="6DDA6225" w14:textId="77777777" w:rsidTr="00CF4BA9">
        <w:trPr>
          <w:jc w:val="center"/>
        </w:trPr>
        <w:tc>
          <w:tcPr>
            <w:tcW w:w="9752" w:type="dxa"/>
            <w:gridSpan w:val="2"/>
          </w:tcPr>
          <w:p w14:paraId="06CFD2E5" w14:textId="77777777" w:rsidR="003C2A24" w:rsidRPr="009F1F6D" w:rsidRDefault="003C2A24" w:rsidP="00CF4BA9">
            <w:pPr>
              <w:keepNext/>
            </w:pPr>
          </w:p>
        </w:tc>
      </w:tr>
      <w:tr w:rsidR="003C2A24" w:rsidRPr="009F1F6D" w14:paraId="3D5E917A" w14:textId="77777777" w:rsidTr="00CF4BA9">
        <w:trPr>
          <w:jc w:val="center"/>
        </w:trPr>
        <w:tc>
          <w:tcPr>
            <w:tcW w:w="4876" w:type="dxa"/>
          </w:tcPr>
          <w:p w14:paraId="6DF4262A"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tcPr>
          <w:p w14:paraId="4A691BDC"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7A87CE1E" w14:textId="77777777" w:rsidTr="00CF4BA9">
        <w:trPr>
          <w:jc w:val="center"/>
        </w:trPr>
        <w:tc>
          <w:tcPr>
            <w:tcW w:w="4876" w:type="dxa"/>
          </w:tcPr>
          <w:p w14:paraId="6FFFC4E4" w14:textId="77777777" w:rsidR="003C2A24" w:rsidRPr="009F1F6D" w:rsidRDefault="003C2A24" w:rsidP="00CF4BA9">
            <w:pPr>
              <w:pStyle w:val="Normal6"/>
              <w:rPr>
                <w:lang w:val="es-ES_tradnl"/>
              </w:rPr>
            </w:pPr>
            <w:r w:rsidRPr="009F1F6D">
              <w:rPr>
                <w:lang w:val="es-ES_tradnl"/>
              </w:rPr>
              <w:t>(26)</w:t>
            </w:r>
            <w:r w:rsidRPr="009F1F6D">
              <w:rPr>
                <w:lang w:val="es-ES_tradnl"/>
              </w:rPr>
              <w:tab/>
              <w:t xml:space="preserve">La ayuda macrofinanciera de la Unión debe ser gestionada por la Comisión. Con objeto de garantizar que el Parlamento Europeo y el Consejo estén en condiciones de seguir la aplicación de la presente Decisión, la Comisión debe </w:t>
            </w:r>
            <w:r w:rsidRPr="009F1F6D">
              <w:rPr>
                <w:b/>
                <w:i/>
                <w:lang w:val="es-ES_tradnl"/>
              </w:rPr>
              <w:t>informares</w:t>
            </w:r>
            <w:r w:rsidRPr="009F1F6D">
              <w:rPr>
                <w:lang w:val="es-ES_tradnl"/>
              </w:rPr>
              <w:t xml:space="preserve"> regularmente de la evolución de la ayuda y facilitarles los documentos pertinentes.</w:t>
            </w:r>
          </w:p>
        </w:tc>
        <w:tc>
          <w:tcPr>
            <w:tcW w:w="4876" w:type="dxa"/>
          </w:tcPr>
          <w:p w14:paraId="42315B49" w14:textId="77777777" w:rsidR="003C2A24" w:rsidRPr="009F1F6D" w:rsidRDefault="003C2A24" w:rsidP="00CF4BA9">
            <w:pPr>
              <w:pStyle w:val="Normal6"/>
              <w:rPr>
                <w:szCs w:val="24"/>
                <w:lang w:val="es-ES_tradnl"/>
              </w:rPr>
            </w:pPr>
            <w:r w:rsidRPr="009F1F6D">
              <w:rPr>
                <w:lang w:val="es-ES_tradnl"/>
              </w:rPr>
              <w:t>(26)</w:t>
            </w:r>
            <w:r w:rsidRPr="009F1F6D">
              <w:rPr>
                <w:lang w:val="es-ES_tradnl"/>
              </w:rPr>
              <w:tab/>
              <w:t xml:space="preserve">La ayuda macrofinanciera de la Unión debe ser gestionada por la Comisión. Con objeto de garantizar que el Parlamento Europeo y el Consejo estén en condiciones de seguir la aplicación de la presente Decisión, la Comisión debe </w:t>
            </w:r>
            <w:r w:rsidRPr="009F1F6D">
              <w:rPr>
                <w:b/>
                <w:i/>
                <w:lang w:val="es-ES_tradnl"/>
              </w:rPr>
              <w:t>informarles</w:t>
            </w:r>
            <w:r w:rsidRPr="009F1F6D">
              <w:rPr>
                <w:lang w:val="es-ES_tradnl"/>
              </w:rPr>
              <w:t xml:space="preserve"> regularmente</w:t>
            </w:r>
            <w:r w:rsidRPr="009F1F6D">
              <w:rPr>
                <w:b/>
                <w:i/>
                <w:lang w:val="es-ES_tradnl"/>
              </w:rPr>
              <w:t>, mediante un informe anual,</w:t>
            </w:r>
            <w:r w:rsidRPr="009F1F6D">
              <w:rPr>
                <w:lang w:val="es-ES_tradnl"/>
              </w:rPr>
              <w:t xml:space="preserve"> de la evolución de la ayuda</w:t>
            </w:r>
            <w:r w:rsidRPr="009F1F6D">
              <w:rPr>
                <w:b/>
                <w:i/>
                <w:lang w:val="es-ES_tradnl"/>
              </w:rPr>
              <w:t xml:space="preserve"> y sobre el respeto de unos mecanismos democráticos eficaces, según las condiciones previas a que se hace referencia en la presente Decisión,</w:t>
            </w:r>
            <w:r w:rsidRPr="009F1F6D">
              <w:rPr>
                <w:lang w:val="es-ES_tradnl"/>
              </w:rPr>
              <w:t xml:space="preserve"> y facilitarles los documentos pertinentes.</w:t>
            </w:r>
          </w:p>
        </w:tc>
      </w:tr>
    </w:tbl>
    <w:p w14:paraId="46FB437E" w14:textId="77777777" w:rsidR="003C2A24" w:rsidRPr="009F1F6D" w:rsidRDefault="003C2A24" w:rsidP="003C2A24"/>
    <w:p w14:paraId="30591683" w14:textId="77777777" w:rsidR="003C2A24" w:rsidRPr="009F1F6D" w:rsidRDefault="003C2A24" w:rsidP="003C2A24">
      <w:pPr>
        <w:pStyle w:val="AmNumberTabs"/>
      </w:pPr>
      <w:r w:rsidRPr="009F1F6D">
        <w:t>Enmienda</w:t>
      </w:r>
      <w:r w:rsidR="00F43D41" w:rsidRPr="009F1F6D">
        <w:t>s</w:t>
      </w:r>
      <w:r w:rsidRPr="009F1F6D">
        <w:tab/>
      </w:r>
      <w:r w:rsidRPr="009F1F6D">
        <w:tab/>
        <w:t>16</w:t>
      </w:r>
      <w:r w:rsidR="00F43D41" w:rsidRPr="009F1F6D">
        <w:t xml:space="preserve"> y 42</w:t>
      </w:r>
    </w:p>
    <w:p w14:paraId="64C15BFB" w14:textId="77777777" w:rsidR="003C2A24" w:rsidRPr="009F1F6D" w:rsidRDefault="003C2A24" w:rsidP="003C2A24"/>
    <w:p w14:paraId="68F29575" w14:textId="77777777" w:rsidR="003C2A24" w:rsidRPr="009F1F6D" w:rsidRDefault="003C2A24" w:rsidP="003C2A24">
      <w:pPr>
        <w:pStyle w:val="NormalBold"/>
        <w:keepNext/>
      </w:pPr>
      <w:r w:rsidRPr="009F1F6D">
        <w:t>Propuesta de Decisión</w:t>
      </w:r>
    </w:p>
    <w:p w14:paraId="3D5C8B36" w14:textId="77777777" w:rsidR="003C2A24" w:rsidRPr="009F1F6D" w:rsidRDefault="003C2A24" w:rsidP="003C2A24">
      <w:pPr>
        <w:pStyle w:val="NormalBold"/>
      </w:pPr>
      <w:r w:rsidRPr="009F1F6D">
        <w:t>Considerando 28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41F9137D" w14:textId="77777777" w:rsidTr="00EA52BA">
        <w:trPr>
          <w:jc w:val="center"/>
        </w:trPr>
        <w:tc>
          <w:tcPr>
            <w:tcW w:w="9752" w:type="dxa"/>
            <w:gridSpan w:val="2"/>
          </w:tcPr>
          <w:p w14:paraId="22556B10" w14:textId="77777777" w:rsidR="003C2A24" w:rsidRPr="009F1F6D" w:rsidRDefault="003C2A24" w:rsidP="00CF4BA9">
            <w:pPr>
              <w:keepNext/>
            </w:pPr>
          </w:p>
        </w:tc>
      </w:tr>
      <w:tr w:rsidR="003C2A24" w:rsidRPr="009F1F6D" w14:paraId="6C379EA6" w14:textId="77777777" w:rsidTr="00EA52BA">
        <w:trPr>
          <w:jc w:val="center"/>
        </w:trPr>
        <w:tc>
          <w:tcPr>
            <w:tcW w:w="4876" w:type="dxa"/>
            <w:hideMark/>
          </w:tcPr>
          <w:p w14:paraId="0B6D719D"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00AC474A"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65788B9F" w14:textId="77777777" w:rsidTr="00EA52BA">
        <w:trPr>
          <w:jc w:val="center"/>
        </w:trPr>
        <w:tc>
          <w:tcPr>
            <w:tcW w:w="4876" w:type="dxa"/>
            <w:hideMark/>
          </w:tcPr>
          <w:p w14:paraId="2CCE2C0F" w14:textId="77777777" w:rsidR="003C2A24" w:rsidRPr="009F1F6D" w:rsidRDefault="003C2A24" w:rsidP="00CF4BA9">
            <w:pPr>
              <w:pStyle w:val="Normal6"/>
              <w:rPr>
                <w:lang w:val="es-ES_tradnl"/>
              </w:rPr>
            </w:pPr>
            <w:r w:rsidRPr="009F1F6D">
              <w:rPr>
                <w:lang w:val="es-ES_tradnl"/>
              </w:rPr>
              <w:t>(28)</w:t>
            </w:r>
            <w:r w:rsidRPr="009F1F6D">
              <w:rPr>
                <w:lang w:val="es-ES_tradnl"/>
              </w:rPr>
              <w:tab/>
              <w:t xml:space="preserve">La ayuda macrofinanciera de la Unión debe supeditarse </w:t>
            </w:r>
            <w:r w:rsidRPr="009F1F6D">
              <w:rPr>
                <w:b/>
                <w:i/>
                <w:lang w:val="es-ES_tradnl"/>
              </w:rPr>
              <w:t>al cumplimiento de determinadas condiciones</w:t>
            </w:r>
            <w:r w:rsidRPr="009F1F6D">
              <w:rPr>
                <w:lang w:val="es-ES_tradnl"/>
              </w:rPr>
              <w:t xml:space="preserve"> de política económica, que se establecerán en un Memorando de Acuerdo. A fin de garantizar condiciones uniformes de aplicación y por motivos de eficiencia, debe facultarse a la Comisión para negociar tales condiciones con las autoridades egipcias bajo la supervisión del comité de representantes de los Estados miembros de conformidad con el Reglamento (UE) n.º 182/2011. Según lo dispuesto en dicho Reglamento, en todos aquellos casos que difieran de los previstos en él, debe aplicarse, como norma general, el procedimiento consultivo. Considerando que una ayuda superior a 90 millones EUR puede tener efectos importantes, conviene utilizar el procedimiento de examen para operaciones superiores a dicho umbral. Considerando el importe de la ayuda macrofinanciera a Egipto, el procedimiento de examen ha de aplicarse a la adopción del Memorando de Acuerdo y a cualquier reducción, suspensión o cancelación de la ayuda.</w:t>
            </w:r>
          </w:p>
        </w:tc>
        <w:tc>
          <w:tcPr>
            <w:tcW w:w="4876" w:type="dxa"/>
            <w:hideMark/>
          </w:tcPr>
          <w:p w14:paraId="7C7D1416" w14:textId="77777777" w:rsidR="003C2A24" w:rsidRPr="009F1F6D" w:rsidRDefault="003C2A24" w:rsidP="00CF4BA9">
            <w:pPr>
              <w:pStyle w:val="Normal6"/>
              <w:rPr>
                <w:szCs w:val="24"/>
                <w:lang w:val="es-ES_tradnl"/>
              </w:rPr>
            </w:pPr>
            <w:r w:rsidRPr="009F1F6D">
              <w:rPr>
                <w:lang w:val="es-ES_tradnl"/>
              </w:rPr>
              <w:t>(28)</w:t>
            </w:r>
            <w:r w:rsidRPr="009F1F6D">
              <w:rPr>
                <w:lang w:val="es-ES_tradnl"/>
              </w:rPr>
              <w:tab/>
              <w:t xml:space="preserve">La ayuda macrofinanciera de la Unión debe supeditarse </w:t>
            </w:r>
            <w:r w:rsidRPr="009F1F6D">
              <w:rPr>
                <w:b/>
                <w:i/>
                <w:lang w:val="es-ES_tradnl"/>
              </w:rPr>
              <w:t>a la adopción de reformas</w:t>
            </w:r>
            <w:r w:rsidRPr="009F1F6D">
              <w:rPr>
                <w:lang w:val="es-ES_tradnl"/>
              </w:rPr>
              <w:t xml:space="preserve"> de política económica</w:t>
            </w:r>
            <w:r w:rsidRPr="009F1F6D">
              <w:rPr>
                <w:b/>
                <w:i/>
                <w:lang w:val="es-ES_tradnl"/>
              </w:rPr>
              <w:t xml:space="preserve"> sostenible</w:t>
            </w:r>
            <w:r w:rsidR="00F43D41" w:rsidRPr="009F1F6D">
              <w:rPr>
                <w:b/>
                <w:i/>
                <w:lang w:val="es-ES_tradnl"/>
              </w:rPr>
              <w:t xml:space="preserve"> </w:t>
            </w:r>
            <w:r w:rsidR="00F43D41" w:rsidRPr="009F1F6D">
              <w:rPr>
                <w:b/>
                <w:i/>
              </w:rPr>
              <w:t>y a condiciones de democracia, Estado de Derecho y derechos humanos</w:t>
            </w:r>
            <w:r w:rsidRPr="009F1F6D">
              <w:rPr>
                <w:lang w:val="es-ES_tradnl"/>
              </w:rPr>
              <w:t>, que se establecerán en un Memorando de Acuerdo. A fin de garantizar condiciones uniformes de aplicación y por motivos de eficiencia, debe facultarse a la Comisión para negociar tales condiciones con las autoridades egipcias bajo la supervisión del comité de representantes de los Estados miembros de conformidad con el Reglamento (UE) n.º 182/2011. Según lo dispuesto en dicho Reglamento, en todos aquellos casos que difieran de los previstos en él, debe aplicarse, como norma general, el procedimiento consultivo. Considerando que una ayuda superior a 90 millones EUR puede tener efectos importantes, conviene utilizar el procedimiento de examen para operaciones superiores a dicho umbral. Considerando el importe de la ayuda macrofinanciera a Egipto, el procedimiento de examen ha de aplicarse a la adopción del Memorando de Acuerdo y a cualquier reducción, suspensión o cancelación de la ayuda.</w:t>
            </w:r>
          </w:p>
        </w:tc>
      </w:tr>
    </w:tbl>
    <w:p w14:paraId="5C9147E0" w14:textId="77777777" w:rsidR="003C2A24" w:rsidRPr="009F1F6D" w:rsidRDefault="003C2A24" w:rsidP="00EA52BA"/>
    <w:p w14:paraId="4C7F328B" w14:textId="77777777" w:rsidR="003C2A24" w:rsidRPr="009F1F6D" w:rsidRDefault="003C2A24" w:rsidP="003C2A24">
      <w:pPr>
        <w:pStyle w:val="AmNumberTabs"/>
      </w:pPr>
      <w:r w:rsidRPr="009F1F6D">
        <w:t>Enmienda</w:t>
      </w:r>
      <w:r w:rsidRPr="009F1F6D">
        <w:tab/>
      </w:r>
      <w:r w:rsidRPr="009F1F6D">
        <w:tab/>
        <w:t>17</w:t>
      </w:r>
    </w:p>
    <w:p w14:paraId="46C2D3FD" w14:textId="77777777" w:rsidR="003C2A24" w:rsidRPr="009F1F6D" w:rsidRDefault="003C2A24" w:rsidP="003C2A24"/>
    <w:p w14:paraId="3B4B746A" w14:textId="77777777" w:rsidR="003C2A24" w:rsidRPr="009F1F6D" w:rsidRDefault="003C2A24" w:rsidP="003C2A24">
      <w:pPr>
        <w:pStyle w:val="NormalBold"/>
        <w:keepNext/>
      </w:pPr>
      <w:r w:rsidRPr="009F1F6D">
        <w:t>Propuesta de Decisión</w:t>
      </w:r>
    </w:p>
    <w:p w14:paraId="58BDE8BD" w14:textId="77777777" w:rsidR="003C2A24" w:rsidRPr="009F1F6D" w:rsidRDefault="003C2A24" w:rsidP="003C2A24">
      <w:pPr>
        <w:pStyle w:val="NormalBold"/>
      </w:pPr>
      <w:r w:rsidRPr="009F1F6D">
        <w:t>Artículo 1 – apartado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0FC0BB83" w14:textId="77777777" w:rsidTr="00EA52BA">
        <w:trPr>
          <w:jc w:val="center"/>
        </w:trPr>
        <w:tc>
          <w:tcPr>
            <w:tcW w:w="9752" w:type="dxa"/>
            <w:gridSpan w:val="2"/>
          </w:tcPr>
          <w:p w14:paraId="08967986" w14:textId="77777777" w:rsidR="003C2A24" w:rsidRPr="009F1F6D" w:rsidRDefault="003C2A24" w:rsidP="00CF4BA9">
            <w:pPr>
              <w:keepNext/>
            </w:pPr>
          </w:p>
        </w:tc>
      </w:tr>
      <w:tr w:rsidR="003C2A24" w:rsidRPr="009F1F6D" w14:paraId="382148FF" w14:textId="77777777" w:rsidTr="00EA52BA">
        <w:trPr>
          <w:jc w:val="center"/>
        </w:trPr>
        <w:tc>
          <w:tcPr>
            <w:tcW w:w="4876" w:type="dxa"/>
            <w:hideMark/>
          </w:tcPr>
          <w:p w14:paraId="6FE63C0C"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6E9A7FAF"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52E837FF" w14:textId="77777777" w:rsidTr="00EA52BA">
        <w:trPr>
          <w:jc w:val="center"/>
        </w:trPr>
        <w:tc>
          <w:tcPr>
            <w:tcW w:w="4876" w:type="dxa"/>
            <w:hideMark/>
          </w:tcPr>
          <w:p w14:paraId="6FFA322E" w14:textId="77777777" w:rsidR="003C2A24" w:rsidRPr="009F1F6D" w:rsidRDefault="003C2A24" w:rsidP="00CF4BA9">
            <w:pPr>
              <w:pStyle w:val="Normal6"/>
              <w:rPr>
                <w:lang w:val="es-ES_tradnl"/>
              </w:rPr>
            </w:pPr>
            <w:r w:rsidRPr="009F1F6D">
              <w:rPr>
                <w:lang w:val="es-ES_tradnl"/>
              </w:rPr>
              <w:t>1.</w:t>
            </w:r>
            <w:r w:rsidRPr="009F1F6D">
              <w:rPr>
                <w:lang w:val="es-ES_tradnl"/>
              </w:rPr>
              <w:tab/>
              <w:t xml:space="preserve">La Unión pondrá a disposición de Egipto una ayuda macrofinanciera de un importe máximo de 4 000 millones EUR (en lo sucesivo, «ayuda macrofinanciera de la Unión»), con vistas a respaldar la estabilización </w:t>
            </w:r>
            <w:r w:rsidRPr="009F1F6D">
              <w:rPr>
                <w:b/>
                <w:i/>
                <w:lang w:val="es-ES_tradnl"/>
              </w:rPr>
              <w:t>de la economía egipcia</w:t>
            </w:r>
            <w:r w:rsidRPr="009F1F6D">
              <w:rPr>
                <w:lang w:val="es-ES_tradnl"/>
              </w:rPr>
              <w:t xml:space="preserve"> y un importante programa de reformas. El desembolso de la ayuda macrofinanciera de la Unión se supeditará a la aprobación del presupuesto de la Unión para el año </w:t>
            </w:r>
            <w:r w:rsidRPr="009F1F6D">
              <w:rPr>
                <w:lang w:val="es-ES_tradnl"/>
              </w:rPr>
              <w:lastRenderedPageBreak/>
              <w:t>correspondiente por parte del Parlamento Europeo y del Consejo. La ayuda contribuirá a cubrir las necesidades de la balanza de pagos de Egipto determinadas en el programa del FMI.</w:t>
            </w:r>
          </w:p>
        </w:tc>
        <w:tc>
          <w:tcPr>
            <w:tcW w:w="4876" w:type="dxa"/>
            <w:hideMark/>
          </w:tcPr>
          <w:p w14:paraId="6C63FCDA" w14:textId="77777777" w:rsidR="003C2A24" w:rsidRPr="009F1F6D" w:rsidRDefault="003C2A24" w:rsidP="00CF4BA9">
            <w:pPr>
              <w:pStyle w:val="Normal6"/>
              <w:rPr>
                <w:szCs w:val="24"/>
                <w:lang w:val="es-ES_tradnl"/>
              </w:rPr>
            </w:pPr>
            <w:r w:rsidRPr="009F1F6D">
              <w:rPr>
                <w:lang w:val="es-ES_tradnl"/>
              </w:rPr>
              <w:lastRenderedPageBreak/>
              <w:t>1.</w:t>
            </w:r>
            <w:r w:rsidRPr="009F1F6D">
              <w:rPr>
                <w:lang w:val="es-ES_tradnl"/>
              </w:rPr>
              <w:tab/>
              <w:t xml:space="preserve">La Unión pondrá a disposición de Egipto una ayuda macrofinanciera </w:t>
            </w:r>
            <w:r w:rsidRPr="009F1F6D">
              <w:rPr>
                <w:b/>
                <w:i/>
                <w:lang w:val="es-ES_tradnl"/>
              </w:rPr>
              <w:t xml:space="preserve">en forma de préstamos en condiciones favorables </w:t>
            </w:r>
            <w:r w:rsidRPr="009F1F6D">
              <w:rPr>
                <w:lang w:val="es-ES_tradnl"/>
              </w:rPr>
              <w:t xml:space="preserve">de un importe máximo de 4 000 millones EUR (en lo sucesivo, «ayuda macrofinanciera de la Unión»), con vistas a respaldar la estabilización </w:t>
            </w:r>
            <w:r w:rsidRPr="009F1F6D">
              <w:rPr>
                <w:b/>
                <w:i/>
                <w:lang w:val="es-ES_tradnl"/>
              </w:rPr>
              <w:t>socioeconómica del país</w:t>
            </w:r>
            <w:r w:rsidRPr="009F1F6D">
              <w:rPr>
                <w:lang w:val="es-ES_tradnl"/>
              </w:rPr>
              <w:t xml:space="preserve"> y un importante programa de reformas</w:t>
            </w:r>
            <w:r w:rsidRPr="009F1F6D">
              <w:rPr>
                <w:b/>
                <w:i/>
                <w:lang w:val="es-ES_tradnl"/>
              </w:rPr>
              <w:t xml:space="preserve"> estructurales, así como su responsabilidad de mitigar los </w:t>
            </w:r>
            <w:r w:rsidRPr="009F1F6D">
              <w:rPr>
                <w:b/>
                <w:i/>
                <w:lang w:val="es-ES_tradnl"/>
              </w:rPr>
              <w:lastRenderedPageBreak/>
              <w:t>efectos de la migración irregular y gestionar los flujos migratorios</w:t>
            </w:r>
            <w:r w:rsidRPr="009F1F6D">
              <w:rPr>
                <w:lang w:val="es-ES_tradnl"/>
              </w:rPr>
              <w:t>. El desembolso de la ayuda macrofinanciera de la Unión se supeditará a la aprobación del presupuesto de la Unión para el año correspondiente por parte del Parlamento Europeo y del Consejo. La ayuda contribuirá a cubrir las necesidades de la balanza de pagos de Egipto determinadas en el programa del FMI.</w:t>
            </w:r>
          </w:p>
        </w:tc>
      </w:tr>
    </w:tbl>
    <w:p w14:paraId="31B914C5" w14:textId="77777777" w:rsidR="00EA52BA" w:rsidRPr="009F1F6D" w:rsidRDefault="00EA52BA" w:rsidP="00EA52BA">
      <w:pPr>
        <w:pStyle w:val="AmNumberTabs"/>
      </w:pPr>
      <w:r w:rsidRPr="009F1F6D">
        <w:lastRenderedPageBreak/>
        <w:t>Enmienda</w:t>
      </w:r>
      <w:r w:rsidRPr="009F1F6D">
        <w:tab/>
      </w:r>
      <w:r w:rsidRPr="009F1F6D">
        <w:tab/>
        <w:t>44</w:t>
      </w:r>
    </w:p>
    <w:p w14:paraId="245E88F5" w14:textId="77777777" w:rsidR="00EA52BA" w:rsidRPr="009F1F6D" w:rsidRDefault="00EA52BA" w:rsidP="00EA52BA">
      <w:pPr>
        <w:pStyle w:val="NormalBold12b"/>
      </w:pPr>
      <w:r w:rsidRPr="009F1F6D">
        <w:t>Propuesta de Decisión</w:t>
      </w:r>
    </w:p>
    <w:p w14:paraId="59B8EC1B" w14:textId="77777777" w:rsidR="00EA52BA" w:rsidRPr="009F1F6D" w:rsidRDefault="00EA52BA" w:rsidP="00EA52BA">
      <w:pPr>
        <w:pStyle w:val="NormalBold"/>
      </w:pPr>
      <w:r w:rsidRPr="009F1F6D">
        <w:t>Artículo 1 – apartado 3 – párrafo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52BA" w:rsidRPr="009F1F6D" w14:paraId="7E2D150D" w14:textId="77777777" w:rsidTr="00CF4BA9">
        <w:trPr>
          <w:trHeight w:hRule="exact" w:val="240"/>
          <w:jc w:val="center"/>
        </w:trPr>
        <w:tc>
          <w:tcPr>
            <w:tcW w:w="9752" w:type="dxa"/>
            <w:gridSpan w:val="2"/>
            <w:tcBorders>
              <w:top w:val="nil"/>
              <w:left w:val="nil"/>
              <w:bottom w:val="nil"/>
              <w:right w:val="nil"/>
            </w:tcBorders>
          </w:tcPr>
          <w:p w14:paraId="26469E21" w14:textId="77777777" w:rsidR="00EA52BA" w:rsidRPr="009F1F6D" w:rsidRDefault="00EA52BA" w:rsidP="00CF4BA9"/>
        </w:tc>
      </w:tr>
      <w:tr w:rsidR="00EA52BA" w:rsidRPr="009F1F6D" w14:paraId="2B46469F" w14:textId="77777777" w:rsidTr="00CF4BA9">
        <w:trPr>
          <w:trHeight w:val="240"/>
          <w:jc w:val="center"/>
        </w:trPr>
        <w:tc>
          <w:tcPr>
            <w:tcW w:w="4876" w:type="dxa"/>
            <w:tcBorders>
              <w:top w:val="nil"/>
              <w:left w:val="nil"/>
              <w:bottom w:val="nil"/>
              <w:right w:val="nil"/>
            </w:tcBorders>
          </w:tcPr>
          <w:p w14:paraId="228D955A" w14:textId="77777777" w:rsidR="00EA52BA" w:rsidRPr="009F1F6D" w:rsidRDefault="00EA52BA" w:rsidP="00CF4BA9">
            <w:pPr>
              <w:pStyle w:val="AmColumnHeading"/>
            </w:pPr>
            <w:r w:rsidRPr="009F1F6D">
              <w:t>Texto de la Comisión</w:t>
            </w:r>
          </w:p>
        </w:tc>
        <w:tc>
          <w:tcPr>
            <w:tcW w:w="4876" w:type="dxa"/>
            <w:tcBorders>
              <w:top w:val="nil"/>
              <w:left w:val="nil"/>
              <w:bottom w:val="nil"/>
              <w:right w:val="nil"/>
            </w:tcBorders>
          </w:tcPr>
          <w:p w14:paraId="2CA75A77" w14:textId="77777777" w:rsidR="00EA52BA" w:rsidRPr="009F1F6D" w:rsidRDefault="00EA52BA" w:rsidP="00CF4BA9">
            <w:pPr>
              <w:pStyle w:val="AmColumnHeading"/>
            </w:pPr>
            <w:r w:rsidRPr="009F1F6D">
              <w:t>Enmienda</w:t>
            </w:r>
          </w:p>
        </w:tc>
      </w:tr>
      <w:tr w:rsidR="00EA52BA" w:rsidRPr="009F1F6D" w14:paraId="77FE995F" w14:textId="77777777" w:rsidTr="00CF4BA9">
        <w:trPr>
          <w:jc w:val="center"/>
        </w:trPr>
        <w:tc>
          <w:tcPr>
            <w:tcW w:w="4876" w:type="dxa"/>
            <w:tcBorders>
              <w:top w:val="nil"/>
              <w:left w:val="nil"/>
              <w:bottom w:val="nil"/>
              <w:right w:val="nil"/>
            </w:tcBorders>
          </w:tcPr>
          <w:p w14:paraId="42100EDD" w14:textId="77777777" w:rsidR="00EA52BA" w:rsidRPr="009F1F6D" w:rsidRDefault="00EA52BA" w:rsidP="00CF4BA9">
            <w:pPr>
              <w:pStyle w:val="Normal6a"/>
            </w:pPr>
          </w:p>
        </w:tc>
        <w:tc>
          <w:tcPr>
            <w:tcW w:w="4876" w:type="dxa"/>
            <w:tcBorders>
              <w:top w:val="nil"/>
              <w:left w:val="nil"/>
              <w:bottom w:val="nil"/>
              <w:right w:val="nil"/>
            </w:tcBorders>
          </w:tcPr>
          <w:p w14:paraId="7D170A99" w14:textId="77777777" w:rsidR="00EA52BA" w:rsidRPr="009F1F6D" w:rsidRDefault="00EA52BA" w:rsidP="00CF4BA9">
            <w:pPr>
              <w:pStyle w:val="Normal6a"/>
            </w:pPr>
            <w:r w:rsidRPr="009F1F6D">
              <w:rPr>
                <w:b/>
                <w:i/>
              </w:rPr>
              <w:t>La gestión transparente de los fondos asignados en el marco de esta ayuda macrofinanciera es fundamental a fin de garantizar que los recursos se utilicen de forma adecuada, en consonancia con los objetivos fijados. La Unión velará por que se establezcan mecanismos de control y de auditoría eficaces e independientes para evitar toda malversación.</w:t>
            </w:r>
          </w:p>
        </w:tc>
      </w:tr>
    </w:tbl>
    <w:p w14:paraId="7D4ED336" w14:textId="77777777" w:rsidR="00EA52BA" w:rsidRPr="009F1F6D" w:rsidRDefault="00EA52BA" w:rsidP="00EA52BA"/>
    <w:p w14:paraId="5409A8A4" w14:textId="77777777" w:rsidR="003C2A24" w:rsidRPr="009F1F6D" w:rsidRDefault="003C2A24" w:rsidP="00EA52BA"/>
    <w:p w14:paraId="11977652" w14:textId="77777777" w:rsidR="003C2A24" w:rsidRPr="009F1F6D" w:rsidRDefault="003C2A24" w:rsidP="003C2A24">
      <w:pPr>
        <w:pStyle w:val="AmNumberTabs"/>
      </w:pPr>
      <w:r w:rsidRPr="009F1F6D">
        <w:t>Enmienda</w:t>
      </w:r>
      <w:r w:rsidRPr="009F1F6D">
        <w:tab/>
      </w:r>
      <w:r w:rsidRPr="009F1F6D">
        <w:tab/>
        <w:t>18</w:t>
      </w:r>
    </w:p>
    <w:p w14:paraId="7AA2D9FD" w14:textId="77777777" w:rsidR="003C2A24" w:rsidRPr="009F1F6D" w:rsidRDefault="003C2A24" w:rsidP="003C2A24">
      <w:pPr>
        <w:pStyle w:val="NormalBold12b"/>
      </w:pPr>
      <w:r w:rsidRPr="009F1F6D">
        <w:t>Propuesta de Decisión</w:t>
      </w:r>
    </w:p>
    <w:p w14:paraId="5491B393" w14:textId="77777777" w:rsidR="003C2A24" w:rsidRPr="009F1F6D" w:rsidRDefault="003C2A24" w:rsidP="003C2A24">
      <w:pPr>
        <w:pStyle w:val="NormalBold"/>
      </w:pPr>
      <w:r w:rsidRPr="009F1F6D">
        <w:t>Artículo 1 – apartado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27A6305B" w14:textId="77777777" w:rsidTr="00CF4BA9">
        <w:trPr>
          <w:trHeight w:hRule="exact" w:val="240"/>
          <w:jc w:val="center"/>
        </w:trPr>
        <w:tc>
          <w:tcPr>
            <w:tcW w:w="9752" w:type="dxa"/>
            <w:gridSpan w:val="2"/>
            <w:tcBorders>
              <w:top w:val="nil"/>
              <w:left w:val="nil"/>
              <w:bottom w:val="nil"/>
              <w:right w:val="nil"/>
            </w:tcBorders>
          </w:tcPr>
          <w:p w14:paraId="74A2E132" w14:textId="77777777" w:rsidR="003C2A24" w:rsidRPr="009F1F6D" w:rsidRDefault="003C2A24" w:rsidP="00CF4BA9"/>
        </w:tc>
      </w:tr>
      <w:tr w:rsidR="003C2A24" w:rsidRPr="009F1F6D" w14:paraId="6C75C6A1" w14:textId="77777777" w:rsidTr="00CF4BA9">
        <w:trPr>
          <w:trHeight w:val="240"/>
          <w:jc w:val="center"/>
        </w:trPr>
        <w:tc>
          <w:tcPr>
            <w:tcW w:w="4876" w:type="dxa"/>
            <w:tcBorders>
              <w:top w:val="nil"/>
              <w:left w:val="nil"/>
              <w:bottom w:val="nil"/>
              <w:right w:val="nil"/>
            </w:tcBorders>
          </w:tcPr>
          <w:p w14:paraId="2D99C9D5"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tcPr>
          <w:p w14:paraId="7FE0C1BF" w14:textId="77777777" w:rsidR="003C2A24" w:rsidRPr="009F1F6D" w:rsidRDefault="003C2A24" w:rsidP="00CF4BA9">
            <w:pPr>
              <w:pStyle w:val="AmColumnHeading"/>
            </w:pPr>
            <w:r w:rsidRPr="009F1F6D">
              <w:t>Enmienda</w:t>
            </w:r>
          </w:p>
        </w:tc>
      </w:tr>
      <w:tr w:rsidR="003C2A24" w:rsidRPr="009F1F6D" w14:paraId="1C80278F" w14:textId="77777777" w:rsidTr="00CF4BA9">
        <w:trPr>
          <w:jc w:val="center"/>
        </w:trPr>
        <w:tc>
          <w:tcPr>
            <w:tcW w:w="4876" w:type="dxa"/>
            <w:tcBorders>
              <w:top w:val="nil"/>
              <w:left w:val="nil"/>
              <w:bottom w:val="nil"/>
              <w:right w:val="nil"/>
            </w:tcBorders>
          </w:tcPr>
          <w:p w14:paraId="7D51ED45" w14:textId="77777777" w:rsidR="003C2A24" w:rsidRPr="009F1F6D" w:rsidRDefault="003C2A24" w:rsidP="00CF4BA9">
            <w:pPr>
              <w:pStyle w:val="Normal6a"/>
            </w:pPr>
          </w:p>
        </w:tc>
        <w:tc>
          <w:tcPr>
            <w:tcW w:w="4876" w:type="dxa"/>
            <w:tcBorders>
              <w:top w:val="nil"/>
              <w:left w:val="nil"/>
              <w:bottom w:val="nil"/>
              <w:right w:val="nil"/>
            </w:tcBorders>
          </w:tcPr>
          <w:p w14:paraId="4B0867BA" w14:textId="77777777" w:rsidR="003C2A24" w:rsidRPr="009F1F6D" w:rsidRDefault="003C2A24" w:rsidP="00CF4BA9">
            <w:pPr>
              <w:pStyle w:val="Normal6a"/>
            </w:pPr>
            <w:r w:rsidRPr="009F1F6D">
              <w:rPr>
                <w:b/>
                <w:i/>
              </w:rPr>
              <w:t>3 bis.</w:t>
            </w:r>
            <w:r w:rsidRPr="009F1F6D">
              <w:tab/>
            </w:r>
            <w:r w:rsidRPr="009F1F6D">
              <w:rPr>
                <w:b/>
                <w:i/>
              </w:rPr>
              <w:t>La ayuda macrofinanciera podría contribuir, en la medida de lo posible, al crecimiento y a la resiliencia económica de la Unión.</w:t>
            </w:r>
          </w:p>
        </w:tc>
      </w:tr>
    </w:tbl>
    <w:p w14:paraId="7B7A5C62" w14:textId="77777777" w:rsidR="003C2A24" w:rsidRPr="009F1F6D" w:rsidRDefault="003C2A24" w:rsidP="003C2A24"/>
    <w:p w14:paraId="203707BA" w14:textId="77777777" w:rsidR="003C2A24" w:rsidRPr="009F1F6D" w:rsidRDefault="003C2A24" w:rsidP="003C2A24">
      <w:pPr>
        <w:pStyle w:val="AmNumberTabs"/>
      </w:pPr>
      <w:r w:rsidRPr="009F1F6D">
        <w:t>Enmienda</w:t>
      </w:r>
      <w:r w:rsidRPr="009F1F6D">
        <w:tab/>
      </w:r>
      <w:r w:rsidRPr="009F1F6D">
        <w:tab/>
        <w:t>19</w:t>
      </w:r>
    </w:p>
    <w:p w14:paraId="7A30223D" w14:textId="77777777" w:rsidR="003C2A24" w:rsidRPr="009F1F6D" w:rsidRDefault="003C2A24" w:rsidP="003C2A24"/>
    <w:p w14:paraId="239E7CCB" w14:textId="77777777" w:rsidR="003C2A24" w:rsidRPr="009F1F6D" w:rsidRDefault="003C2A24" w:rsidP="003C2A24">
      <w:pPr>
        <w:pStyle w:val="NormalBold"/>
        <w:keepNext/>
      </w:pPr>
      <w:r w:rsidRPr="009F1F6D">
        <w:t>Propuesta de Decisión</w:t>
      </w:r>
    </w:p>
    <w:p w14:paraId="12262A53" w14:textId="77777777" w:rsidR="003C2A24" w:rsidRPr="009F1F6D" w:rsidRDefault="003C2A24" w:rsidP="003C2A24">
      <w:pPr>
        <w:pStyle w:val="NormalBold"/>
      </w:pPr>
      <w:r w:rsidRPr="009F1F6D">
        <w:t>Artículo 2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74EF9AF0" w14:textId="77777777" w:rsidTr="00CF4BA9">
        <w:trPr>
          <w:jc w:val="center"/>
        </w:trPr>
        <w:tc>
          <w:tcPr>
            <w:tcW w:w="9752" w:type="dxa"/>
            <w:gridSpan w:val="2"/>
          </w:tcPr>
          <w:p w14:paraId="5D327CEE" w14:textId="77777777" w:rsidR="003C2A24" w:rsidRPr="009F1F6D" w:rsidRDefault="003C2A24" w:rsidP="00CF4BA9">
            <w:pPr>
              <w:keepNext/>
            </w:pPr>
          </w:p>
        </w:tc>
      </w:tr>
      <w:tr w:rsidR="003C2A24" w:rsidRPr="009F1F6D" w14:paraId="2762B1E6" w14:textId="77777777" w:rsidTr="00CF4BA9">
        <w:trPr>
          <w:jc w:val="center"/>
        </w:trPr>
        <w:tc>
          <w:tcPr>
            <w:tcW w:w="4876" w:type="dxa"/>
            <w:hideMark/>
          </w:tcPr>
          <w:p w14:paraId="2717D948"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58F76ECE"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55FA45B2" w14:textId="77777777" w:rsidTr="00CF4BA9">
        <w:trPr>
          <w:jc w:val="center"/>
        </w:trPr>
        <w:tc>
          <w:tcPr>
            <w:tcW w:w="4876" w:type="dxa"/>
            <w:hideMark/>
          </w:tcPr>
          <w:p w14:paraId="104F8EF6" w14:textId="77777777" w:rsidR="003C2A24" w:rsidRPr="009F1F6D" w:rsidRDefault="003C2A24" w:rsidP="00CF4BA9">
            <w:pPr>
              <w:pStyle w:val="Normal6"/>
              <w:rPr>
                <w:lang w:val="es-ES_tradnl"/>
              </w:rPr>
            </w:pPr>
            <w:r w:rsidRPr="009F1F6D">
              <w:rPr>
                <w:lang w:val="es-ES_tradnl"/>
              </w:rPr>
              <w:t>1.</w:t>
            </w:r>
            <w:r w:rsidRPr="009F1F6D">
              <w:rPr>
                <w:lang w:val="es-ES_tradnl"/>
              </w:rPr>
              <w:tab/>
              <w:t xml:space="preserve">Una condición previa para conceder la ayuda macrofinanciera de la Unión debe ser que Egipto siga avanzando de forma concreta y creíble hacia el respeto de una serie de mecanismos democráticos eficaces (tales como un sistema parlamentario multipartidista) y el Estado de Derecho, y que </w:t>
            </w:r>
            <w:r w:rsidRPr="009F1F6D">
              <w:rPr>
                <w:b/>
                <w:i/>
                <w:lang w:val="es-ES_tradnl"/>
              </w:rPr>
              <w:t>garantice</w:t>
            </w:r>
            <w:r w:rsidRPr="009F1F6D">
              <w:rPr>
                <w:lang w:val="es-ES_tradnl"/>
              </w:rPr>
              <w:t xml:space="preserve"> el respeto de los derechos humanos.</w:t>
            </w:r>
          </w:p>
        </w:tc>
        <w:tc>
          <w:tcPr>
            <w:tcW w:w="4876" w:type="dxa"/>
            <w:hideMark/>
          </w:tcPr>
          <w:p w14:paraId="572C3501" w14:textId="77777777" w:rsidR="003C2A24" w:rsidRPr="009F1F6D" w:rsidRDefault="003C2A24" w:rsidP="00CF4BA9">
            <w:pPr>
              <w:pStyle w:val="Normal6"/>
              <w:rPr>
                <w:szCs w:val="24"/>
                <w:lang w:val="es-ES_tradnl"/>
              </w:rPr>
            </w:pPr>
            <w:r w:rsidRPr="009F1F6D">
              <w:rPr>
                <w:lang w:val="es-ES_tradnl"/>
              </w:rPr>
              <w:t>1.</w:t>
            </w:r>
            <w:r w:rsidRPr="009F1F6D">
              <w:rPr>
                <w:lang w:val="es-ES_tradnl"/>
              </w:rPr>
              <w:tab/>
              <w:t xml:space="preserve">Una condición previa para conceder la ayuda macrofinanciera de la Unión debe ser que Egipto siga avanzando de forma concreta y creíble hacia el respeto </w:t>
            </w:r>
            <w:r w:rsidRPr="009F1F6D">
              <w:rPr>
                <w:b/>
                <w:i/>
                <w:lang w:val="es-ES_tradnl"/>
              </w:rPr>
              <w:t xml:space="preserve">y el fortalecimiento </w:t>
            </w:r>
            <w:r w:rsidRPr="009F1F6D">
              <w:rPr>
                <w:lang w:val="es-ES_tradnl"/>
              </w:rPr>
              <w:t xml:space="preserve">de una serie de mecanismos democráticos eficaces (tales como un sistema parlamentario multipartidista) y el Estado de Derecho, y que </w:t>
            </w:r>
            <w:r w:rsidRPr="009F1F6D">
              <w:rPr>
                <w:b/>
                <w:i/>
                <w:lang w:val="es-ES_tradnl"/>
              </w:rPr>
              <w:t>siga esforzándose por garantizar</w:t>
            </w:r>
            <w:r w:rsidRPr="009F1F6D">
              <w:rPr>
                <w:lang w:val="es-ES_tradnl"/>
              </w:rPr>
              <w:t xml:space="preserve"> el respeto de los derechos humanos.</w:t>
            </w:r>
          </w:p>
        </w:tc>
      </w:tr>
    </w:tbl>
    <w:p w14:paraId="7D50B1CD" w14:textId="77777777" w:rsidR="003C2A24" w:rsidRPr="009F1F6D" w:rsidRDefault="003C2A24" w:rsidP="003C2A24"/>
    <w:p w14:paraId="1BC1F425" w14:textId="77777777" w:rsidR="003C2A24" w:rsidRPr="009F1F6D" w:rsidRDefault="003C2A24" w:rsidP="003C2A24">
      <w:pPr>
        <w:pStyle w:val="AmNumberTabs"/>
      </w:pPr>
      <w:r w:rsidRPr="009F1F6D">
        <w:t>Enmienda</w:t>
      </w:r>
      <w:r w:rsidRPr="009F1F6D">
        <w:tab/>
      </w:r>
      <w:r w:rsidRPr="009F1F6D">
        <w:tab/>
        <w:t>20</w:t>
      </w:r>
    </w:p>
    <w:p w14:paraId="7ABFEDDA" w14:textId="77777777" w:rsidR="003C2A24" w:rsidRPr="009F1F6D" w:rsidRDefault="003C2A24" w:rsidP="003C2A24"/>
    <w:p w14:paraId="3014D02A" w14:textId="77777777" w:rsidR="003C2A24" w:rsidRPr="009F1F6D" w:rsidRDefault="003C2A24" w:rsidP="003C2A24">
      <w:pPr>
        <w:pStyle w:val="NormalBold"/>
        <w:keepNext/>
      </w:pPr>
      <w:r w:rsidRPr="009F1F6D">
        <w:t>Propuesta de Decisión</w:t>
      </w:r>
    </w:p>
    <w:p w14:paraId="29829A6D" w14:textId="77777777" w:rsidR="003C2A24" w:rsidRPr="009F1F6D" w:rsidRDefault="003C2A24" w:rsidP="003C2A24">
      <w:pPr>
        <w:pStyle w:val="NormalBold"/>
      </w:pPr>
      <w:r w:rsidRPr="009F1F6D">
        <w:t>Artículo 2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2DE3F16E" w14:textId="77777777" w:rsidTr="00CF4BA9">
        <w:trPr>
          <w:jc w:val="center"/>
        </w:trPr>
        <w:tc>
          <w:tcPr>
            <w:tcW w:w="9752" w:type="dxa"/>
            <w:gridSpan w:val="2"/>
          </w:tcPr>
          <w:p w14:paraId="126AFFCC" w14:textId="77777777" w:rsidR="003C2A24" w:rsidRPr="009F1F6D" w:rsidRDefault="003C2A24" w:rsidP="00CF4BA9">
            <w:pPr>
              <w:keepNext/>
            </w:pPr>
          </w:p>
        </w:tc>
      </w:tr>
      <w:tr w:rsidR="003C2A24" w:rsidRPr="009F1F6D" w14:paraId="0A24EE76" w14:textId="77777777" w:rsidTr="00CF4BA9">
        <w:trPr>
          <w:jc w:val="center"/>
        </w:trPr>
        <w:tc>
          <w:tcPr>
            <w:tcW w:w="4876" w:type="dxa"/>
            <w:hideMark/>
          </w:tcPr>
          <w:p w14:paraId="1CB1C4E8"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6ADBB7BE"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4A1A04E7" w14:textId="77777777" w:rsidTr="00CF4BA9">
        <w:trPr>
          <w:jc w:val="center"/>
        </w:trPr>
        <w:tc>
          <w:tcPr>
            <w:tcW w:w="4876" w:type="dxa"/>
            <w:hideMark/>
          </w:tcPr>
          <w:p w14:paraId="45DCD0DA" w14:textId="77777777" w:rsidR="003C2A24" w:rsidRPr="009F1F6D" w:rsidRDefault="003C2A24" w:rsidP="00CF4BA9">
            <w:pPr>
              <w:pStyle w:val="Normal6"/>
              <w:rPr>
                <w:lang w:val="es-ES_tradnl"/>
              </w:rPr>
            </w:pPr>
            <w:r w:rsidRPr="009F1F6D">
              <w:rPr>
                <w:lang w:val="es-ES_tradnl"/>
              </w:rPr>
              <w:t>2.</w:t>
            </w:r>
            <w:r w:rsidRPr="009F1F6D">
              <w:rPr>
                <w:lang w:val="es-ES_tradnl"/>
              </w:rPr>
              <w:tab/>
              <w:t>La Comisión y el Servicio Europeo de Acción Exterior controlarán el cumplimiento de esta condición previa a lo largo de todo el período de vigencia de la ayuda macrofinanciera de la Unión.</w:t>
            </w:r>
          </w:p>
        </w:tc>
        <w:tc>
          <w:tcPr>
            <w:tcW w:w="4876" w:type="dxa"/>
            <w:hideMark/>
          </w:tcPr>
          <w:p w14:paraId="43450693" w14:textId="77777777" w:rsidR="003C2A24" w:rsidRPr="009F1F6D" w:rsidRDefault="003C2A24" w:rsidP="00CF4BA9">
            <w:pPr>
              <w:pStyle w:val="Normal6"/>
              <w:rPr>
                <w:szCs w:val="24"/>
                <w:lang w:val="es-ES_tradnl"/>
              </w:rPr>
            </w:pPr>
            <w:r w:rsidRPr="009F1F6D">
              <w:rPr>
                <w:lang w:val="es-ES_tradnl"/>
              </w:rPr>
              <w:t>2.</w:t>
            </w:r>
            <w:r w:rsidRPr="009F1F6D">
              <w:rPr>
                <w:lang w:val="es-ES_tradnl"/>
              </w:rPr>
              <w:tab/>
              <w:t>La Comisión y el Servicio Europeo de Acción Exterior controlarán el cumplimiento de esta condición previa a lo largo de todo el período de vigencia de la ayuda macrofinanciera de la Unión</w:t>
            </w:r>
            <w:r w:rsidRPr="009F1F6D">
              <w:rPr>
                <w:b/>
                <w:i/>
                <w:lang w:val="es-ES_tradnl"/>
              </w:rPr>
              <w:t xml:space="preserve"> e informarán, periódicamente y por escrito, al Parlamento Europeo y al Consejo del cumplimiento de las condiciones financieras y de política económica establecidas en el Memorando de Acuerdo</w:t>
            </w:r>
            <w:r w:rsidRPr="009F1F6D">
              <w:rPr>
                <w:lang w:val="es-ES_tradnl"/>
              </w:rPr>
              <w:t>.</w:t>
            </w:r>
          </w:p>
        </w:tc>
      </w:tr>
    </w:tbl>
    <w:p w14:paraId="633AE10A" w14:textId="77777777" w:rsidR="003C2A24" w:rsidRPr="009F1F6D" w:rsidRDefault="003C2A24" w:rsidP="003C2A24"/>
    <w:p w14:paraId="64D835A4" w14:textId="77777777" w:rsidR="003C2A24" w:rsidRPr="009F1F6D" w:rsidRDefault="003C2A24" w:rsidP="003C2A24">
      <w:pPr>
        <w:pStyle w:val="AMNumberTabs0"/>
        <w:keepNext/>
        <w:rPr>
          <w:lang w:val="es-ES_tradnl"/>
        </w:rPr>
      </w:pPr>
      <w:r w:rsidRPr="009F1F6D">
        <w:rPr>
          <w:lang w:val="es-ES_tradnl"/>
        </w:rPr>
        <w:t>Enmienda</w:t>
      </w:r>
      <w:r w:rsidRPr="009F1F6D">
        <w:rPr>
          <w:lang w:val="es-ES_tradnl"/>
        </w:rPr>
        <w:tab/>
      </w:r>
      <w:r w:rsidRPr="009F1F6D">
        <w:rPr>
          <w:lang w:val="es-ES_tradnl"/>
        </w:rPr>
        <w:tab/>
        <w:t>21</w:t>
      </w:r>
    </w:p>
    <w:p w14:paraId="558EBBD4" w14:textId="77777777" w:rsidR="003C2A24" w:rsidRPr="009F1F6D" w:rsidRDefault="003C2A24" w:rsidP="003C2A24">
      <w:pPr>
        <w:pStyle w:val="NormalBold12b"/>
        <w:keepNext/>
      </w:pPr>
      <w:r w:rsidRPr="009F1F6D">
        <w:t>Propuesta de Decisión</w:t>
      </w:r>
    </w:p>
    <w:p w14:paraId="5FC89964" w14:textId="77777777" w:rsidR="003C2A24" w:rsidRPr="009F1F6D" w:rsidRDefault="003C2A24" w:rsidP="003C2A24">
      <w:pPr>
        <w:pStyle w:val="NormalBold"/>
      </w:pPr>
      <w:r w:rsidRPr="009F1F6D">
        <w:t>Artículo 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0EC74FFD" w14:textId="77777777" w:rsidTr="00CF4BA9">
        <w:trPr>
          <w:jc w:val="center"/>
        </w:trPr>
        <w:tc>
          <w:tcPr>
            <w:tcW w:w="9752" w:type="dxa"/>
            <w:gridSpan w:val="2"/>
          </w:tcPr>
          <w:p w14:paraId="2DB18851" w14:textId="77777777" w:rsidR="003C2A24" w:rsidRPr="009F1F6D" w:rsidRDefault="003C2A24" w:rsidP="00CF4BA9">
            <w:pPr>
              <w:keepNext/>
            </w:pPr>
          </w:p>
        </w:tc>
      </w:tr>
      <w:tr w:rsidR="003C2A24" w:rsidRPr="009F1F6D" w14:paraId="65925C57" w14:textId="77777777" w:rsidTr="00CF4BA9">
        <w:trPr>
          <w:jc w:val="center"/>
        </w:trPr>
        <w:tc>
          <w:tcPr>
            <w:tcW w:w="4876" w:type="dxa"/>
            <w:hideMark/>
          </w:tcPr>
          <w:p w14:paraId="0F54581B"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31C4CA51"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60E20005" w14:textId="77777777" w:rsidTr="00CF4BA9">
        <w:trPr>
          <w:jc w:val="center"/>
        </w:trPr>
        <w:tc>
          <w:tcPr>
            <w:tcW w:w="4876" w:type="dxa"/>
            <w:hideMark/>
          </w:tcPr>
          <w:p w14:paraId="3AED6A6B" w14:textId="77777777" w:rsidR="003C2A24" w:rsidRPr="009F1F6D" w:rsidRDefault="003C2A24" w:rsidP="00CF4BA9">
            <w:pPr>
              <w:pStyle w:val="Normal6"/>
              <w:rPr>
                <w:lang w:val="es-ES_tradnl"/>
              </w:rPr>
            </w:pPr>
            <w:r w:rsidRPr="009F1F6D">
              <w:rPr>
                <w:lang w:val="es-ES_tradnl"/>
              </w:rPr>
              <w:t>1.</w:t>
            </w:r>
            <w:r w:rsidRPr="009F1F6D">
              <w:rPr>
                <w:lang w:val="es-ES_tradnl"/>
              </w:rPr>
              <w:tab/>
              <w:t xml:space="preserve">La Comisión, de conformidad con el procedimiento de examen al que se hace referencia en el artículo 7, apartado 2, acordará con las autoridades egipcias una serie de condiciones financieras y de política económica claramente definidas, centradas en las reformas estructurales y en unas finanzas públicas saneadas, a las que </w:t>
            </w:r>
            <w:r w:rsidRPr="009F1F6D">
              <w:rPr>
                <w:lang w:val="es-ES_tradnl"/>
              </w:rPr>
              <w:lastRenderedPageBreak/>
              <w:t>se supeditará el desembolso de la ayuda macrofinanciera de la Unión, que deberán establecerse en un Memorando de Acuerdo, el cual incluirá un calendario para el cumplimiento de esas condiciones. Las condiciones financieras y de política económica establecidas en el Memorando de Acuerdo deberán ser compatibles con los acuerdos o memorandos a los que se hace referencia en el artículo 1, apartado 3, con inclusión de los programas de reforma estructural y ajuste macroeconómico ejecutados por Egipto con el apoyo del FMI.</w:t>
            </w:r>
          </w:p>
        </w:tc>
        <w:tc>
          <w:tcPr>
            <w:tcW w:w="4876" w:type="dxa"/>
            <w:hideMark/>
          </w:tcPr>
          <w:p w14:paraId="41186B87" w14:textId="77777777" w:rsidR="003C2A24" w:rsidRPr="009F1F6D" w:rsidRDefault="003C2A24" w:rsidP="00CF4BA9">
            <w:pPr>
              <w:pStyle w:val="Normal6"/>
              <w:rPr>
                <w:szCs w:val="24"/>
                <w:lang w:val="es-ES_tradnl"/>
              </w:rPr>
            </w:pPr>
            <w:r w:rsidRPr="009F1F6D">
              <w:rPr>
                <w:lang w:val="es-ES_tradnl"/>
              </w:rPr>
              <w:lastRenderedPageBreak/>
              <w:t>1.</w:t>
            </w:r>
            <w:r w:rsidRPr="009F1F6D">
              <w:rPr>
                <w:lang w:val="es-ES_tradnl"/>
              </w:rPr>
              <w:tab/>
              <w:t>La Comisión, de conformidad con el procedimiento de examen al que se hace referencia en el artículo 7, apartado 2, acordará con las autoridades egipcias una serie de condiciones financieras y de política económica claramente definidas, centradas en las reformas estructurales</w:t>
            </w:r>
            <w:r w:rsidRPr="009F1F6D">
              <w:rPr>
                <w:b/>
                <w:i/>
                <w:lang w:val="es-ES_tradnl"/>
              </w:rPr>
              <w:t xml:space="preserve">, como la reforma del nuevo código </w:t>
            </w:r>
            <w:r w:rsidRPr="009F1F6D">
              <w:rPr>
                <w:b/>
                <w:i/>
                <w:lang w:val="es-ES_tradnl"/>
              </w:rPr>
              <w:lastRenderedPageBreak/>
              <w:t>procesal penal,</w:t>
            </w:r>
            <w:r w:rsidRPr="009F1F6D">
              <w:rPr>
                <w:lang w:val="es-ES_tradnl"/>
              </w:rPr>
              <w:t xml:space="preserve"> y en unas finanzas públicas saneadas, a las que se supeditará el desembolso de la ayuda macrofinanciera de la Unión, que deberán establecerse en un Memorando de Acuerdo, el cual incluirá un calendario para el cumplimiento de esas condiciones. Las condiciones financieras y de política económica establecidas en el Memorando de Acuerdo deberán ser compatibles con los acuerdos o memorandos a los que se hace referencia en el artículo 1, apartado 3, con inclusión de los programas de reforma estructural y ajuste macroeconómico ejecutados por Egipto con el apoyo del FMI.</w:t>
            </w:r>
          </w:p>
        </w:tc>
      </w:tr>
    </w:tbl>
    <w:p w14:paraId="5927A1D2" w14:textId="77777777" w:rsidR="003C2A24" w:rsidRPr="009F1F6D" w:rsidRDefault="003C2A24" w:rsidP="003C2A24"/>
    <w:p w14:paraId="6077E59B" w14:textId="77777777" w:rsidR="003C2A24" w:rsidRPr="009F1F6D" w:rsidRDefault="003C2A24" w:rsidP="003C2A24">
      <w:pPr>
        <w:pStyle w:val="AmNumberTabs"/>
      </w:pPr>
      <w:r w:rsidRPr="009F1F6D">
        <w:t>Enmienda</w:t>
      </w:r>
      <w:r w:rsidRPr="009F1F6D">
        <w:tab/>
      </w:r>
      <w:r w:rsidRPr="009F1F6D">
        <w:tab/>
        <w:t>22</w:t>
      </w:r>
    </w:p>
    <w:p w14:paraId="72B04FDC" w14:textId="77777777" w:rsidR="003C2A24" w:rsidRPr="009F1F6D" w:rsidRDefault="003C2A24" w:rsidP="003C2A24"/>
    <w:p w14:paraId="70F4A1FB" w14:textId="77777777" w:rsidR="003C2A24" w:rsidRPr="009F1F6D" w:rsidRDefault="003C2A24" w:rsidP="003C2A24">
      <w:pPr>
        <w:pStyle w:val="NormalBold"/>
        <w:keepNext/>
      </w:pPr>
      <w:r w:rsidRPr="009F1F6D">
        <w:t>Propuesta de Decisión</w:t>
      </w:r>
    </w:p>
    <w:p w14:paraId="73F70C26" w14:textId="77777777" w:rsidR="003C2A24" w:rsidRPr="009F1F6D" w:rsidRDefault="003C2A24" w:rsidP="003C2A24">
      <w:pPr>
        <w:pStyle w:val="NormalBold"/>
      </w:pPr>
      <w:r w:rsidRPr="009F1F6D">
        <w:t>Artículo 3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17F0A454" w14:textId="77777777" w:rsidTr="00EA52BA">
        <w:trPr>
          <w:jc w:val="center"/>
        </w:trPr>
        <w:tc>
          <w:tcPr>
            <w:tcW w:w="9752" w:type="dxa"/>
            <w:gridSpan w:val="2"/>
          </w:tcPr>
          <w:p w14:paraId="6799F248" w14:textId="77777777" w:rsidR="003C2A24" w:rsidRPr="009F1F6D" w:rsidRDefault="003C2A24" w:rsidP="00CF4BA9">
            <w:pPr>
              <w:keepNext/>
            </w:pPr>
          </w:p>
        </w:tc>
      </w:tr>
      <w:tr w:rsidR="003C2A24" w:rsidRPr="009F1F6D" w14:paraId="10D19602" w14:textId="77777777" w:rsidTr="00EA52BA">
        <w:trPr>
          <w:jc w:val="center"/>
        </w:trPr>
        <w:tc>
          <w:tcPr>
            <w:tcW w:w="4876" w:type="dxa"/>
            <w:hideMark/>
          </w:tcPr>
          <w:p w14:paraId="05DCDAC6"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04C19083"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3552C42D" w14:textId="77777777" w:rsidTr="00EA52BA">
        <w:trPr>
          <w:jc w:val="center"/>
        </w:trPr>
        <w:tc>
          <w:tcPr>
            <w:tcW w:w="4876" w:type="dxa"/>
            <w:hideMark/>
          </w:tcPr>
          <w:p w14:paraId="537488D7" w14:textId="77777777" w:rsidR="003C2A24" w:rsidRPr="009F1F6D" w:rsidRDefault="003C2A24" w:rsidP="00CF4BA9">
            <w:pPr>
              <w:pStyle w:val="Normal6"/>
              <w:rPr>
                <w:lang w:val="es-ES_tradnl"/>
              </w:rPr>
            </w:pPr>
            <w:r w:rsidRPr="009F1F6D">
              <w:rPr>
                <w:lang w:val="es-ES_tradnl"/>
              </w:rPr>
              <w:t>2.</w:t>
            </w:r>
            <w:r w:rsidRPr="009F1F6D">
              <w:rPr>
                <w:lang w:val="es-ES_tradnl"/>
              </w:rPr>
              <w:tab/>
              <w:t>Las condiciones a las que se hace referencia en el apartado 1 tenderán, en particular, a fomentar la eficiencia, la transparencia y la rendición de cuentas de los sistemas de gestión de las finanzas públicas de Egipto, por ejemplo, en lo que se refiere a la utilización de la ayuda macrofinanciera de la Unión. Al diseñar las medidas, también se deberán tomar debidamente en cuenta los progresos en la apertura mutua del mercado, el desarrollo de un comercio basado en normas y equitativo y otras prioridades en el contexto de la política exterior de la Unión. Los avances hacia el logro de estos objetivos serán controlados regularmente por la Comisión.</w:t>
            </w:r>
          </w:p>
        </w:tc>
        <w:tc>
          <w:tcPr>
            <w:tcW w:w="4876" w:type="dxa"/>
            <w:hideMark/>
          </w:tcPr>
          <w:p w14:paraId="38B29033" w14:textId="77777777" w:rsidR="003C2A24" w:rsidRPr="009F1F6D" w:rsidRDefault="003C2A24" w:rsidP="00CF4BA9">
            <w:pPr>
              <w:pStyle w:val="Normal6"/>
              <w:rPr>
                <w:szCs w:val="24"/>
                <w:lang w:val="es-ES_tradnl"/>
              </w:rPr>
            </w:pPr>
            <w:r w:rsidRPr="009F1F6D">
              <w:rPr>
                <w:lang w:val="es-ES_tradnl"/>
              </w:rPr>
              <w:t>2.</w:t>
            </w:r>
            <w:r w:rsidRPr="009F1F6D">
              <w:rPr>
                <w:lang w:val="es-ES_tradnl"/>
              </w:rPr>
              <w:tab/>
              <w:t xml:space="preserve">Las condiciones </w:t>
            </w:r>
            <w:r w:rsidRPr="009F1F6D">
              <w:rPr>
                <w:b/>
                <w:i/>
                <w:lang w:val="es-ES_tradnl"/>
              </w:rPr>
              <w:t xml:space="preserve">financieras y de política económica </w:t>
            </w:r>
            <w:r w:rsidRPr="009F1F6D">
              <w:rPr>
                <w:lang w:val="es-ES_tradnl"/>
              </w:rPr>
              <w:t xml:space="preserve">a las que se hace referencia en el apartado 1 tenderán, en particular, a fomentar la eficiencia, la transparencia y la rendición de cuentas de los sistemas de gestión de las finanzas públicas de Egipto, por ejemplo, en lo que se refiere a la utilización de la ayuda macrofinanciera de la Unión. Al diseñar las medidas, también se deberán tomar debidamente en cuenta los progresos en la apertura mutua del mercado, </w:t>
            </w:r>
            <w:r w:rsidRPr="009F1F6D">
              <w:rPr>
                <w:b/>
                <w:i/>
                <w:lang w:val="es-ES_tradnl"/>
              </w:rPr>
              <w:t xml:space="preserve">también para las pymes, </w:t>
            </w:r>
            <w:r w:rsidRPr="009F1F6D">
              <w:rPr>
                <w:lang w:val="es-ES_tradnl"/>
              </w:rPr>
              <w:t>el desarrollo de un comercio basado en normas y equitativo</w:t>
            </w:r>
            <w:r w:rsidRPr="009F1F6D">
              <w:rPr>
                <w:b/>
                <w:i/>
                <w:lang w:val="es-ES_tradnl"/>
              </w:rPr>
              <w:t>, el desarrollo sostenible, la buena gobernanza</w:t>
            </w:r>
            <w:r w:rsidRPr="009F1F6D">
              <w:rPr>
                <w:lang w:val="es-ES_tradnl"/>
              </w:rPr>
              <w:t xml:space="preserve"> y otras prioridades en el contexto de la política exterior de la Unión. Los avances hacia el logro de estos objetivos serán controlados regularmente por la Comisión.</w:t>
            </w:r>
          </w:p>
        </w:tc>
      </w:tr>
    </w:tbl>
    <w:p w14:paraId="433CCF69" w14:textId="77777777" w:rsidR="00EA52BA" w:rsidRPr="009F1F6D" w:rsidRDefault="00EA52BA" w:rsidP="00EA52BA">
      <w:pPr>
        <w:pStyle w:val="AmNumberTabs"/>
      </w:pPr>
      <w:r w:rsidRPr="009F1F6D">
        <w:t>Enmienda</w:t>
      </w:r>
      <w:r w:rsidRPr="009F1F6D">
        <w:tab/>
      </w:r>
      <w:r w:rsidRPr="009F1F6D">
        <w:tab/>
        <w:t>49</w:t>
      </w:r>
    </w:p>
    <w:p w14:paraId="0EEDB98D" w14:textId="77777777" w:rsidR="00EA52BA" w:rsidRPr="009F1F6D" w:rsidRDefault="00EA52BA" w:rsidP="00EA52BA">
      <w:pPr>
        <w:pStyle w:val="NormalBold12b"/>
      </w:pPr>
      <w:r w:rsidRPr="009F1F6D">
        <w:t>Propuesta de Decisión</w:t>
      </w:r>
    </w:p>
    <w:p w14:paraId="50F417DC" w14:textId="77777777" w:rsidR="00EA52BA" w:rsidRPr="009F1F6D" w:rsidRDefault="00EA52BA" w:rsidP="00EA52BA">
      <w:pPr>
        <w:pStyle w:val="NormalBold"/>
      </w:pPr>
      <w:r w:rsidRPr="009F1F6D">
        <w:t>Artículo 4 – apartado 3 – párrafo 1 – letra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52BA" w:rsidRPr="009F1F6D" w14:paraId="36227EC1" w14:textId="77777777" w:rsidTr="00CF4BA9">
        <w:trPr>
          <w:trHeight w:hRule="exact" w:val="240"/>
          <w:jc w:val="center"/>
        </w:trPr>
        <w:tc>
          <w:tcPr>
            <w:tcW w:w="9752" w:type="dxa"/>
            <w:gridSpan w:val="2"/>
            <w:tcBorders>
              <w:top w:val="nil"/>
              <w:left w:val="nil"/>
              <w:bottom w:val="nil"/>
              <w:right w:val="nil"/>
            </w:tcBorders>
          </w:tcPr>
          <w:p w14:paraId="3F443142" w14:textId="77777777" w:rsidR="00EA52BA" w:rsidRPr="009F1F6D" w:rsidRDefault="00EA52BA" w:rsidP="00CF4BA9"/>
        </w:tc>
      </w:tr>
      <w:tr w:rsidR="00EA52BA" w:rsidRPr="009F1F6D" w14:paraId="0491C90A" w14:textId="77777777" w:rsidTr="00CF4BA9">
        <w:trPr>
          <w:trHeight w:val="240"/>
          <w:jc w:val="center"/>
        </w:trPr>
        <w:tc>
          <w:tcPr>
            <w:tcW w:w="4876" w:type="dxa"/>
            <w:tcBorders>
              <w:top w:val="nil"/>
              <w:left w:val="nil"/>
              <w:bottom w:val="nil"/>
              <w:right w:val="nil"/>
            </w:tcBorders>
          </w:tcPr>
          <w:p w14:paraId="64657A6B" w14:textId="77777777" w:rsidR="00EA52BA" w:rsidRPr="009F1F6D" w:rsidRDefault="00EA52BA" w:rsidP="00CF4BA9">
            <w:pPr>
              <w:pStyle w:val="AmColumnHeading"/>
            </w:pPr>
            <w:r w:rsidRPr="009F1F6D">
              <w:lastRenderedPageBreak/>
              <w:t>Texto de la Comisión</w:t>
            </w:r>
          </w:p>
        </w:tc>
        <w:tc>
          <w:tcPr>
            <w:tcW w:w="4876" w:type="dxa"/>
            <w:tcBorders>
              <w:top w:val="nil"/>
              <w:left w:val="nil"/>
              <w:bottom w:val="nil"/>
              <w:right w:val="nil"/>
            </w:tcBorders>
          </w:tcPr>
          <w:p w14:paraId="24163F94" w14:textId="77777777" w:rsidR="00EA52BA" w:rsidRPr="009F1F6D" w:rsidRDefault="00EA52BA" w:rsidP="00CF4BA9">
            <w:pPr>
              <w:pStyle w:val="AmColumnHeading"/>
            </w:pPr>
            <w:r w:rsidRPr="009F1F6D">
              <w:t>Enmienda</w:t>
            </w:r>
          </w:p>
        </w:tc>
      </w:tr>
      <w:tr w:rsidR="00EA52BA" w:rsidRPr="009F1F6D" w14:paraId="48848DCA" w14:textId="77777777" w:rsidTr="00CF4BA9">
        <w:trPr>
          <w:jc w:val="center"/>
        </w:trPr>
        <w:tc>
          <w:tcPr>
            <w:tcW w:w="4876" w:type="dxa"/>
            <w:tcBorders>
              <w:top w:val="nil"/>
              <w:left w:val="nil"/>
              <w:bottom w:val="nil"/>
              <w:right w:val="nil"/>
            </w:tcBorders>
          </w:tcPr>
          <w:p w14:paraId="67DA47EB" w14:textId="77777777" w:rsidR="00EA52BA" w:rsidRPr="009F1F6D" w:rsidRDefault="00EA52BA" w:rsidP="00CF4BA9">
            <w:pPr>
              <w:pStyle w:val="Normal6a"/>
            </w:pPr>
            <w:r w:rsidRPr="009F1F6D">
              <w:t>c)</w:t>
            </w:r>
            <w:r w:rsidRPr="009F1F6D">
              <w:tab/>
              <w:t>el cumplimiento satisfactorio de las condiciones financieras y de política económica acordadas en el Memorando de Acuerdo.</w:t>
            </w:r>
          </w:p>
        </w:tc>
        <w:tc>
          <w:tcPr>
            <w:tcW w:w="4876" w:type="dxa"/>
            <w:tcBorders>
              <w:top w:val="nil"/>
              <w:left w:val="nil"/>
              <w:bottom w:val="nil"/>
              <w:right w:val="nil"/>
            </w:tcBorders>
          </w:tcPr>
          <w:p w14:paraId="3C05E08E" w14:textId="77777777" w:rsidR="00EA52BA" w:rsidRPr="009F1F6D" w:rsidRDefault="00EA52BA" w:rsidP="00CF4BA9">
            <w:pPr>
              <w:pStyle w:val="Normal6a"/>
            </w:pPr>
            <w:r w:rsidRPr="009F1F6D">
              <w:t>c)</w:t>
            </w:r>
            <w:r w:rsidRPr="009F1F6D">
              <w:tab/>
              <w:t>el cumplimiento satisfactorio de las condiciones financieras y de política económica</w:t>
            </w:r>
            <w:r w:rsidRPr="009F1F6D">
              <w:rPr>
                <w:b/>
                <w:i/>
              </w:rPr>
              <w:t>, así como de democracia, Estado de Derecho y derechos humanos,</w:t>
            </w:r>
            <w:r w:rsidRPr="009F1F6D">
              <w:t xml:space="preserve"> acordadas en el Memorando de Acuerdo.</w:t>
            </w:r>
          </w:p>
        </w:tc>
      </w:tr>
    </w:tbl>
    <w:p w14:paraId="20404EEF" w14:textId="77777777" w:rsidR="00EA52BA" w:rsidRPr="009F1F6D" w:rsidRDefault="00EA52BA" w:rsidP="00EA52BA"/>
    <w:p w14:paraId="5E20E46A" w14:textId="77777777" w:rsidR="003C2A24" w:rsidRPr="009F1F6D" w:rsidRDefault="003C2A24" w:rsidP="00EA52BA"/>
    <w:p w14:paraId="2EE79C30" w14:textId="77777777" w:rsidR="003C2A24" w:rsidRPr="009F1F6D" w:rsidRDefault="003C2A24" w:rsidP="003C2A24">
      <w:pPr>
        <w:pStyle w:val="AMNumberTabs0"/>
        <w:keepNext/>
        <w:rPr>
          <w:lang w:val="es-ES_tradnl"/>
        </w:rPr>
      </w:pPr>
      <w:r w:rsidRPr="009F1F6D">
        <w:rPr>
          <w:lang w:val="es-ES_tradnl"/>
        </w:rPr>
        <w:t>Enmienda</w:t>
      </w:r>
      <w:r w:rsidRPr="009F1F6D">
        <w:rPr>
          <w:lang w:val="es-ES_tradnl"/>
        </w:rPr>
        <w:tab/>
      </w:r>
      <w:r w:rsidRPr="009F1F6D">
        <w:rPr>
          <w:lang w:val="es-ES_tradnl"/>
        </w:rPr>
        <w:tab/>
        <w:t>23</w:t>
      </w:r>
    </w:p>
    <w:p w14:paraId="065FA393" w14:textId="77777777" w:rsidR="003C2A24" w:rsidRPr="009F1F6D" w:rsidRDefault="003C2A24" w:rsidP="003C2A24">
      <w:pPr>
        <w:pStyle w:val="NormalBold12b"/>
        <w:keepNext/>
      </w:pPr>
      <w:r w:rsidRPr="009F1F6D">
        <w:t>Propuesta de Decisión</w:t>
      </w:r>
    </w:p>
    <w:p w14:paraId="1E12F27B" w14:textId="77777777" w:rsidR="003C2A24" w:rsidRPr="009F1F6D" w:rsidRDefault="003C2A24" w:rsidP="003C2A24">
      <w:pPr>
        <w:pStyle w:val="NormalBold"/>
      </w:pPr>
      <w:r w:rsidRPr="009F1F6D">
        <w:t>Artículo 4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3D59E2A9" w14:textId="77777777" w:rsidTr="00CF4BA9">
        <w:trPr>
          <w:jc w:val="center"/>
        </w:trPr>
        <w:tc>
          <w:tcPr>
            <w:tcW w:w="9752" w:type="dxa"/>
            <w:gridSpan w:val="2"/>
          </w:tcPr>
          <w:p w14:paraId="57ED1560" w14:textId="77777777" w:rsidR="003C2A24" w:rsidRPr="009F1F6D" w:rsidRDefault="003C2A24" w:rsidP="00CF4BA9">
            <w:pPr>
              <w:keepNext/>
            </w:pPr>
          </w:p>
        </w:tc>
      </w:tr>
      <w:tr w:rsidR="003C2A24" w:rsidRPr="009F1F6D" w14:paraId="69A7358E" w14:textId="77777777" w:rsidTr="00CF4BA9">
        <w:trPr>
          <w:jc w:val="center"/>
        </w:trPr>
        <w:tc>
          <w:tcPr>
            <w:tcW w:w="4876" w:type="dxa"/>
            <w:hideMark/>
          </w:tcPr>
          <w:p w14:paraId="3C593E9E"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46C40957"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6D2AE94F" w14:textId="77777777" w:rsidTr="00CF4BA9">
        <w:trPr>
          <w:jc w:val="center"/>
        </w:trPr>
        <w:tc>
          <w:tcPr>
            <w:tcW w:w="4876" w:type="dxa"/>
            <w:hideMark/>
          </w:tcPr>
          <w:p w14:paraId="4EBE7874" w14:textId="77777777" w:rsidR="003C2A24" w:rsidRPr="009F1F6D" w:rsidRDefault="003C2A24" w:rsidP="00CF4BA9">
            <w:pPr>
              <w:pStyle w:val="Normal6"/>
              <w:rPr>
                <w:lang w:val="es-ES_tradnl"/>
              </w:rPr>
            </w:pPr>
            <w:r w:rsidRPr="009F1F6D">
              <w:rPr>
                <w:lang w:val="es-ES_tradnl"/>
              </w:rPr>
              <w:t>4.</w:t>
            </w:r>
            <w:r w:rsidRPr="009F1F6D">
              <w:rPr>
                <w:lang w:val="es-ES_tradnl"/>
              </w:rPr>
              <w:tab/>
              <w:t>Si no se cumplen las condiciones establecidas en el apartado 3, la Comisión suspenderá temporalmente o cancelará el desembolso de la ayuda macrofinanciera de la Unión. En tal caso, informará al Parlamento Europeo y al Consejo de las razones de dicha suspensión o cancelación.</w:t>
            </w:r>
          </w:p>
        </w:tc>
        <w:tc>
          <w:tcPr>
            <w:tcW w:w="4876" w:type="dxa"/>
            <w:hideMark/>
          </w:tcPr>
          <w:p w14:paraId="7C1FDB3F" w14:textId="77777777" w:rsidR="003C2A24" w:rsidRPr="009F1F6D" w:rsidRDefault="003C2A24" w:rsidP="00CF4BA9">
            <w:pPr>
              <w:pStyle w:val="Normal6"/>
              <w:rPr>
                <w:szCs w:val="24"/>
                <w:lang w:val="es-ES_tradnl"/>
              </w:rPr>
            </w:pPr>
            <w:r w:rsidRPr="009F1F6D">
              <w:rPr>
                <w:lang w:val="es-ES_tradnl"/>
              </w:rPr>
              <w:t>4.</w:t>
            </w:r>
            <w:r w:rsidRPr="009F1F6D">
              <w:rPr>
                <w:lang w:val="es-ES_tradnl"/>
              </w:rPr>
              <w:tab/>
              <w:t xml:space="preserve">Si no se cumplen las condiciones establecidas en el apartado 3, la Comisión suspenderá temporalmente o cancelará el desembolso de la ayuda macrofinanciera de la Unión. En tal caso, informará </w:t>
            </w:r>
            <w:r w:rsidRPr="009F1F6D">
              <w:rPr>
                <w:b/>
                <w:i/>
                <w:lang w:val="es-ES_tradnl"/>
              </w:rPr>
              <w:t xml:space="preserve">inmediatamente </w:t>
            </w:r>
            <w:r w:rsidRPr="009F1F6D">
              <w:rPr>
                <w:lang w:val="es-ES_tradnl"/>
              </w:rPr>
              <w:t>al Parlamento Europeo y al Consejo de las razones de dicha suspensión o cancelación.</w:t>
            </w:r>
          </w:p>
        </w:tc>
      </w:tr>
    </w:tbl>
    <w:p w14:paraId="22456B6B" w14:textId="77777777" w:rsidR="003C2A24" w:rsidRPr="009F1F6D" w:rsidRDefault="003C2A24" w:rsidP="003C2A24"/>
    <w:p w14:paraId="5C36BB1D" w14:textId="77777777" w:rsidR="003C2A24" w:rsidRPr="009F1F6D" w:rsidRDefault="003C2A24" w:rsidP="003C2A24">
      <w:pPr>
        <w:pStyle w:val="AmNumberTabs"/>
      </w:pPr>
      <w:r w:rsidRPr="009F1F6D">
        <w:t>Enmienda</w:t>
      </w:r>
      <w:r w:rsidRPr="009F1F6D">
        <w:tab/>
      </w:r>
      <w:r w:rsidRPr="009F1F6D">
        <w:tab/>
        <w:t>24</w:t>
      </w:r>
    </w:p>
    <w:p w14:paraId="3AB5402C" w14:textId="77777777" w:rsidR="003C2A24" w:rsidRPr="009F1F6D" w:rsidRDefault="003C2A24" w:rsidP="003C2A24">
      <w:pPr>
        <w:pStyle w:val="NormalBold12b"/>
      </w:pPr>
      <w:r w:rsidRPr="009F1F6D">
        <w:t>Propuesta de Decisión</w:t>
      </w:r>
    </w:p>
    <w:p w14:paraId="566B9C65" w14:textId="77777777" w:rsidR="003C2A24" w:rsidRPr="009F1F6D" w:rsidRDefault="003C2A24" w:rsidP="003C2A24">
      <w:pPr>
        <w:pStyle w:val="NormalBold"/>
      </w:pPr>
      <w:r w:rsidRPr="009F1F6D">
        <w:t>Artículo 5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4B6EA5D0" w14:textId="77777777" w:rsidTr="00CF4BA9">
        <w:trPr>
          <w:trHeight w:val="240"/>
          <w:jc w:val="center"/>
        </w:trPr>
        <w:tc>
          <w:tcPr>
            <w:tcW w:w="9752" w:type="dxa"/>
            <w:gridSpan w:val="2"/>
            <w:tcBorders>
              <w:top w:val="nil"/>
              <w:left w:val="nil"/>
              <w:bottom w:val="nil"/>
              <w:right w:val="nil"/>
            </w:tcBorders>
          </w:tcPr>
          <w:p w14:paraId="795BA24F" w14:textId="77777777" w:rsidR="003C2A24" w:rsidRPr="009F1F6D" w:rsidRDefault="003C2A24" w:rsidP="00CF4BA9"/>
        </w:tc>
      </w:tr>
      <w:tr w:rsidR="003C2A24" w:rsidRPr="009F1F6D" w14:paraId="72183424" w14:textId="77777777" w:rsidTr="00CF4BA9">
        <w:trPr>
          <w:trHeight w:val="240"/>
          <w:jc w:val="center"/>
        </w:trPr>
        <w:tc>
          <w:tcPr>
            <w:tcW w:w="4876" w:type="dxa"/>
            <w:tcBorders>
              <w:top w:val="nil"/>
              <w:left w:val="nil"/>
              <w:bottom w:val="nil"/>
              <w:right w:val="nil"/>
            </w:tcBorders>
            <w:hideMark/>
          </w:tcPr>
          <w:p w14:paraId="6EDBF2CD"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hideMark/>
          </w:tcPr>
          <w:p w14:paraId="06FEA54D" w14:textId="77777777" w:rsidR="003C2A24" w:rsidRPr="009F1F6D" w:rsidRDefault="003C2A24" w:rsidP="00CF4BA9">
            <w:pPr>
              <w:pStyle w:val="AmColumnHeading"/>
            </w:pPr>
            <w:r w:rsidRPr="009F1F6D">
              <w:t>Enmienda</w:t>
            </w:r>
          </w:p>
        </w:tc>
      </w:tr>
      <w:tr w:rsidR="003C2A24" w:rsidRPr="009F1F6D" w14:paraId="1C668B00" w14:textId="77777777" w:rsidTr="00CF4BA9">
        <w:trPr>
          <w:jc w:val="center"/>
        </w:trPr>
        <w:tc>
          <w:tcPr>
            <w:tcW w:w="4876" w:type="dxa"/>
            <w:tcBorders>
              <w:top w:val="nil"/>
              <w:left w:val="nil"/>
              <w:bottom w:val="nil"/>
              <w:right w:val="nil"/>
            </w:tcBorders>
            <w:hideMark/>
          </w:tcPr>
          <w:p w14:paraId="2595399F" w14:textId="77777777" w:rsidR="003C2A24" w:rsidRPr="009F1F6D" w:rsidRDefault="003C2A24" w:rsidP="00CF4BA9">
            <w:pPr>
              <w:pStyle w:val="Normal6a"/>
            </w:pPr>
            <w:r w:rsidRPr="009F1F6D">
              <w:rPr>
                <w:b/>
                <w:i/>
              </w:rPr>
              <w:t>1)</w:t>
            </w:r>
            <w:r w:rsidRPr="009F1F6D">
              <w:tab/>
              <w:t>A fin de financiar la ayuda en el marco de la AMF en forma de préstamos, la Comisión estará facultada, en nombre de la Unión, para tomar prestados los fondos necesarios en los mercados de capitales o de las entidades financieras, de conformidad con el artículo </w:t>
            </w:r>
            <w:r w:rsidRPr="009F1F6D">
              <w:rPr>
                <w:b/>
                <w:i/>
              </w:rPr>
              <w:t>220 bis</w:t>
            </w:r>
            <w:r w:rsidRPr="009F1F6D">
              <w:t xml:space="preserve"> del Reglamento (UE, Euratom) </w:t>
            </w:r>
            <w:r w:rsidRPr="009F1F6D">
              <w:rPr>
                <w:b/>
                <w:i/>
              </w:rPr>
              <w:t>2018/1046</w:t>
            </w:r>
            <w:r w:rsidRPr="009F1F6D">
              <w:t>.</w:t>
            </w:r>
          </w:p>
        </w:tc>
        <w:tc>
          <w:tcPr>
            <w:tcW w:w="4876" w:type="dxa"/>
            <w:tcBorders>
              <w:top w:val="nil"/>
              <w:left w:val="nil"/>
              <w:bottom w:val="nil"/>
              <w:right w:val="nil"/>
            </w:tcBorders>
            <w:hideMark/>
          </w:tcPr>
          <w:p w14:paraId="68D05C01" w14:textId="77777777" w:rsidR="003C2A24" w:rsidRPr="009F1F6D" w:rsidRDefault="003C2A24" w:rsidP="00CF4BA9">
            <w:pPr>
              <w:pStyle w:val="Normal6a"/>
            </w:pPr>
            <w:r w:rsidRPr="009F1F6D">
              <w:rPr>
                <w:b/>
                <w:i/>
              </w:rPr>
              <w:t>1.</w:t>
            </w:r>
            <w:r w:rsidRPr="009F1F6D">
              <w:tab/>
              <w:t>A fin de financiar la ayuda en el marco de la AMF en forma de préstamos, la Comisión estará facultada, en nombre de la Unión, para tomar prestados los fondos necesarios en los mercados de capitales o de las entidades financieras, de conformidad con el artículo </w:t>
            </w:r>
            <w:r w:rsidRPr="009F1F6D">
              <w:rPr>
                <w:b/>
                <w:i/>
              </w:rPr>
              <w:t>223</w:t>
            </w:r>
            <w:r w:rsidRPr="009F1F6D">
              <w:t xml:space="preserve"> del Reglamento (UE, Euratom) </w:t>
            </w:r>
            <w:r w:rsidRPr="009F1F6D">
              <w:rPr>
                <w:b/>
                <w:i/>
              </w:rPr>
              <w:t>2024/2509</w:t>
            </w:r>
            <w:r w:rsidRPr="009F1F6D">
              <w:t>.</w:t>
            </w:r>
          </w:p>
        </w:tc>
      </w:tr>
    </w:tbl>
    <w:p w14:paraId="24EF4369" w14:textId="77777777" w:rsidR="003C2A24" w:rsidRPr="009F1F6D" w:rsidRDefault="003C2A24" w:rsidP="003C2A24"/>
    <w:p w14:paraId="09F9E6C5" w14:textId="77777777" w:rsidR="003C2A24" w:rsidRPr="009F1F6D" w:rsidRDefault="003C2A24" w:rsidP="003C2A24">
      <w:pPr>
        <w:pStyle w:val="AMNumberTabs0"/>
        <w:keepNext/>
        <w:rPr>
          <w:lang w:val="es-ES_tradnl"/>
        </w:rPr>
      </w:pPr>
      <w:r w:rsidRPr="009F1F6D">
        <w:rPr>
          <w:lang w:val="es-ES_tradnl"/>
        </w:rPr>
        <w:t>Enmienda</w:t>
      </w:r>
      <w:r w:rsidRPr="009F1F6D">
        <w:rPr>
          <w:lang w:val="es-ES_tradnl"/>
        </w:rPr>
        <w:tab/>
      </w:r>
      <w:r w:rsidRPr="009F1F6D">
        <w:rPr>
          <w:lang w:val="es-ES_tradnl"/>
        </w:rPr>
        <w:tab/>
        <w:t>25</w:t>
      </w:r>
    </w:p>
    <w:p w14:paraId="5316BBF4" w14:textId="77777777" w:rsidR="003C2A24" w:rsidRPr="009F1F6D" w:rsidRDefault="003C2A24" w:rsidP="003C2A24">
      <w:pPr>
        <w:pStyle w:val="NormalBold12b"/>
        <w:keepNext/>
      </w:pPr>
      <w:r w:rsidRPr="009F1F6D">
        <w:t>Propuesta de Decisión</w:t>
      </w:r>
    </w:p>
    <w:p w14:paraId="2A3555CF" w14:textId="77777777" w:rsidR="003C2A24" w:rsidRPr="009F1F6D" w:rsidRDefault="003C2A24" w:rsidP="003C2A24">
      <w:pPr>
        <w:pStyle w:val="NormalBold"/>
      </w:pPr>
      <w:r w:rsidRPr="009F1F6D">
        <w:t>Artículo 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6B1258CE" w14:textId="77777777" w:rsidTr="00CF4BA9">
        <w:trPr>
          <w:jc w:val="center"/>
        </w:trPr>
        <w:tc>
          <w:tcPr>
            <w:tcW w:w="9752" w:type="dxa"/>
            <w:gridSpan w:val="2"/>
          </w:tcPr>
          <w:p w14:paraId="5B29BBB1" w14:textId="77777777" w:rsidR="003C2A24" w:rsidRPr="009F1F6D" w:rsidRDefault="003C2A24" w:rsidP="00CF4BA9">
            <w:pPr>
              <w:keepNext/>
            </w:pPr>
          </w:p>
        </w:tc>
      </w:tr>
      <w:tr w:rsidR="003C2A24" w:rsidRPr="009F1F6D" w14:paraId="4F803155" w14:textId="77777777" w:rsidTr="00CF4BA9">
        <w:trPr>
          <w:jc w:val="center"/>
        </w:trPr>
        <w:tc>
          <w:tcPr>
            <w:tcW w:w="4876" w:type="dxa"/>
            <w:hideMark/>
          </w:tcPr>
          <w:p w14:paraId="39E5B911"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3CF9A01C"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5AB3AE0E" w14:textId="77777777" w:rsidTr="00CF4BA9">
        <w:trPr>
          <w:jc w:val="center"/>
        </w:trPr>
        <w:tc>
          <w:tcPr>
            <w:tcW w:w="4876" w:type="dxa"/>
            <w:hideMark/>
          </w:tcPr>
          <w:p w14:paraId="03F15795" w14:textId="77777777" w:rsidR="003C2A24" w:rsidRPr="009F1F6D" w:rsidRDefault="003C2A24" w:rsidP="00CF4BA9">
            <w:pPr>
              <w:pStyle w:val="Normal6"/>
              <w:rPr>
                <w:lang w:val="es-ES_tradnl"/>
              </w:rPr>
            </w:pPr>
            <w:r w:rsidRPr="009F1F6D">
              <w:rPr>
                <w:b/>
                <w:i/>
                <w:lang w:val="es-ES_tradnl"/>
              </w:rPr>
              <w:t>2)</w:t>
            </w:r>
            <w:r w:rsidRPr="009F1F6D">
              <w:rPr>
                <w:lang w:val="es-ES_tradnl"/>
              </w:rPr>
              <w:tab/>
              <w:t>La Comisión celebrará un acuerdo de préstamo con Egipto por lo que respecta al importe a que se refiere el artículo 1. Las condiciones detalladas de la ayuda en el marco de la AMF en forma de préstamos se establecerán en un acuerdo de préstamo de conformidad con el artículo </w:t>
            </w:r>
            <w:r w:rsidRPr="009F1F6D">
              <w:rPr>
                <w:b/>
                <w:i/>
                <w:lang w:val="es-ES_tradnl"/>
              </w:rPr>
              <w:t>220</w:t>
            </w:r>
            <w:r w:rsidRPr="009F1F6D">
              <w:rPr>
                <w:lang w:val="es-ES_tradnl"/>
              </w:rPr>
              <w:t xml:space="preserve"> del Reglamento Financiero, que se celebrará entre la Comisión y las autoridades egipcias. El acuerdo de préstamo establecerá el período de disponibilidad y las condiciones detalladas de la ayuda en el marco de la ayuda macrofinanciera en forma de préstamos, también en relación con los sistemas de control interno. </w:t>
            </w:r>
            <w:r w:rsidRPr="009F1F6D">
              <w:rPr>
                <w:b/>
                <w:i/>
                <w:lang w:val="es-ES_tradnl"/>
              </w:rPr>
              <w:t>Los préstamos</w:t>
            </w:r>
            <w:r w:rsidRPr="009F1F6D">
              <w:rPr>
                <w:lang w:val="es-ES_tradnl"/>
              </w:rPr>
              <w:t xml:space="preserve"> se </w:t>
            </w:r>
            <w:r w:rsidRPr="009F1F6D">
              <w:rPr>
                <w:b/>
                <w:i/>
                <w:lang w:val="es-ES_tradnl"/>
              </w:rPr>
              <w:t>concederán</w:t>
            </w:r>
            <w:r w:rsidRPr="009F1F6D">
              <w:rPr>
                <w:lang w:val="es-ES_tradnl"/>
              </w:rPr>
              <w:t xml:space="preserve"> en condiciones que permitan </w:t>
            </w:r>
            <w:r w:rsidRPr="009F1F6D">
              <w:rPr>
                <w:b/>
                <w:i/>
                <w:lang w:val="es-ES_tradnl"/>
              </w:rPr>
              <w:t>a Egipto reembolsar el préstamo</w:t>
            </w:r>
            <w:r w:rsidRPr="009F1F6D">
              <w:rPr>
                <w:lang w:val="es-ES_tradnl"/>
              </w:rPr>
              <w:t xml:space="preserve"> durante un largo período, incluido un posible período de gracia. La duración máxima de los préstamos será de 35 años. La Comisión informará al Parlamento Europeo y al Consejo de la evolución de las operaciones a las que se hace referencia en el apartado 3.</w:t>
            </w:r>
          </w:p>
        </w:tc>
        <w:tc>
          <w:tcPr>
            <w:tcW w:w="4876" w:type="dxa"/>
            <w:hideMark/>
          </w:tcPr>
          <w:p w14:paraId="5CB9B077" w14:textId="77777777" w:rsidR="003C2A24" w:rsidRPr="009F1F6D" w:rsidRDefault="003C2A24" w:rsidP="00CF4BA9">
            <w:pPr>
              <w:pStyle w:val="Normal6"/>
              <w:rPr>
                <w:szCs w:val="24"/>
                <w:lang w:val="es-ES_tradnl"/>
              </w:rPr>
            </w:pPr>
            <w:r w:rsidRPr="009F1F6D">
              <w:rPr>
                <w:b/>
                <w:i/>
                <w:lang w:val="es-ES_tradnl"/>
              </w:rPr>
              <w:t>2.</w:t>
            </w:r>
            <w:r w:rsidRPr="009F1F6D">
              <w:rPr>
                <w:lang w:val="es-ES_tradnl"/>
              </w:rPr>
              <w:tab/>
              <w:t>La Comisión celebrará un acuerdo de préstamo con Egipto por lo que respecta al importe a que se refiere el artículo 1. Las condiciones detalladas de la ayuda en el marco de la AMF en forma de préstamos se establecerán en un acuerdo de préstamo de conformidad con el artículo </w:t>
            </w:r>
            <w:r w:rsidRPr="009F1F6D">
              <w:rPr>
                <w:b/>
                <w:i/>
                <w:lang w:val="es-ES_tradnl"/>
              </w:rPr>
              <w:t>223</w:t>
            </w:r>
            <w:r w:rsidRPr="009F1F6D">
              <w:rPr>
                <w:lang w:val="es-ES_tradnl"/>
              </w:rPr>
              <w:t xml:space="preserve"> del Reglamento Financiero, que se celebrará entre la Comisión y las autoridades egipcias. El acuerdo de préstamo establecerá el período de disponibilidad y las condiciones detalladas de la ayuda en el marco de la ayuda macrofinanciera en forma de préstamos, también en relación con los sistemas de control interno. </w:t>
            </w:r>
            <w:r w:rsidRPr="009F1F6D">
              <w:rPr>
                <w:b/>
                <w:i/>
                <w:lang w:val="es-ES_tradnl"/>
              </w:rPr>
              <w:t>Egipto reembolsará el préstamo que</w:t>
            </w:r>
            <w:r w:rsidRPr="009F1F6D">
              <w:rPr>
                <w:lang w:val="es-ES_tradnl"/>
              </w:rPr>
              <w:t xml:space="preserve"> se </w:t>
            </w:r>
            <w:r w:rsidRPr="009F1F6D">
              <w:rPr>
                <w:b/>
                <w:i/>
                <w:lang w:val="es-ES_tradnl"/>
              </w:rPr>
              <w:t>concederá</w:t>
            </w:r>
            <w:r w:rsidRPr="009F1F6D">
              <w:rPr>
                <w:lang w:val="es-ES_tradnl"/>
              </w:rPr>
              <w:t xml:space="preserve"> en condiciones que permitan </w:t>
            </w:r>
            <w:r w:rsidRPr="009F1F6D">
              <w:rPr>
                <w:b/>
                <w:i/>
                <w:lang w:val="es-ES_tradnl"/>
              </w:rPr>
              <w:t>su reembolso</w:t>
            </w:r>
            <w:r w:rsidRPr="009F1F6D">
              <w:rPr>
                <w:lang w:val="es-ES_tradnl"/>
              </w:rPr>
              <w:t xml:space="preserve"> durante un largo período, incluido</w:t>
            </w:r>
            <w:r w:rsidRPr="009F1F6D">
              <w:rPr>
                <w:b/>
                <w:i/>
                <w:lang w:val="es-ES_tradnl"/>
              </w:rPr>
              <w:t>, tras una notificación oficial al Parlamento Europeo y al Consejo,</w:t>
            </w:r>
            <w:r w:rsidRPr="009F1F6D">
              <w:rPr>
                <w:lang w:val="es-ES_tradnl"/>
              </w:rPr>
              <w:t xml:space="preserve"> un posible período de gracia. La duración máxima de los préstamos será de 35 años. La Comisión informará al Parlamento Europeo y al Consejo de la evolución de las operaciones a las que se hace referencia en el apartado 3.</w:t>
            </w:r>
          </w:p>
        </w:tc>
      </w:tr>
    </w:tbl>
    <w:p w14:paraId="3A292D59" w14:textId="77777777" w:rsidR="003C2A24" w:rsidRPr="009F1F6D" w:rsidRDefault="003C2A24" w:rsidP="003C2A24"/>
    <w:p w14:paraId="58BD7623" w14:textId="77777777" w:rsidR="003C2A24" w:rsidRPr="009F1F6D" w:rsidRDefault="003C2A24" w:rsidP="003C2A24">
      <w:pPr>
        <w:pStyle w:val="AmNumberTabs"/>
      </w:pPr>
      <w:r w:rsidRPr="009F1F6D">
        <w:t>Enmienda</w:t>
      </w:r>
      <w:r w:rsidRPr="009F1F6D">
        <w:tab/>
      </w:r>
      <w:r w:rsidRPr="009F1F6D">
        <w:tab/>
        <w:t>26</w:t>
      </w:r>
    </w:p>
    <w:p w14:paraId="776A0F80" w14:textId="77777777" w:rsidR="003C2A24" w:rsidRPr="009F1F6D" w:rsidRDefault="003C2A24" w:rsidP="003C2A24">
      <w:pPr>
        <w:pStyle w:val="NormalBold12b"/>
      </w:pPr>
      <w:r w:rsidRPr="009F1F6D">
        <w:t>Propuesta de Decisión</w:t>
      </w:r>
    </w:p>
    <w:p w14:paraId="3AE1AC31" w14:textId="77777777" w:rsidR="003C2A24" w:rsidRPr="009F1F6D" w:rsidRDefault="003C2A24" w:rsidP="003C2A24">
      <w:pPr>
        <w:pStyle w:val="NormalBold"/>
      </w:pPr>
      <w:r w:rsidRPr="009F1F6D">
        <w:t>Artículo 6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1D2F2FC5" w14:textId="77777777" w:rsidTr="00CF4BA9">
        <w:trPr>
          <w:trHeight w:val="240"/>
          <w:jc w:val="center"/>
        </w:trPr>
        <w:tc>
          <w:tcPr>
            <w:tcW w:w="9752" w:type="dxa"/>
            <w:gridSpan w:val="2"/>
            <w:tcBorders>
              <w:top w:val="nil"/>
              <w:left w:val="nil"/>
              <w:bottom w:val="nil"/>
              <w:right w:val="nil"/>
            </w:tcBorders>
          </w:tcPr>
          <w:p w14:paraId="7E97B607" w14:textId="77777777" w:rsidR="003C2A24" w:rsidRPr="009F1F6D" w:rsidRDefault="003C2A24" w:rsidP="00CF4BA9"/>
        </w:tc>
      </w:tr>
      <w:tr w:rsidR="003C2A24" w:rsidRPr="009F1F6D" w14:paraId="2A711AB3" w14:textId="77777777" w:rsidTr="00CF4BA9">
        <w:trPr>
          <w:trHeight w:val="240"/>
          <w:jc w:val="center"/>
        </w:trPr>
        <w:tc>
          <w:tcPr>
            <w:tcW w:w="4876" w:type="dxa"/>
            <w:tcBorders>
              <w:top w:val="nil"/>
              <w:left w:val="nil"/>
              <w:bottom w:val="nil"/>
              <w:right w:val="nil"/>
            </w:tcBorders>
            <w:hideMark/>
          </w:tcPr>
          <w:p w14:paraId="36484A8B"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hideMark/>
          </w:tcPr>
          <w:p w14:paraId="0E609642" w14:textId="77777777" w:rsidR="003C2A24" w:rsidRPr="009F1F6D" w:rsidRDefault="003C2A24" w:rsidP="00CF4BA9">
            <w:pPr>
              <w:pStyle w:val="AmColumnHeading"/>
            </w:pPr>
            <w:r w:rsidRPr="009F1F6D">
              <w:t>Enmienda</w:t>
            </w:r>
          </w:p>
        </w:tc>
      </w:tr>
      <w:tr w:rsidR="003C2A24" w:rsidRPr="009F1F6D" w14:paraId="089F3510" w14:textId="77777777" w:rsidTr="00CF4BA9">
        <w:trPr>
          <w:jc w:val="center"/>
        </w:trPr>
        <w:tc>
          <w:tcPr>
            <w:tcW w:w="4876" w:type="dxa"/>
            <w:tcBorders>
              <w:top w:val="nil"/>
              <w:left w:val="nil"/>
              <w:bottom w:val="nil"/>
              <w:right w:val="nil"/>
            </w:tcBorders>
            <w:hideMark/>
          </w:tcPr>
          <w:p w14:paraId="501A0BC2" w14:textId="77777777" w:rsidR="003C2A24" w:rsidRPr="009F1F6D" w:rsidRDefault="003C2A24" w:rsidP="00CF4BA9">
            <w:pPr>
              <w:pStyle w:val="Normal6a"/>
            </w:pPr>
            <w:r w:rsidRPr="009F1F6D">
              <w:t>1.</w:t>
            </w:r>
            <w:r w:rsidRPr="009F1F6D">
              <w:tab/>
              <w:t xml:space="preserve">La ayuda macrofinanciera de la Unión se ejecutará de conformidad con el Reglamento (UE, Euratom) </w:t>
            </w:r>
            <w:r w:rsidRPr="009F1F6D">
              <w:rPr>
                <w:b/>
                <w:i/>
              </w:rPr>
              <w:t>n.º 2018/1046</w:t>
            </w:r>
            <w:r w:rsidRPr="009F1F6D">
              <w:t xml:space="preserve"> del Parlamento Europeo y del Consejo</w:t>
            </w:r>
            <w:r w:rsidRPr="009F1F6D">
              <w:rPr>
                <w:vertAlign w:val="superscript"/>
              </w:rPr>
              <w:t>7</w:t>
            </w:r>
            <w:r w:rsidRPr="009F1F6D">
              <w:t>.</w:t>
            </w:r>
          </w:p>
        </w:tc>
        <w:tc>
          <w:tcPr>
            <w:tcW w:w="4876" w:type="dxa"/>
            <w:tcBorders>
              <w:top w:val="nil"/>
              <w:left w:val="nil"/>
              <w:bottom w:val="nil"/>
              <w:right w:val="nil"/>
            </w:tcBorders>
            <w:hideMark/>
          </w:tcPr>
          <w:p w14:paraId="1241FD4D" w14:textId="77777777" w:rsidR="003C2A24" w:rsidRPr="009F1F6D" w:rsidRDefault="003C2A24" w:rsidP="00CF4BA9">
            <w:pPr>
              <w:pStyle w:val="Normal6a"/>
            </w:pPr>
            <w:r w:rsidRPr="009F1F6D">
              <w:t>1.</w:t>
            </w:r>
            <w:r w:rsidRPr="009F1F6D">
              <w:tab/>
              <w:t>La ayuda macrofinanciera de la Unión se ejecutará de conformidad con el Reglamento (UE, Euratom) </w:t>
            </w:r>
            <w:r w:rsidRPr="009F1F6D">
              <w:rPr>
                <w:b/>
                <w:i/>
              </w:rPr>
              <w:t>2024/2509</w:t>
            </w:r>
            <w:r w:rsidRPr="009F1F6D">
              <w:t xml:space="preserve"> del Parlamento Europeo y del Consejo</w:t>
            </w:r>
            <w:r w:rsidRPr="009F1F6D">
              <w:rPr>
                <w:vertAlign w:val="superscript"/>
              </w:rPr>
              <w:t>7</w:t>
            </w:r>
            <w:r w:rsidRPr="009F1F6D">
              <w:t>.</w:t>
            </w:r>
          </w:p>
        </w:tc>
      </w:tr>
      <w:tr w:rsidR="003C2A24" w:rsidRPr="009F1F6D" w14:paraId="6F3CEB62" w14:textId="77777777" w:rsidTr="00CF4BA9">
        <w:trPr>
          <w:jc w:val="center"/>
        </w:trPr>
        <w:tc>
          <w:tcPr>
            <w:tcW w:w="4876" w:type="dxa"/>
            <w:tcBorders>
              <w:top w:val="nil"/>
              <w:left w:val="nil"/>
              <w:bottom w:val="nil"/>
              <w:right w:val="nil"/>
            </w:tcBorders>
            <w:hideMark/>
          </w:tcPr>
          <w:p w14:paraId="5EC3623B" w14:textId="77777777" w:rsidR="003C2A24" w:rsidRPr="009F1F6D" w:rsidRDefault="003C2A24" w:rsidP="00CF4BA9">
            <w:pPr>
              <w:pStyle w:val="Normal6a"/>
            </w:pPr>
            <w:r w:rsidRPr="009F1F6D">
              <w:rPr>
                <w:b/>
                <w:i/>
              </w:rPr>
              <w:t>_________________</w:t>
            </w:r>
          </w:p>
        </w:tc>
        <w:tc>
          <w:tcPr>
            <w:tcW w:w="4876" w:type="dxa"/>
            <w:tcBorders>
              <w:top w:val="nil"/>
              <w:left w:val="nil"/>
              <w:bottom w:val="nil"/>
              <w:right w:val="nil"/>
            </w:tcBorders>
            <w:hideMark/>
          </w:tcPr>
          <w:p w14:paraId="089C4CDA" w14:textId="77777777" w:rsidR="003C2A24" w:rsidRPr="009F1F6D" w:rsidRDefault="003C2A24" w:rsidP="00CF4BA9">
            <w:pPr>
              <w:pStyle w:val="Normal6a"/>
            </w:pPr>
            <w:r w:rsidRPr="009F1F6D">
              <w:rPr>
                <w:b/>
                <w:i/>
              </w:rPr>
              <w:t>_________________</w:t>
            </w:r>
          </w:p>
        </w:tc>
      </w:tr>
      <w:tr w:rsidR="003C2A24" w:rsidRPr="009F1F6D" w14:paraId="312E5756" w14:textId="77777777" w:rsidTr="00CF4BA9">
        <w:trPr>
          <w:jc w:val="center"/>
        </w:trPr>
        <w:tc>
          <w:tcPr>
            <w:tcW w:w="4876" w:type="dxa"/>
            <w:tcBorders>
              <w:top w:val="nil"/>
              <w:left w:val="nil"/>
              <w:bottom w:val="nil"/>
              <w:right w:val="nil"/>
            </w:tcBorders>
            <w:hideMark/>
          </w:tcPr>
          <w:p w14:paraId="0F1F048B" w14:textId="77777777" w:rsidR="003C2A24" w:rsidRPr="009F1F6D" w:rsidRDefault="003C2A24" w:rsidP="00CF4BA9">
            <w:pPr>
              <w:pStyle w:val="Normal6a"/>
            </w:pPr>
            <w:r w:rsidRPr="009F1F6D">
              <w:rPr>
                <w:vertAlign w:val="superscript"/>
              </w:rPr>
              <w:t>7</w:t>
            </w:r>
            <w:r w:rsidRPr="009F1F6D">
              <w:t xml:space="preserve"> Reglamento (UE, Euratom) </w:t>
            </w:r>
            <w:r w:rsidRPr="009F1F6D">
              <w:rPr>
                <w:b/>
                <w:i/>
              </w:rPr>
              <w:t>2018/1046</w:t>
            </w:r>
            <w:r w:rsidRPr="009F1F6D">
              <w:t xml:space="preserve"> del Parlamento Europeo y del Consejo, de </w:t>
            </w:r>
            <w:r w:rsidRPr="009F1F6D">
              <w:rPr>
                <w:b/>
                <w:i/>
              </w:rPr>
              <w:t>18 de julio de 2018</w:t>
            </w:r>
            <w:r w:rsidRPr="009F1F6D">
              <w:t xml:space="preserve">, sobre las normas financieras aplicables al presupuesto general de la Unión </w:t>
            </w:r>
            <w:r w:rsidRPr="009F1F6D">
              <w:rPr>
                <w:b/>
                <w:i/>
              </w:rPr>
              <w:t xml:space="preserve">y por el que se deroga el Reglamento (CE, Euratom) </w:t>
            </w:r>
            <w:r w:rsidRPr="009F1F6D">
              <w:rPr>
                <w:b/>
                <w:i/>
              </w:rPr>
              <w:lastRenderedPageBreak/>
              <w:t>n.º 966/2012 (DO L 193 de 30.7.2018, p. 1).</w:t>
            </w:r>
          </w:p>
        </w:tc>
        <w:tc>
          <w:tcPr>
            <w:tcW w:w="4876" w:type="dxa"/>
            <w:tcBorders>
              <w:top w:val="nil"/>
              <w:left w:val="nil"/>
              <w:bottom w:val="nil"/>
              <w:right w:val="nil"/>
            </w:tcBorders>
            <w:hideMark/>
          </w:tcPr>
          <w:p w14:paraId="33FDF860" w14:textId="77777777" w:rsidR="003C2A24" w:rsidRPr="009F1F6D" w:rsidRDefault="003C2A24" w:rsidP="00CF4BA9">
            <w:pPr>
              <w:pStyle w:val="Normal6a"/>
            </w:pPr>
            <w:r w:rsidRPr="009F1F6D">
              <w:rPr>
                <w:vertAlign w:val="superscript"/>
              </w:rPr>
              <w:lastRenderedPageBreak/>
              <w:t>7</w:t>
            </w:r>
            <w:r w:rsidRPr="009F1F6D">
              <w:t xml:space="preserve"> Reglamento (UE, Euratom) </w:t>
            </w:r>
            <w:r w:rsidRPr="009F1F6D">
              <w:rPr>
                <w:b/>
                <w:i/>
              </w:rPr>
              <w:t>2024/2509</w:t>
            </w:r>
            <w:r w:rsidRPr="009F1F6D">
              <w:t xml:space="preserve"> del Parlamento Europeo y del Consejo, de </w:t>
            </w:r>
            <w:r w:rsidRPr="009F1F6D">
              <w:rPr>
                <w:b/>
                <w:i/>
              </w:rPr>
              <w:t>23 de septiembre de 2024</w:t>
            </w:r>
            <w:r w:rsidRPr="009F1F6D">
              <w:t xml:space="preserve">, sobre las normas financieras aplicables al presupuesto general de la Unión </w:t>
            </w:r>
            <w:r w:rsidRPr="009F1F6D">
              <w:rPr>
                <w:b/>
                <w:i/>
              </w:rPr>
              <w:t xml:space="preserve">(DO L, 2024/2509, 26.9.2024, ELI: </w:t>
            </w:r>
            <w:hyperlink r:id="rId9" w:history="1">
              <w:r w:rsidRPr="009F1F6D">
                <w:rPr>
                  <w:rStyle w:val="Hyperlink"/>
                  <w:b/>
                  <w:i/>
                </w:rPr>
                <w:t>http://data.europa.eu/eli/reg/2024/2509/oj</w:t>
              </w:r>
            </w:hyperlink>
            <w:r w:rsidRPr="009F1F6D">
              <w:rPr>
                <w:b/>
                <w:i/>
              </w:rPr>
              <w:t>).</w:t>
            </w:r>
          </w:p>
        </w:tc>
      </w:tr>
    </w:tbl>
    <w:p w14:paraId="59D95DA0" w14:textId="77777777" w:rsidR="003C2A24" w:rsidRPr="009F1F6D" w:rsidRDefault="003C2A24" w:rsidP="003C2A24"/>
    <w:p w14:paraId="02E9A5BC" w14:textId="77777777" w:rsidR="003C2A24" w:rsidRPr="009F1F6D" w:rsidRDefault="003C2A24" w:rsidP="003C2A24">
      <w:pPr>
        <w:pStyle w:val="AmNumberTabs"/>
      </w:pPr>
      <w:r w:rsidRPr="009F1F6D">
        <w:t>Enmienda</w:t>
      </w:r>
      <w:r w:rsidRPr="009F1F6D">
        <w:tab/>
      </w:r>
      <w:r w:rsidRPr="009F1F6D">
        <w:tab/>
        <w:t>27</w:t>
      </w:r>
    </w:p>
    <w:p w14:paraId="5887D245" w14:textId="77777777" w:rsidR="003C2A24" w:rsidRPr="009F1F6D" w:rsidRDefault="003C2A24" w:rsidP="003C2A24">
      <w:pPr>
        <w:pStyle w:val="NormalBold12b"/>
      </w:pPr>
      <w:r w:rsidRPr="009F1F6D">
        <w:t>Propuesta de Decisión</w:t>
      </w:r>
    </w:p>
    <w:p w14:paraId="6D9A8B04" w14:textId="77777777" w:rsidR="003C2A24" w:rsidRPr="009F1F6D" w:rsidRDefault="003C2A24" w:rsidP="003C2A24">
      <w:pPr>
        <w:pStyle w:val="NormalBold"/>
      </w:pPr>
      <w:r w:rsidRPr="009F1F6D">
        <w:t>Artículo 8 – apartado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2A24" w:rsidRPr="009F1F6D" w14:paraId="4C89BBD2" w14:textId="77777777" w:rsidTr="00CF4BA9">
        <w:trPr>
          <w:trHeight w:val="240"/>
          <w:jc w:val="center"/>
        </w:trPr>
        <w:tc>
          <w:tcPr>
            <w:tcW w:w="9752" w:type="dxa"/>
            <w:gridSpan w:val="2"/>
            <w:tcBorders>
              <w:top w:val="nil"/>
              <w:left w:val="nil"/>
              <w:bottom w:val="nil"/>
              <w:right w:val="nil"/>
            </w:tcBorders>
          </w:tcPr>
          <w:p w14:paraId="5CD40326" w14:textId="77777777" w:rsidR="003C2A24" w:rsidRPr="009F1F6D" w:rsidRDefault="003C2A24" w:rsidP="00CF4BA9"/>
        </w:tc>
      </w:tr>
      <w:tr w:rsidR="003C2A24" w:rsidRPr="009F1F6D" w14:paraId="7A1694F3" w14:textId="77777777" w:rsidTr="00CF4BA9">
        <w:trPr>
          <w:trHeight w:val="240"/>
          <w:jc w:val="center"/>
        </w:trPr>
        <w:tc>
          <w:tcPr>
            <w:tcW w:w="4876" w:type="dxa"/>
            <w:tcBorders>
              <w:top w:val="nil"/>
              <w:left w:val="nil"/>
              <w:bottom w:val="nil"/>
              <w:right w:val="nil"/>
            </w:tcBorders>
            <w:hideMark/>
          </w:tcPr>
          <w:p w14:paraId="5AF73A29" w14:textId="77777777" w:rsidR="003C2A24" w:rsidRPr="009F1F6D" w:rsidRDefault="003C2A24" w:rsidP="00CF4BA9">
            <w:pPr>
              <w:pStyle w:val="AmColumnHeading"/>
            </w:pPr>
            <w:r w:rsidRPr="009F1F6D">
              <w:t>Texto de la Comisión</w:t>
            </w:r>
          </w:p>
        </w:tc>
        <w:tc>
          <w:tcPr>
            <w:tcW w:w="4876" w:type="dxa"/>
            <w:tcBorders>
              <w:top w:val="nil"/>
              <w:left w:val="nil"/>
              <w:bottom w:val="nil"/>
              <w:right w:val="nil"/>
            </w:tcBorders>
            <w:hideMark/>
          </w:tcPr>
          <w:p w14:paraId="597F0CB0" w14:textId="77777777" w:rsidR="003C2A24" w:rsidRPr="009F1F6D" w:rsidRDefault="003C2A24" w:rsidP="00CF4BA9">
            <w:pPr>
              <w:pStyle w:val="AmColumnHeading"/>
            </w:pPr>
            <w:r w:rsidRPr="009F1F6D">
              <w:t>Enmienda</w:t>
            </w:r>
          </w:p>
        </w:tc>
      </w:tr>
      <w:tr w:rsidR="003C2A24" w:rsidRPr="009F1F6D" w14:paraId="00620E22" w14:textId="77777777" w:rsidTr="00CF4BA9">
        <w:trPr>
          <w:jc w:val="center"/>
        </w:trPr>
        <w:tc>
          <w:tcPr>
            <w:tcW w:w="4876" w:type="dxa"/>
            <w:tcBorders>
              <w:top w:val="nil"/>
              <w:left w:val="nil"/>
              <w:bottom w:val="nil"/>
              <w:right w:val="nil"/>
            </w:tcBorders>
            <w:hideMark/>
          </w:tcPr>
          <w:p w14:paraId="4F5D2663" w14:textId="77777777" w:rsidR="003C2A24" w:rsidRPr="009F1F6D" w:rsidRDefault="003C2A24" w:rsidP="00CF4BA9">
            <w:pPr>
              <w:pStyle w:val="Normal6a"/>
            </w:pPr>
            <w:r w:rsidRPr="009F1F6D">
              <w:t>b)</w:t>
            </w:r>
            <w:r w:rsidRPr="009F1F6D">
              <w:tab/>
              <w:t>evaluará la situación económica y las perspectivas económicas de Egipto, así como los avances que se hayan conseguido en la ejecución de las medidas previstas en el artículo 3, apartado 1;</w:t>
            </w:r>
          </w:p>
        </w:tc>
        <w:tc>
          <w:tcPr>
            <w:tcW w:w="4876" w:type="dxa"/>
            <w:tcBorders>
              <w:top w:val="nil"/>
              <w:left w:val="nil"/>
              <w:bottom w:val="nil"/>
              <w:right w:val="nil"/>
            </w:tcBorders>
            <w:hideMark/>
          </w:tcPr>
          <w:p w14:paraId="43968466" w14:textId="77777777" w:rsidR="003C2A24" w:rsidRPr="009F1F6D" w:rsidRDefault="003C2A24" w:rsidP="00CF4BA9">
            <w:pPr>
              <w:pStyle w:val="Normal6a"/>
            </w:pPr>
            <w:r w:rsidRPr="009F1F6D">
              <w:t>b)</w:t>
            </w:r>
            <w:r w:rsidRPr="009F1F6D">
              <w:tab/>
              <w:t xml:space="preserve">evaluará la situación económica y las perspectivas económicas de Egipto, así como los avances que se hayan conseguido en la ejecución de las medidas previstas </w:t>
            </w:r>
            <w:r w:rsidRPr="009F1F6D">
              <w:rPr>
                <w:b/>
                <w:i/>
              </w:rPr>
              <w:t>en el artículo 2 y</w:t>
            </w:r>
            <w:r w:rsidRPr="009F1F6D">
              <w:t xml:space="preserve"> en el artículo 3, apartado 1;</w:t>
            </w:r>
          </w:p>
        </w:tc>
      </w:tr>
    </w:tbl>
    <w:p w14:paraId="4CC4CFFE" w14:textId="77777777" w:rsidR="003C2A24" w:rsidRPr="009F1F6D" w:rsidRDefault="003C2A24" w:rsidP="003C2A24"/>
    <w:p w14:paraId="356C3278" w14:textId="77777777" w:rsidR="003C2A24" w:rsidRPr="009F1F6D" w:rsidRDefault="003C2A24" w:rsidP="003C2A24">
      <w:pPr>
        <w:pStyle w:val="AMNumberTabs0"/>
        <w:keepNext/>
        <w:rPr>
          <w:lang w:val="es-ES_tradnl"/>
        </w:rPr>
      </w:pPr>
      <w:r w:rsidRPr="009F1F6D">
        <w:rPr>
          <w:lang w:val="es-ES_tradnl"/>
        </w:rPr>
        <w:t>Enmienda</w:t>
      </w:r>
      <w:r w:rsidRPr="009F1F6D">
        <w:rPr>
          <w:lang w:val="es-ES_tradnl"/>
        </w:rPr>
        <w:tab/>
      </w:r>
      <w:r w:rsidRPr="009F1F6D">
        <w:rPr>
          <w:lang w:val="es-ES_tradnl"/>
        </w:rPr>
        <w:tab/>
        <w:t>28</w:t>
      </w:r>
    </w:p>
    <w:p w14:paraId="12D8FCBD" w14:textId="77777777" w:rsidR="003C2A24" w:rsidRPr="009F1F6D" w:rsidRDefault="003C2A24" w:rsidP="003C2A24">
      <w:pPr>
        <w:pStyle w:val="NormalBold12b"/>
        <w:keepNext/>
      </w:pPr>
      <w:r w:rsidRPr="009F1F6D">
        <w:t>Propuesta de Decisión</w:t>
      </w:r>
    </w:p>
    <w:p w14:paraId="29649BA7" w14:textId="77777777" w:rsidR="003C2A24" w:rsidRPr="009F1F6D" w:rsidRDefault="003C2A24" w:rsidP="003C2A24">
      <w:pPr>
        <w:pStyle w:val="NormalBold"/>
      </w:pPr>
      <w:r w:rsidRPr="009F1F6D">
        <w:t>Artículo 8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2A24" w:rsidRPr="009F1F6D" w14:paraId="01BAA979" w14:textId="77777777" w:rsidTr="00CF4BA9">
        <w:trPr>
          <w:jc w:val="center"/>
        </w:trPr>
        <w:tc>
          <w:tcPr>
            <w:tcW w:w="9752" w:type="dxa"/>
            <w:gridSpan w:val="2"/>
          </w:tcPr>
          <w:p w14:paraId="13B429F7" w14:textId="77777777" w:rsidR="003C2A24" w:rsidRPr="009F1F6D" w:rsidRDefault="003C2A24" w:rsidP="00CF4BA9">
            <w:pPr>
              <w:keepNext/>
            </w:pPr>
          </w:p>
        </w:tc>
      </w:tr>
      <w:tr w:rsidR="003C2A24" w:rsidRPr="009F1F6D" w14:paraId="2C4E3B9B" w14:textId="77777777" w:rsidTr="00CF4BA9">
        <w:trPr>
          <w:jc w:val="center"/>
        </w:trPr>
        <w:tc>
          <w:tcPr>
            <w:tcW w:w="4876" w:type="dxa"/>
            <w:hideMark/>
          </w:tcPr>
          <w:p w14:paraId="71043808" w14:textId="77777777" w:rsidR="003C2A24" w:rsidRPr="009F1F6D" w:rsidRDefault="003C2A24" w:rsidP="00CF4BA9">
            <w:pPr>
              <w:pStyle w:val="ColumnHeading"/>
              <w:keepNext/>
              <w:rPr>
                <w:lang w:val="es-ES_tradnl"/>
              </w:rPr>
            </w:pPr>
            <w:r w:rsidRPr="009F1F6D">
              <w:rPr>
                <w:lang w:val="es-ES_tradnl"/>
              </w:rPr>
              <w:t>Texto de la Comisión</w:t>
            </w:r>
          </w:p>
        </w:tc>
        <w:tc>
          <w:tcPr>
            <w:tcW w:w="4876" w:type="dxa"/>
            <w:hideMark/>
          </w:tcPr>
          <w:p w14:paraId="49E68A23" w14:textId="77777777" w:rsidR="003C2A24" w:rsidRPr="009F1F6D" w:rsidRDefault="003C2A24" w:rsidP="00CF4BA9">
            <w:pPr>
              <w:pStyle w:val="ColumnHeading"/>
              <w:keepNext/>
              <w:rPr>
                <w:lang w:val="es-ES_tradnl"/>
              </w:rPr>
            </w:pPr>
            <w:r w:rsidRPr="009F1F6D">
              <w:rPr>
                <w:lang w:val="es-ES_tradnl"/>
              </w:rPr>
              <w:t>Enmienda</w:t>
            </w:r>
          </w:p>
        </w:tc>
      </w:tr>
      <w:tr w:rsidR="003C2A24" w:rsidRPr="009F1F6D" w14:paraId="6AA9B336" w14:textId="77777777" w:rsidTr="00CF4BA9">
        <w:trPr>
          <w:jc w:val="center"/>
        </w:trPr>
        <w:tc>
          <w:tcPr>
            <w:tcW w:w="4876" w:type="dxa"/>
            <w:hideMark/>
          </w:tcPr>
          <w:p w14:paraId="50516972" w14:textId="77777777" w:rsidR="003C2A24" w:rsidRPr="009F1F6D" w:rsidRDefault="003C2A24" w:rsidP="00CF4BA9">
            <w:pPr>
              <w:pStyle w:val="Normal6"/>
              <w:rPr>
                <w:lang w:val="es-ES_tradnl"/>
              </w:rPr>
            </w:pPr>
            <w:r w:rsidRPr="009F1F6D">
              <w:rPr>
                <w:lang w:val="es-ES_tradnl"/>
              </w:rPr>
              <w:t>c)</w:t>
            </w:r>
            <w:r w:rsidRPr="009F1F6D">
              <w:rPr>
                <w:lang w:val="es-ES_tradnl"/>
              </w:rPr>
              <w:tab/>
              <w:t xml:space="preserve">indicará la relación entre las </w:t>
            </w:r>
            <w:r w:rsidRPr="009F1F6D">
              <w:rPr>
                <w:b/>
                <w:i/>
                <w:lang w:val="es-ES_tradnl"/>
              </w:rPr>
              <w:t>condiciones</w:t>
            </w:r>
            <w:r w:rsidRPr="009F1F6D">
              <w:rPr>
                <w:lang w:val="es-ES_tradnl"/>
              </w:rPr>
              <w:t xml:space="preserve"> de política económica </w:t>
            </w:r>
            <w:r w:rsidRPr="009F1F6D">
              <w:rPr>
                <w:b/>
                <w:i/>
                <w:lang w:val="es-ES_tradnl"/>
              </w:rPr>
              <w:t>establecidas en el</w:t>
            </w:r>
            <w:r w:rsidRPr="009F1F6D">
              <w:rPr>
                <w:lang w:val="es-ES_tradnl"/>
              </w:rPr>
              <w:t xml:space="preserve"> Memorando de Acuerdo, </w:t>
            </w:r>
            <w:r w:rsidRPr="009F1F6D">
              <w:rPr>
                <w:b/>
                <w:i/>
                <w:lang w:val="es-ES_tradnl"/>
              </w:rPr>
              <w:t>los</w:t>
            </w:r>
            <w:r w:rsidRPr="009F1F6D">
              <w:rPr>
                <w:lang w:val="es-ES_tradnl"/>
              </w:rPr>
              <w:t xml:space="preserve"> resultados </w:t>
            </w:r>
            <w:r w:rsidRPr="009F1F6D">
              <w:rPr>
                <w:b/>
                <w:i/>
                <w:lang w:val="es-ES_tradnl"/>
              </w:rPr>
              <w:t>económicos y</w:t>
            </w:r>
            <w:r w:rsidRPr="009F1F6D">
              <w:rPr>
                <w:lang w:val="es-ES_tradnl"/>
              </w:rPr>
              <w:t xml:space="preserve"> presupuestarios </w:t>
            </w:r>
            <w:r w:rsidRPr="009F1F6D">
              <w:rPr>
                <w:b/>
                <w:i/>
                <w:lang w:val="es-ES_tradnl"/>
              </w:rPr>
              <w:t>actuales de Egipto y las decisiones de la Comisión de desembolsar los tramos</w:t>
            </w:r>
            <w:r w:rsidRPr="009F1F6D">
              <w:rPr>
                <w:lang w:val="es-ES_tradnl"/>
              </w:rPr>
              <w:t xml:space="preserve"> de la ayuda macrofinanciera de la Unión.</w:t>
            </w:r>
          </w:p>
        </w:tc>
        <w:tc>
          <w:tcPr>
            <w:tcW w:w="4876" w:type="dxa"/>
            <w:hideMark/>
          </w:tcPr>
          <w:p w14:paraId="5E4726D5" w14:textId="77777777" w:rsidR="003C2A24" w:rsidRPr="009F1F6D" w:rsidRDefault="003C2A24" w:rsidP="00CF4BA9">
            <w:pPr>
              <w:pStyle w:val="Normal6"/>
              <w:rPr>
                <w:szCs w:val="24"/>
                <w:lang w:val="es-ES_tradnl"/>
              </w:rPr>
            </w:pPr>
            <w:r w:rsidRPr="009F1F6D">
              <w:rPr>
                <w:lang w:val="es-ES_tradnl"/>
              </w:rPr>
              <w:t>c)</w:t>
            </w:r>
            <w:r w:rsidRPr="009F1F6D">
              <w:rPr>
                <w:lang w:val="es-ES_tradnl"/>
              </w:rPr>
              <w:tab/>
              <w:t xml:space="preserve">indicará la relación entre las </w:t>
            </w:r>
            <w:r w:rsidRPr="009F1F6D">
              <w:rPr>
                <w:b/>
                <w:i/>
                <w:lang w:val="es-ES_tradnl"/>
              </w:rPr>
              <w:t>reformas</w:t>
            </w:r>
            <w:r w:rsidRPr="009F1F6D">
              <w:rPr>
                <w:lang w:val="es-ES_tradnl"/>
              </w:rPr>
              <w:t xml:space="preserve"> de política económica </w:t>
            </w:r>
            <w:r w:rsidRPr="009F1F6D">
              <w:rPr>
                <w:b/>
                <w:i/>
                <w:lang w:val="es-ES_tradnl"/>
              </w:rPr>
              <w:t>de Egipto en el marco del</w:t>
            </w:r>
            <w:r w:rsidRPr="009F1F6D">
              <w:rPr>
                <w:lang w:val="es-ES_tradnl"/>
              </w:rPr>
              <w:t xml:space="preserve"> Memorando de Acuerdo, </w:t>
            </w:r>
            <w:r w:rsidRPr="009F1F6D">
              <w:rPr>
                <w:b/>
                <w:i/>
                <w:lang w:val="es-ES_tradnl"/>
              </w:rPr>
              <w:t>sus</w:t>
            </w:r>
            <w:r w:rsidRPr="009F1F6D">
              <w:rPr>
                <w:lang w:val="es-ES_tradnl"/>
              </w:rPr>
              <w:t xml:space="preserve"> resultados presupuestarios </w:t>
            </w:r>
            <w:r w:rsidRPr="009F1F6D">
              <w:rPr>
                <w:b/>
                <w:i/>
                <w:lang w:val="es-ES_tradnl"/>
              </w:rPr>
              <w:t>y el desembolso</w:t>
            </w:r>
            <w:r w:rsidRPr="009F1F6D">
              <w:rPr>
                <w:lang w:val="es-ES_tradnl"/>
              </w:rPr>
              <w:t xml:space="preserve"> de la ayuda macrofinanciera de la Unión</w:t>
            </w:r>
            <w:r w:rsidRPr="009F1F6D">
              <w:rPr>
                <w:b/>
                <w:i/>
                <w:lang w:val="es-ES_tradnl"/>
              </w:rPr>
              <w:t>, al tiempo que esboza las medidas adoptadas hacia los mecanismos democráticos, el Estado de Derecho y los derechos humanos</w:t>
            </w:r>
            <w:r w:rsidRPr="009F1F6D">
              <w:rPr>
                <w:lang w:val="es-ES_tradnl"/>
              </w:rPr>
              <w:t>.</w:t>
            </w:r>
          </w:p>
        </w:tc>
      </w:tr>
    </w:tbl>
    <w:p w14:paraId="0B4D05CC" w14:textId="77777777" w:rsidR="00E365E1" w:rsidRPr="009F1F6D" w:rsidRDefault="00E365E1" w:rsidP="005D4722"/>
    <w:sectPr w:rsidR="00E365E1" w:rsidRPr="009F1F6D" w:rsidSect="00C4768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A8604" w14:textId="77777777" w:rsidR="005D4722" w:rsidRPr="00C47682" w:rsidRDefault="005D4722">
      <w:r w:rsidRPr="00C47682">
        <w:separator/>
      </w:r>
    </w:p>
  </w:endnote>
  <w:endnote w:type="continuationSeparator" w:id="0">
    <w:p w14:paraId="793824EA" w14:textId="77777777" w:rsidR="005D4722" w:rsidRPr="00C47682" w:rsidRDefault="005D4722">
      <w:r w:rsidRPr="00C476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A305" w14:textId="77777777" w:rsidR="00064002" w:rsidRPr="00C476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02FF" w14:textId="77777777" w:rsidR="00064002" w:rsidRPr="00C476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CF48" w14:textId="77777777" w:rsidR="00064002" w:rsidRPr="00C476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7F8E6" w14:textId="77777777" w:rsidR="005D4722" w:rsidRPr="00C47682" w:rsidRDefault="005D4722">
      <w:r w:rsidRPr="00C47682">
        <w:separator/>
      </w:r>
    </w:p>
  </w:footnote>
  <w:footnote w:type="continuationSeparator" w:id="0">
    <w:p w14:paraId="356CF72A" w14:textId="77777777" w:rsidR="005D4722" w:rsidRPr="00C47682" w:rsidRDefault="005D4722">
      <w:r w:rsidRPr="00C47682">
        <w:continuationSeparator/>
      </w:r>
    </w:p>
  </w:footnote>
  <w:footnote w:id="1">
    <w:p w14:paraId="2F454BEF" w14:textId="77777777" w:rsidR="00EA52BA" w:rsidRPr="009F1F6D" w:rsidRDefault="00EA52BA" w:rsidP="009F1F6D">
      <w:pPr>
        <w:pStyle w:val="FootnoteText"/>
        <w:ind w:left="567" w:hanging="567"/>
        <w:rPr>
          <w:sz w:val="24"/>
          <w:szCs w:val="24"/>
          <w:lang w:val="es-ES"/>
        </w:rPr>
      </w:pPr>
      <w:r w:rsidRPr="009F1F6D">
        <w:rPr>
          <w:rStyle w:val="FootnoteReference"/>
          <w:sz w:val="24"/>
          <w:szCs w:val="24"/>
        </w:rPr>
        <w:footnoteRef/>
      </w:r>
      <w:r w:rsidRPr="009F1F6D">
        <w:rPr>
          <w:sz w:val="24"/>
          <w:szCs w:val="24"/>
          <w:lang w:val="es-ES"/>
        </w:rPr>
        <w:t xml:space="preserve"> </w:t>
      </w:r>
      <w:r w:rsidRPr="009F1F6D">
        <w:rPr>
          <w:sz w:val="24"/>
          <w:szCs w:val="24"/>
          <w:lang w:val="es-ES"/>
        </w:rPr>
        <w:tab/>
      </w:r>
      <w:r w:rsidRPr="009F1F6D">
        <w:rPr>
          <w:sz w:val="24"/>
          <w:szCs w:val="24"/>
          <w:lang w:val="es-ES_tradnl"/>
        </w:rPr>
        <w:t>De conformidad con el artículo 60, apartado 4, párrafo cuarto, del Reglamento interno, el asunto se devuelve a la comisión competente con vistas a la celebración de negociaciones interinstitucionales (A10</w:t>
      </w:r>
      <w:r>
        <w:rPr>
          <w:sz w:val="24"/>
          <w:szCs w:val="24"/>
          <w:lang w:val="es-ES_tradnl"/>
        </w:rPr>
        <w:t>-0</w:t>
      </w:r>
      <w:r w:rsidRPr="009F1F6D">
        <w:rPr>
          <w:sz w:val="24"/>
          <w:szCs w:val="24"/>
          <w:lang w:val="es-ES_tradnl"/>
        </w:rPr>
        <w:t>03</w:t>
      </w:r>
      <w:r>
        <w:rPr>
          <w:sz w:val="24"/>
          <w:szCs w:val="24"/>
          <w:lang w:val="es-ES_tradnl"/>
        </w:rPr>
        <w:t>7</w:t>
      </w:r>
      <w:r w:rsidRPr="009F1F6D">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7989" w14:textId="77777777" w:rsidR="00064002" w:rsidRPr="00C476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0ABA" w14:textId="77777777" w:rsidR="00064002" w:rsidRPr="00C476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6F78" w14:textId="77777777" w:rsidR="00064002" w:rsidRPr="00C476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987801">
    <w:abstractNumId w:val="9"/>
  </w:num>
  <w:num w:numId="2" w16cid:durableId="863901429">
    <w:abstractNumId w:val="9"/>
  </w:num>
  <w:num w:numId="3" w16cid:durableId="1592279533">
    <w:abstractNumId w:val="7"/>
  </w:num>
  <w:num w:numId="4" w16cid:durableId="1820539291">
    <w:abstractNumId w:val="7"/>
  </w:num>
  <w:num w:numId="5" w16cid:durableId="411896759">
    <w:abstractNumId w:val="6"/>
  </w:num>
  <w:num w:numId="6" w16cid:durableId="1361588791">
    <w:abstractNumId w:val="6"/>
  </w:num>
  <w:num w:numId="7" w16cid:durableId="961308378">
    <w:abstractNumId w:val="5"/>
  </w:num>
  <w:num w:numId="8" w16cid:durableId="211506170">
    <w:abstractNumId w:val="5"/>
  </w:num>
  <w:num w:numId="9" w16cid:durableId="990721193">
    <w:abstractNumId w:val="4"/>
  </w:num>
  <w:num w:numId="10" w16cid:durableId="1855337355">
    <w:abstractNumId w:val="4"/>
  </w:num>
  <w:num w:numId="11" w16cid:durableId="609552257">
    <w:abstractNumId w:val="8"/>
  </w:num>
  <w:num w:numId="12" w16cid:durableId="186256459">
    <w:abstractNumId w:val="8"/>
  </w:num>
  <w:num w:numId="13" w16cid:durableId="847716840">
    <w:abstractNumId w:val="3"/>
  </w:num>
  <w:num w:numId="14" w16cid:durableId="1969434834">
    <w:abstractNumId w:val="3"/>
  </w:num>
  <w:num w:numId="15" w16cid:durableId="529608197">
    <w:abstractNumId w:val="2"/>
  </w:num>
  <w:num w:numId="16" w16cid:durableId="1798183700">
    <w:abstractNumId w:val="2"/>
  </w:num>
  <w:num w:numId="17" w16cid:durableId="703791951">
    <w:abstractNumId w:val="1"/>
  </w:num>
  <w:num w:numId="18" w16cid:durableId="98373840">
    <w:abstractNumId w:val="1"/>
  </w:num>
  <w:num w:numId="19" w16cid:durableId="693730593">
    <w:abstractNumId w:val="0"/>
  </w:num>
  <w:num w:numId="20" w16cid:durableId="352465292">
    <w:abstractNumId w:val="0"/>
  </w:num>
  <w:num w:numId="21" w16cid:durableId="179666490">
    <w:abstractNumId w:val="9"/>
  </w:num>
  <w:num w:numId="22" w16cid:durableId="1932618526">
    <w:abstractNumId w:val="7"/>
  </w:num>
  <w:num w:numId="23" w16cid:durableId="1908375430">
    <w:abstractNumId w:val="6"/>
  </w:num>
  <w:num w:numId="24" w16cid:durableId="1871335861">
    <w:abstractNumId w:val="5"/>
  </w:num>
  <w:num w:numId="25" w16cid:durableId="1968002994">
    <w:abstractNumId w:val="4"/>
  </w:num>
  <w:num w:numId="26" w16cid:durableId="193734204">
    <w:abstractNumId w:val="8"/>
  </w:num>
  <w:num w:numId="27" w16cid:durableId="493449245">
    <w:abstractNumId w:val="3"/>
  </w:num>
  <w:num w:numId="28" w16cid:durableId="95954275">
    <w:abstractNumId w:val="2"/>
  </w:num>
  <w:num w:numId="29" w16cid:durableId="591739778">
    <w:abstractNumId w:val="1"/>
  </w:num>
  <w:num w:numId="30" w16cid:durableId="1020663399">
    <w:abstractNumId w:val="0"/>
  </w:num>
  <w:num w:numId="31" w16cid:durableId="2009097091">
    <w:abstractNumId w:val="9"/>
  </w:num>
  <w:num w:numId="32" w16cid:durableId="1550725573">
    <w:abstractNumId w:val="7"/>
  </w:num>
  <w:num w:numId="33" w16cid:durableId="1978338542">
    <w:abstractNumId w:val="6"/>
  </w:num>
  <w:num w:numId="34" w16cid:durableId="1995252859">
    <w:abstractNumId w:val="5"/>
  </w:num>
  <w:num w:numId="35" w16cid:durableId="1343362718">
    <w:abstractNumId w:val="4"/>
  </w:num>
  <w:num w:numId="36" w16cid:durableId="1166824182">
    <w:abstractNumId w:val="8"/>
  </w:num>
  <w:num w:numId="37" w16cid:durableId="67075648">
    <w:abstractNumId w:val="3"/>
  </w:num>
  <w:num w:numId="38" w16cid:durableId="1725327934">
    <w:abstractNumId w:val="2"/>
  </w:num>
  <w:num w:numId="39" w16cid:durableId="1078013538">
    <w:abstractNumId w:val="1"/>
  </w:num>
  <w:num w:numId="40" w16cid:durableId="1352953291">
    <w:abstractNumId w:val="0"/>
  </w:num>
  <w:num w:numId="41" w16cid:durableId="98834843">
    <w:abstractNumId w:val="10"/>
  </w:num>
  <w:num w:numId="42" w16cid:durableId="949243835">
    <w:abstractNumId w:val="10"/>
  </w:num>
  <w:num w:numId="43" w16cid:durableId="1408189631">
    <w:abstractNumId w:val="10"/>
  </w:num>
  <w:num w:numId="44" w16cid:durableId="1418671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ES"/>
    <w:docVar w:name="dvnumam" w:val="0"/>
    <w:docVar w:name="dvpe" w:val="765.300"/>
    <w:docVar w:name="dvrapporteur" w:val="Ponente: "/>
    <w:docVar w:name="dvstar" w:val="***I"/>
    <w:docVar w:name="dvtitre" w:val="Resolución legislativa del Parlamento Europeo, de x de abril de 2025, sobre la propuesta de Decisión del Parlamento Europeo y del Consejo relativa a la concesión de una ayuda macrofinanciera a la República Árabe de Egipto(COM(2024)0461 – C10-0009/2024 – 2024/0071(COD))"/>
  </w:docVars>
  <w:rsids>
    <w:rsidRoot w:val="005D47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2A24"/>
    <w:rsid w:val="003E15D4"/>
    <w:rsid w:val="00411CCE"/>
    <w:rsid w:val="0041666E"/>
    <w:rsid w:val="00421060"/>
    <w:rsid w:val="00471C19"/>
    <w:rsid w:val="004867E3"/>
    <w:rsid w:val="00494A28"/>
    <w:rsid w:val="004979B1"/>
    <w:rsid w:val="004C0004"/>
    <w:rsid w:val="004C5D52"/>
    <w:rsid w:val="0050519A"/>
    <w:rsid w:val="005072A1"/>
    <w:rsid w:val="00514517"/>
    <w:rsid w:val="00545827"/>
    <w:rsid w:val="0054752E"/>
    <w:rsid w:val="00560270"/>
    <w:rsid w:val="005C2568"/>
    <w:rsid w:val="005D472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F6D"/>
    <w:rsid w:val="00A1687D"/>
    <w:rsid w:val="00A43E52"/>
    <w:rsid w:val="00A4678D"/>
    <w:rsid w:val="00A778C7"/>
    <w:rsid w:val="00AB441E"/>
    <w:rsid w:val="00AB6293"/>
    <w:rsid w:val="00AE0928"/>
    <w:rsid w:val="00AF3B82"/>
    <w:rsid w:val="00B12E95"/>
    <w:rsid w:val="00B22876"/>
    <w:rsid w:val="00B558F0"/>
    <w:rsid w:val="00B80F77"/>
    <w:rsid w:val="00BD48FE"/>
    <w:rsid w:val="00BD7BD8"/>
    <w:rsid w:val="00BE6ADC"/>
    <w:rsid w:val="00C05BFE"/>
    <w:rsid w:val="00C23CD4"/>
    <w:rsid w:val="00C47682"/>
    <w:rsid w:val="00C61C0C"/>
    <w:rsid w:val="00C941CB"/>
    <w:rsid w:val="00CC2357"/>
    <w:rsid w:val="00CF071A"/>
    <w:rsid w:val="00D058B8"/>
    <w:rsid w:val="00D56C11"/>
    <w:rsid w:val="00D834A0"/>
    <w:rsid w:val="00D872DF"/>
    <w:rsid w:val="00D91E21"/>
    <w:rsid w:val="00DA7FCD"/>
    <w:rsid w:val="00E365E1"/>
    <w:rsid w:val="00E820A4"/>
    <w:rsid w:val="00EA52BA"/>
    <w:rsid w:val="00EB006A"/>
    <w:rsid w:val="00EB4772"/>
    <w:rsid w:val="00ED169E"/>
    <w:rsid w:val="00ED4235"/>
    <w:rsid w:val="00F04346"/>
    <w:rsid w:val="00F075DC"/>
    <w:rsid w:val="00F149E9"/>
    <w:rsid w:val="00F43D41"/>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1E02F"/>
  <w15:chartTrackingRefBased/>
  <w15:docId w15:val="{B0028C74-525B-47CB-816E-8F48ED5F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C2A24"/>
    <w:pPr>
      <w:spacing w:after="120"/>
    </w:pPr>
  </w:style>
  <w:style w:type="paragraph" w:customStyle="1" w:styleId="NormalBold">
    <w:name w:val="NormalBold"/>
    <w:basedOn w:val="Normal"/>
    <w:link w:val="NormalBoldChar"/>
    <w:rsid w:val="003C2A24"/>
    <w:rPr>
      <w:b/>
    </w:rPr>
  </w:style>
  <w:style w:type="paragraph" w:customStyle="1" w:styleId="NormalHanging12a">
    <w:name w:val="NormalHanging12a"/>
    <w:basedOn w:val="Normal"/>
    <w:link w:val="NormalHanging12aChar"/>
    <w:rsid w:val="003C2A24"/>
    <w:pPr>
      <w:spacing w:after="240"/>
      <w:ind w:left="567" w:hanging="567"/>
    </w:pPr>
  </w:style>
  <w:style w:type="paragraph" w:customStyle="1" w:styleId="AmColumnHeading">
    <w:name w:val="AmColumnHeading"/>
    <w:basedOn w:val="Normal"/>
    <w:rsid w:val="003C2A24"/>
    <w:pPr>
      <w:spacing w:after="240"/>
      <w:jc w:val="center"/>
    </w:pPr>
    <w:rPr>
      <w:i/>
    </w:rPr>
  </w:style>
  <w:style w:type="paragraph" w:customStyle="1" w:styleId="AmNumberTabs">
    <w:name w:val="AmNumberTabs"/>
    <w:basedOn w:val="Normal"/>
    <w:link w:val="AmNumberTabsChar"/>
    <w:rsid w:val="003C2A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C2A24"/>
    <w:pPr>
      <w:spacing w:before="240"/>
    </w:pPr>
    <w:rPr>
      <w:b/>
    </w:rPr>
  </w:style>
  <w:style w:type="paragraph" w:customStyle="1" w:styleId="EPComma">
    <w:name w:val="EPComma"/>
    <w:basedOn w:val="Normal"/>
    <w:rsid w:val="003C2A24"/>
    <w:pPr>
      <w:spacing w:before="480" w:after="240"/>
    </w:pPr>
  </w:style>
  <w:style w:type="character" w:styleId="Hyperlink">
    <w:name w:val="Hyperlink"/>
    <w:basedOn w:val="DefaultParagraphFont"/>
    <w:rsid w:val="003C2A24"/>
    <w:rPr>
      <w:color w:val="0563C1" w:themeColor="hyperlink"/>
      <w:u w:val="single"/>
    </w:rPr>
  </w:style>
  <w:style w:type="character" w:customStyle="1" w:styleId="NormalHanging12aChar">
    <w:name w:val="NormalHanging12a Char"/>
    <w:basedOn w:val="DefaultParagraphFont"/>
    <w:link w:val="NormalHanging12a"/>
    <w:locked/>
    <w:rsid w:val="003C2A24"/>
    <w:rPr>
      <w:sz w:val="24"/>
      <w:lang w:val="es-ES_tradnl"/>
    </w:rPr>
  </w:style>
  <w:style w:type="character" w:customStyle="1" w:styleId="Normal6Char">
    <w:name w:val="Normal6 Char"/>
    <w:basedOn w:val="DefaultParagraphFont"/>
    <w:link w:val="Normal6"/>
    <w:locked/>
    <w:rsid w:val="003C2A24"/>
    <w:rPr>
      <w:sz w:val="24"/>
      <w:lang w:val="es-ES"/>
    </w:rPr>
  </w:style>
  <w:style w:type="paragraph" w:customStyle="1" w:styleId="Normal6">
    <w:name w:val="Normal6"/>
    <w:basedOn w:val="Normal"/>
    <w:link w:val="Normal6Char"/>
    <w:rsid w:val="003C2A24"/>
    <w:pPr>
      <w:spacing w:after="120"/>
    </w:pPr>
    <w:rPr>
      <w:lang w:val="es-ES"/>
    </w:rPr>
  </w:style>
  <w:style w:type="character" w:customStyle="1" w:styleId="NormalBoldChar">
    <w:name w:val="NormalBold Char"/>
    <w:basedOn w:val="DefaultParagraphFont"/>
    <w:link w:val="NormalBold"/>
    <w:locked/>
    <w:rsid w:val="003C2A24"/>
    <w:rPr>
      <w:b/>
      <w:sz w:val="24"/>
      <w:lang w:val="es-ES_tradnl"/>
    </w:rPr>
  </w:style>
  <w:style w:type="paragraph" w:customStyle="1" w:styleId="ColumnHeading">
    <w:name w:val="ColumnHeading"/>
    <w:basedOn w:val="Normal"/>
    <w:rsid w:val="003C2A24"/>
    <w:pPr>
      <w:spacing w:after="240"/>
      <w:jc w:val="center"/>
    </w:pPr>
    <w:rPr>
      <w:i/>
      <w:lang w:val="es-ES"/>
    </w:rPr>
  </w:style>
  <w:style w:type="paragraph" w:customStyle="1" w:styleId="AMNumberTabs0">
    <w:name w:val="AMNumberTabs"/>
    <w:basedOn w:val="Normal"/>
    <w:rsid w:val="003C2A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character" w:customStyle="1" w:styleId="AmNumberTabsChar">
    <w:name w:val="AmNumberTabs Char"/>
    <w:basedOn w:val="DefaultParagraphFont"/>
    <w:link w:val="AmNumberTabs"/>
    <w:rsid w:val="003C2A24"/>
    <w:rPr>
      <w:b/>
      <w:sz w:val="24"/>
      <w:lang w:val="es-ES_tradnl"/>
    </w:rPr>
  </w:style>
  <w:style w:type="character" w:customStyle="1" w:styleId="NormalBold12bChar">
    <w:name w:val="NormalBold12b Char"/>
    <w:basedOn w:val="AmNumberTabsChar"/>
    <w:link w:val="NormalBold12b"/>
    <w:rsid w:val="003C2A24"/>
    <w:rPr>
      <w:b/>
      <w:sz w:val="24"/>
      <w:lang w:val="es-ES_tradnl"/>
    </w:rPr>
  </w:style>
  <w:style w:type="paragraph" w:styleId="BalloonText">
    <w:name w:val="Balloon Text"/>
    <w:basedOn w:val="Normal"/>
    <w:link w:val="BalloonTextChar"/>
    <w:rsid w:val="00EA52BA"/>
    <w:rPr>
      <w:rFonts w:ascii="Segoe UI" w:hAnsi="Segoe UI" w:cs="Segoe UI"/>
      <w:sz w:val="18"/>
      <w:szCs w:val="18"/>
    </w:rPr>
  </w:style>
  <w:style w:type="character" w:customStyle="1" w:styleId="BalloonTextChar">
    <w:name w:val="Balloon Text Char"/>
    <w:basedOn w:val="DefaultParagraphFont"/>
    <w:link w:val="BalloonText"/>
    <w:rsid w:val="00EA52B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C9DB1-7D95-4A49-8BEC-B84C9B2C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6563</Words>
  <Characters>35367</Characters>
  <Application>Microsoft Office Word</Application>
  <DocSecurity>4</DocSecurity>
  <Lines>294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GOROPECNIK Tina</cp:lastModifiedBy>
  <cp:revision>2</cp:revision>
  <cp:lastPrinted>2004-11-19T15:42:00Z</cp:lastPrinted>
  <dcterms:created xsi:type="dcterms:W3CDTF">2025-06-30T14:35:00Z</dcterms:created>
  <dcterms:modified xsi:type="dcterms:W3CDTF">2025-06-30T14:35:00Z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