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55BA" w:rsidTr="0010095E">
        <w:trPr>
          <w:trHeight w:hRule="exact" w:val="1418"/>
        </w:trPr>
        <w:tc>
          <w:tcPr>
            <w:tcW w:w="6804" w:type="dxa"/>
            <w:shd w:val="clear" w:color="auto" w:fill="auto"/>
            <w:vAlign w:val="center"/>
          </w:tcPr>
          <w:p w:rsidR="00751A4A" w:rsidRPr="002A55BA" w:rsidRDefault="005965DF" w:rsidP="0010095E">
            <w:pPr>
              <w:pStyle w:val="EPName"/>
            </w:pPr>
            <w:r w:rsidRPr="002A55BA">
              <w:t>Euroopan parlamentti</w:t>
            </w:r>
          </w:p>
          <w:p w:rsidR="00751A4A" w:rsidRPr="002A55BA" w:rsidRDefault="005F1B17" w:rsidP="005F1B17">
            <w:pPr>
              <w:pStyle w:val="EPTerm"/>
              <w:rPr>
                <w:rStyle w:val="HideTWBExt"/>
                <w:noProof w:val="0"/>
                <w:vanish w:val="0"/>
                <w:color w:val="auto"/>
              </w:rPr>
            </w:pPr>
            <w:r w:rsidRPr="002A55BA">
              <w:t>2024</w:t>
            </w:r>
            <w:r w:rsidR="00817416" w:rsidRPr="002A55BA">
              <w:t>-202</w:t>
            </w:r>
            <w:r w:rsidRPr="002A55BA">
              <w:t>9</w:t>
            </w:r>
          </w:p>
        </w:tc>
        <w:tc>
          <w:tcPr>
            <w:tcW w:w="2268" w:type="dxa"/>
            <w:shd w:val="clear" w:color="auto" w:fill="auto"/>
          </w:tcPr>
          <w:p w:rsidR="00751A4A" w:rsidRPr="002A55BA" w:rsidRDefault="00187494" w:rsidP="0010095E">
            <w:pPr>
              <w:pStyle w:val="EPLogo"/>
            </w:pPr>
            <w:r w:rsidRPr="002A55BA">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55BA" w:rsidRDefault="00D058B8" w:rsidP="004C5D52">
      <w:pPr>
        <w:pStyle w:val="LineTop"/>
      </w:pPr>
    </w:p>
    <w:p w:rsidR="00680577" w:rsidRPr="002A55BA" w:rsidRDefault="005965DF" w:rsidP="00680577">
      <w:pPr>
        <w:pStyle w:val="EPBodyTA1"/>
      </w:pPr>
      <w:r w:rsidRPr="002A55BA">
        <w:t>HYVÄKSYTYT TEKSTIT</w:t>
      </w:r>
    </w:p>
    <w:p w:rsidR="00D058B8" w:rsidRPr="002A55BA" w:rsidRDefault="00D058B8" w:rsidP="00D058B8">
      <w:pPr>
        <w:pStyle w:val="LineBottom"/>
      </w:pPr>
    </w:p>
    <w:p w:rsidR="005965DF" w:rsidRPr="002A55BA" w:rsidRDefault="005965DF" w:rsidP="005965DF">
      <w:pPr>
        <w:pStyle w:val="ATHeading1"/>
      </w:pPr>
      <w:bookmarkStart w:id="0" w:name="TANumber"/>
      <w:r w:rsidRPr="002A55BA">
        <w:t>P10_</w:t>
      </w:r>
      <w:proofErr w:type="gramStart"/>
      <w:r w:rsidRPr="002A55BA">
        <w:t>TA(</w:t>
      </w:r>
      <w:proofErr w:type="gramEnd"/>
      <w:r w:rsidRPr="002A55BA">
        <w:t>2025)00</w:t>
      </w:r>
      <w:r w:rsidR="00481F86" w:rsidRPr="002A55BA">
        <w:t>49</w:t>
      </w:r>
      <w:bookmarkEnd w:id="0"/>
    </w:p>
    <w:p w:rsidR="005965DF" w:rsidRPr="002A55BA" w:rsidRDefault="0058678E" w:rsidP="005965DF">
      <w:pPr>
        <w:pStyle w:val="ATHeading2"/>
      </w:pPr>
      <w:bookmarkStart w:id="1" w:name="title"/>
      <w:r w:rsidRPr="002A55BA">
        <w:t>Makrotaloudellin</w:t>
      </w:r>
      <w:r w:rsidR="005965DF" w:rsidRPr="002A55BA">
        <w:t>en rahoitusa</w:t>
      </w:r>
      <w:r w:rsidRPr="002A55BA">
        <w:t>p</w:t>
      </w:r>
      <w:r w:rsidR="005965DF" w:rsidRPr="002A55BA">
        <w:t>u Egyptille</w:t>
      </w:r>
      <w:bookmarkEnd w:id="1"/>
    </w:p>
    <w:p w:rsidR="005965DF" w:rsidRPr="002A55BA" w:rsidRDefault="005965DF" w:rsidP="005965DF">
      <w:pPr>
        <w:rPr>
          <w:i/>
          <w:vanish/>
        </w:rPr>
      </w:pPr>
      <w:r w:rsidRPr="002A55BA">
        <w:rPr>
          <w:i/>
        </w:rPr>
        <w:fldChar w:fldCharType="begin"/>
      </w:r>
      <w:r w:rsidRPr="002A55BA">
        <w:rPr>
          <w:i/>
        </w:rPr>
        <w:instrText xml:space="preserve"> TC"(</w:instrText>
      </w:r>
      <w:bookmarkStart w:id="2" w:name="DocNumber"/>
      <w:r w:rsidRPr="002A55BA">
        <w:rPr>
          <w:i/>
        </w:rPr>
        <w:instrText>A10-0037/2025</w:instrText>
      </w:r>
      <w:bookmarkEnd w:id="2"/>
      <w:r w:rsidRPr="002A55BA">
        <w:rPr>
          <w:i/>
        </w:rPr>
        <w:instrText xml:space="preserve"> - Esittelijä: Céline Imart)"\l3 \n&gt; \* MERGEFORMAT </w:instrText>
      </w:r>
      <w:r w:rsidRPr="002A55BA">
        <w:rPr>
          <w:i/>
        </w:rPr>
        <w:fldChar w:fldCharType="end"/>
      </w:r>
    </w:p>
    <w:p w:rsidR="005965DF" w:rsidRPr="002A55BA" w:rsidRDefault="005965DF" w:rsidP="005965DF">
      <w:pPr>
        <w:rPr>
          <w:vanish/>
        </w:rPr>
      </w:pPr>
      <w:bookmarkStart w:id="3" w:name="Commission"/>
      <w:r w:rsidRPr="002A55BA">
        <w:rPr>
          <w:vanish/>
        </w:rPr>
        <w:t>Kansainvälisen kaupan valiokunta</w:t>
      </w:r>
      <w:bookmarkEnd w:id="3"/>
    </w:p>
    <w:p w:rsidR="005965DF" w:rsidRPr="002A55BA" w:rsidRDefault="005965DF" w:rsidP="005965DF">
      <w:pPr>
        <w:rPr>
          <w:vanish/>
        </w:rPr>
      </w:pPr>
      <w:bookmarkStart w:id="4" w:name="PE"/>
      <w:r w:rsidRPr="002A55BA">
        <w:rPr>
          <w:vanish/>
        </w:rPr>
        <w:t>PE765.300</w:t>
      </w:r>
      <w:bookmarkEnd w:id="4"/>
    </w:p>
    <w:p w:rsidR="005965DF" w:rsidRPr="002A55BA" w:rsidRDefault="005965DF" w:rsidP="005965DF">
      <w:pPr>
        <w:pStyle w:val="ATHeading3"/>
      </w:pPr>
      <w:bookmarkStart w:id="5" w:name="Sujet"/>
      <w:r w:rsidRPr="002A55BA">
        <w:t xml:space="preserve">Euroopan parlamentin </w:t>
      </w:r>
      <w:r w:rsidR="00606861" w:rsidRPr="002A55BA">
        <w:t>tarkistukset</w:t>
      </w:r>
      <w:r w:rsidRPr="002A55BA">
        <w:t xml:space="preserve"> 1. huhtikuuta 2025 ehdotukse</w:t>
      </w:r>
      <w:r w:rsidR="00606861" w:rsidRPr="002A55BA">
        <w:t>en</w:t>
      </w:r>
      <w:r w:rsidRPr="002A55BA">
        <w:t xml:space="preserve"> Euroopan parlamentin ja neuvoston päätökseksi makrotaloudellisen rahoitusavun myöntämisestä Egyptin arabitasavallalle</w:t>
      </w:r>
      <w:bookmarkEnd w:id="5"/>
      <w:r w:rsidRPr="002A55BA">
        <w:t xml:space="preserve"> </w:t>
      </w:r>
      <w:bookmarkStart w:id="6" w:name="References"/>
      <w:r w:rsidRPr="002A55BA">
        <w:t>(COM</w:t>
      </w:r>
      <w:bookmarkStart w:id="7" w:name="_GoBack"/>
      <w:bookmarkEnd w:id="7"/>
      <w:r w:rsidRPr="002A55BA">
        <w:t>(2024)0461 – C10-0009/2024 – 2024/0071(COD</w:t>
      </w:r>
      <w:r w:rsidR="00606861" w:rsidRPr="002A55BA">
        <w:t>)</w:t>
      </w:r>
      <w:r w:rsidRPr="002A55BA">
        <w:t>)</w:t>
      </w:r>
      <w:r w:rsidR="00606861" w:rsidRPr="002A55BA">
        <w:rPr>
          <w:rStyle w:val="FootnoteReference"/>
          <w:szCs w:val="24"/>
        </w:rPr>
        <w:footnoteReference w:id="1"/>
      </w:r>
      <w:bookmarkEnd w:id="6"/>
    </w:p>
    <w:p w:rsidR="00377F36" w:rsidRPr="002A55BA" w:rsidRDefault="00377F36" w:rsidP="00377F36">
      <w:pPr>
        <w:pStyle w:val="NormalBold"/>
        <w:widowControl/>
      </w:pPr>
      <w:r w:rsidRPr="002A55BA">
        <w:t>(Tavallinen lainsäätämisjärjestys: ensimmäinen käsittely)</w:t>
      </w:r>
    </w:p>
    <w:p w:rsidR="00834DDB" w:rsidRPr="002A55BA" w:rsidRDefault="00834DDB" w:rsidP="00377F36">
      <w:pPr>
        <w:widowControl/>
        <w:ind w:left="567" w:hanging="567"/>
      </w:pPr>
    </w:p>
    <w:p w:rsidR="00834DDB" w:rsidRPr="002A55BA" w:rsidRDefault="00834DDB">
      <w:pPr>
        <w:widowControl/>
      </w:pPr>
      <w:r w:rsidRPr="002A55BA">
        <w:br w:type="page"/>
      </w:r>
    </w:p>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1</w:t>
      </w:r>
    </w:p>
    <w:p w:rsidR="00377F36" w:rsidRPr="002A55BA" w:rsidRDefault="00377F36" w:rsidP="00377F36">
      <w:pPr>
        <w:pStyle w:val="NormalBold12b"/>
        <w:widowControl/>
      </w:pPr>
      <w:r w:rsidRPr="002A55BA">
        <w:t>Ehdotus päätökseksi</w:t>
      </w:r>
    </w:p>
    <w:p w:rsidR="00377F36" w:rsidRPr="002A55BA" w:rsidRDefault="00377F36" w:rsidP="00377F36">
      <w:pPr>
        <w:pStyle w:val="NormalBold"/>
        <w:widowControl/>
      </w:pPr>
      <w:r w:rsidRPr="002A55BA">
        <w:t>Johdanto-osan 1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trHeight w:val="240"/>
          <w:jc w:val="center"/>
        </w:trPr>
        <w:tc>
          <w:tcPr>
            <w:tcW w:w="9752" w:type="dxa"/>
            <w:gridSpan w:val="2"/>
            <w:tcBorders>
              <w:top w:val="nil"/>
              <w:left w:val="nil"/>
              <w:bottom w:val="nil"/>
              <w:right w:val="nil"/>
            </w:tcBorders>
          </w:tcPr>
          <w:p w:rsidR="00377F36" w:rsidRPr="002A55BA" w:rsidRDefault="00377F36" w:rsidP="002378D5">
            <w:pPr>
              <w:widowControl/>
            </w:pPr>
          </w:p>
        </w:tc>
      </w:tr>
      <w:tr w:rsidR="00377F36" w:rsidRPr="002A55BA" w:rsidTr="002378D5">
        <w:trPr>
          <w:trHeight w:val="240"/>
          <w:jc w:val="center"/>
        </w:trPr>
        <w:tc>
          <w:tcPr>
            <w:tcW w:w="4876" w:type="dxa"/>
            <w:tcBorders>
              <w:top w:val="nil"/>
              <w:left w:val="nil"/>
              <w:bottom w:val="nil"/>
              <w:right w:val="nil"/>
            </w:tcBorders>
            <w:hideMark/>
          </w:tcPr>
          <w:p w:rsidR="00377F36" w:rsidRPr="002A55BA" w:rsidRDefault="00377F36" w:rsidP="002378D5">
            <w:pPr>
              <w:pStyle w:val="AmColumnHeading"/>
              <w:widowControl/>
            </w:pPr>
            <w:r w:rsidRPr="002A55BA">
              <w:t>Komission teksti</w:t>
            </w:r>
          </w:p>
        </w:tc>
        <w:tc>
          <w:tcPr>
            <w:tcW w:w="4876" w:type="dxa"/>
            <w:tcBorders>
              <w:top w:val="nil"/>
              <w:left w:val="nil"/>
              <w:bottom w:val="nil"/>
              <w:right w:val="nil"/>
            </w:tcBorders>
            <w:hideMark/>
          </w:tcPr>
          <w:p w:rsidR="00377F36" w:rsidRPr="002A55BA" w:rsidRDefault="00377F36" w:rsidP="002378D5">
            <w:pPr>
              <w:pStyle w:val="AmColumnHeading"/>
              <w:widowControl/>
            </w:pPr>
            <w:r w:rsidRPr="002A55BA">
              <w:t>Tarkistus</w:t>
            </w:r>
          </w:p>
        </w:tc>
      </w:tr>
      <w:tr w:rsidR="00377F36" w:rsidRPr="002A55BA" w:rsidTr="002378D5">
        <w:trPr>
          <w:jc w:val="center"/>
        </w:trPr>
        <w:tc>
          <w:tcPr>
            <w:tcW w:w="4876" w:type="dxa"/>
            <w:tcBorders>
              <w:top w:val="nil"/>
              <w:left w:val="nil"/>
              <w:bottom w:val="nil"/>
              <w:right w:val="nil"/>
            </w:tcBorders>
            <w:hideMark/>
          </w:tcPr>
          <w:p w:rsidR="00377F36" w:rsidRPr="002A55BA" w:rsidRDefault="00377F36" w:rsidP="002378D5">
            <w:pPr>
              <w:pStyle w:val="Normal6a"/>
              <w:widowControl/>
            </w:pPr>
          </w:p>
        </w:tc>
        <w:tc>
          <w:tcPr>
            <w:tcW w:w="4876" w:type="dxa"/>
            <w:tcBorders>
              <w:top w:val="nil"/>
              <w:left w:val="nil"/>
              <w:bottom w:val="nil"/>
              <w:right w:val="nil"/>
            </w:tcBorders>
            <w:hideMark/>
          </w:tcPr>
          <w:p w:rsidR="00377F36" w:rsidRPr="002A55BA" w:rsidRDefault="00377F36" w:rsidP="0058678E">
            <w:pPr>
              <w:pStyle w:val="Normal6a"/>
              <w:widowControl/>
            </w:pPr>
            <w:r w:rsidRPr="002A55BA">
              <w:rPr>
                <w:b/>
                <w:i/>
              </w:rPr>
              <w:t>(1 a)</w:t>
            </w:r>
            <w:r w:rsidRPr="002A55BA">
              <w:rPr>
                <w:b/>
                <w:i/>
              </w:rPr>
              <w:tab/>
            </w:r>
            <w:r w:rsidR="0058678E" w:rsidRPr="002A55BA">
              <w:rPr>
                <w:b/>
                <w:i/>
              </w:rPr>
              <w:t>Päätöksellä</w:t>
            </w:r>
            <w:r w:rsidRPr="002A55BA">
              <w:rPr>
                <w:b/>
                <w:i/>
              </w:rPr>
              <w:t xml:space="preserve"> on vaikutuksia unionin talousarvioon. Sen vuoksi Euroopan parlamentin budjettivaliokunta on hyväksynyt talousarvionäkökohtia koskevan arvion, joka sisältyy olennaisena osana parlamentin neuvotteluvaltuuksiin.</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2</w:t>
      </w:r>
    </w:p>
    <w:p w:rsidR="00377F36" w:rsidRPr="002A55BA" w:rsidRDefault="00377F36" w:rsidP="00377F36">
      <w:pPr>
        <w:pStyle w:val="NormalBold12b"/>
        <w:widowControl/>
      </w:pPr>
      <w:r w:rsidRPr="002A55BA">
        <w:t>Ehdotus päätökseksi</w:t>
      </w:r>
    </w:p>
    <w:p w:rsidR="00377F36" w:rsidRPr="002A55BA" w:rsidRDefault="00377F36" w:rsidP="00377F36">
      <w:pPr>
        <w:pStyle w:val="NormalBold"/>
        <w:widowControl/>
      </w:pPr>
      <w:r w:rsidRPr="002A55BA">
        <w:t>Johdanto-osan 2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trHeight w:hRule="exact" w:val="240"/>
          <w:jc w:val="center"/>
        </w:trPr>
        <w:tc>
          <w:tcPr>
            <w:tcW w:w="9752" w:type="dxa"/>
            <w:gridSpan w:val="2"/>
            <w:tcBorders>
              <w:top w:val="nil"/>
              <w:left w:val="nil"/>
              <w:bottom w:val="nil"/>
              <w:right w:val="nil"/>
            </w:tcBorders>
          </w:tcPr>
          <w:p w:rsidR="00377F36" w:rsidRPr="002A55BA" w:rsidRDefault="00377F36" w:rsidP="002378D5">
            <w:pPr>
              <w:widowControl/>
            </w:pPr>
          </w:p>
        </w:tc>
      </w:tr>
      <w:tr w:rsidR="00377F36" w:rsidRPr="002A55BA" w:rsidTr="002378D5">
        <w:trPr>
          <w:trHeight w:val="240"/>
          <w:jc w:val="center"/>
        </w:trPr>
        <w:tc>
          <w:tcPr>
            <w:tcW w:w="4876" w:type="dxa"/>
            <w:tcBorders>
              <w:top w:val="nil"/>
              <w:left w:val="nil"/>
              <w:bottom w:val="nil"/>
              <w:right w:val="nil"/>
            </w:tcBorders>
          </w:tcPr>
          <w:p w:rsidR="00377F36" w:rsidRPr="002A55BA" w:rsidRDefault="00377F36" w:rsidP="002378D5">
            <w:pPr>
              <w:pStyle w:val="AmColumnHeading"/>
              <w:widowControl/>
            </w:pPr>
            <w:r w:rsidRPr="002A55BA">
              <w:t>Komission teksti</w:t>
            </w:r>
          </w:p>
        </w:tc>
        <w:tc>
          <w:tcPr>
            <w:tcW w:w="4876" w:type="dxa"/>
            <w:tcBorders>
              <w:top w:val="nil"/>
              <w:left w:val="nil"/>
              <w:bottom w:val="nil"/>
              <w:right w:val="nil"/>
            </w:tcBorders>
          </w:tcPr>
          <w:p w:rsidR="00377F36" w:rsidRPr="002A55BA" w:rsidRDefault="00377F36" w:rsidP="002378D5">
            <w:pPr>
              <w:pStyle w:val="AmColumnHeading"/>
              <w:widowControl/>
            </w:pPr>
            <w:r w:rsidRPr="002A55BA">
              <w:t>Tarkistus</w:t>
            </w:r>
          </w:p>
        </w:tc>
      </w:tr>
      <w:tr w:rsidR="00377F36" w:rsidRPr="002A55BA" w:rsidTr="002378D5">
        <w:trPr>
          <w:jc w:val="center"/>
        </w:trPr>
        <w:tc>
          <w:tcPr>
            <w:tcW w:w="4876" w:type="dxa"/>
            <w:tcBorders>
              <w:top w:val="nil"/>
              <w:left w:val="nil"/>
              <w:bottom w:val="nil"/>
              <w:right w:val="nil"/>
            </w:tcBorders>
          </w:tcPr>
          <w:p w:rsidR="00377F36" w:rsidRPr="002A55BA" w:rsidRDefault="00377F36" w:rsidP="002378D5">
            <w:pPr>
              <w:pStyle w:val="Normal6a"/>
              <w:widowControl/>
            </w:pPr>
          </w:p>
        </w:tc>
        <w:tc>
          <w:tcPr>
            <w:tcW w:w="4876" w:type="dxa"/>
            <w:tcBorders>
              <w:top w:val="nil"/>
              <w:left w:val="nil"/>
              <w:bottom w:val="nil"/>
              <w:right w:val="nil"/>
            </w:tcBorders>
          </w:tcPr>
          <w:p w:rsidR="00377F36" w:rsidRPr="002A55BA" w:rsidRDefault="00377F36" w:rsidP="002378D5">
            <w:pPr>
              <w:pStyle w:val="Normal6a"/>
              <w:widowControl/>
            </w:pPr>
            <w:r w:rsidRPr="002A55BA">
              <w:rPr>
                <w:b/>
                <w:i/>
              </w:rPr>
              <w:t>(2 a)</w:t>
            </w:r>
            <w:r w:rsidRPr="002A55BA">
              <w:tab/>
            </w:r>
            <w:r w:rsidRPr="002A55BA">
              <w:rPr>
                <w:b/>
                <w:i/>
              </w:rPr>
              <w:t>Egypti ja Euroopan unioni päättivät 17 päivänä maaliskuuta 2024 yhdessä syventää suhteitaan ja solmia strategisen ja kattavan kumppanuuden, joka perustuu yhdenvertaisuuden, keskinäisen kunnioituksen ja luottamuksen arvoihin, jotta voidaan vahvistaa niiden yhteistä vakautta, rauhaa ja vaurautta.</w:t>
            </w:r>
          </w:p>
        </w:tc>
      </w:tr>
    </w:tbl>
    <w:p w:rsidR="00377F36" w:rsidRPr="002A55BA" w:rsidRDefault="00377F36" w:rsidP="00377F36">
      <w:pPr>
        <w:widowControl/>
      </w:pPr>
    </w:p>
    <w:p w:rsidR="00377F36" w:rsidRPr="002A55BA" w:rsidRDefault="00377F36" w:rsidP="00377F36">
      <w:pPr>
        <w:pStyle w:val="AmNumberTabs"/>
        <w:widowControl/>
      </w:pPr>
      <w:r w:rsidRPr="002A55BA">
        <w:t>Tarkistu</w:t>
      </w:r>
      <w:r w:rsidR="00DE17B6" w:rsidRPr="002A55BA">
        <w:t>k</w:t>
      </w:r>
      <w:r w:rsidRPr="002A55BA">
        <w:t>s</w:t>
      </w:r>
      <w:r w:rsidR="00DE17B6" w:rsidRPr="002A55BA">
        <w:t>et</w:t>
      </w:r>
      <w:r w:rsidR="00834DDB" w:rsidRPr="002A55BA">
        <w:t xml:space="preserve"> </w:t>
      </w:r>
      <w:r w:rsidRPr="002A55BA">
        <w:t>3</w:t>
      </w:r>
      <w:r w:rsidR="00DE17B6" w:rsidRPr="002A55BA">
        <w:t xml:space="preserve"> ja 39</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Johdanto-osan 3 kappale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BD4228">
        <w:trPr>
          <w:jc w:val="center"/>
        </w:trPr>
        <w:tc>
          <w:tcPr>
            <w:tcW w:w="9752" w:type="dxa"/>
            <w:gridSpan w:val="2"/>
          </w:tcPr>
          <w:p w:rsidR="00377F36" w:rsidRPr="002A55BA" w:rsidRDefault="00377F36" w:rsidP="002378D5">
            <w:pPr>
              <w:keepNext/>
              <w:widowControl/>
            </w:pPr>
          </w:p>
        </w:tc>
      </w:tr>
      <w:tr w:rsidR="00377F36" w:rsidRPr="002A55BA" w:rsidTr="00BD4228">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BD4228">
        <w:trPr>
          <w:jc w:val="center"/>
        </w:trPr>
        <w:tc>
          <w:tcPr>
            <w:tcW w:w="4876" w:type="dxa"/>
            <w:hideMark/>
          </w:tcPr>
          <w:p w:rsidR="00377F36" w:rsidRPr="002A55BA" w:rsidRDefault="00377F36" w:rsidP="002378D5">
            <w:pPr>
              <w:pStyle w:val="Normal6"/>
              <w:widowControl/>
            </w:pPr>
            <w:r w:rsidRPr="002A55BA">
              <w:t>(3)</w:t>
            </w:r>
            <w:r w:rsidRPr="002A55BA">
              <w:tab/>
              <w:t xml:space="preserve">EU ja Egypti ovat kumppanuuden painopisteiden mukaisesti sitoutuneet varmistamaan vastuuvelvollisuuden, oikeusvaltioperiaatteen ja ihmisoikeuksien ja perusvapauksien täyden kunnioittamisen sekä edistämään demokratiaa, sukupuolten tasa-arvoa ja yhtäläisiä mahdollisuuksia kaikkien kansalaistensa perustuslaillisina oikeuksina. Näillä sitoumuksilla edistetään </w:t>
            </w:r>
            <w:r w:rsidRPr="002A55BA">
              <w:lastRenderedPageBreak/>
              <w:t xml:space="preserve">kumppanuutta sekä Egyptin kestävää kehitystä </w:t>
            </w:r>
            <w:r w:rsidRPr="002A55BA">
              <w:rPr>
                <w:b/>
                <w:i/>
              </w:rPr>
              <w:t>ja</w:t>
            </w:r>
            <w:r w:rsidRPr="002A55BA">
              <w:t xml:space="preserve"> vakautta. EU:n ja Egyptin lisääntynyt ja rakentava vuorovaikutus viime aikoina on antanut mahdollisuuden käydä merkityksellisempää vuoropuhelua ihmisoikeuksiin liittyvistä asioista. Joulukuussa 2022 kokoontunut poliittisia kysymyksiä, ihmisoikeuksia ja demokratiaa sekä kansainvälisiä ja alueellisia asioita käsittelevä alakomitea ja toukokuussa 2023 kokoontunut assosiaatiokomitea tarjosivat institutionaaliset foorumit keskustelun käymiseksi monista ihmisoikeuskysymyksistä, joiden käsittelyä EU haluaisi jatkaa. Egyptin ihmisoikeustilanteen paraneminen vaikuttaa myönteisesti EU:n ja Egyptin suhteisiin.</w:t>
            </w:r>
          </w:p>
        </w:tc>
        <w:tc>
          <w:tcPr>
            <w:tcW w:w="4876" w:type="dxa"/>
            <w:hideMark/>
          </w:tcPr>
          <w:p w:rsidR="00377F36" w:rsidRPr="002A55BA" w:rsidRDefault="00377F36" w:rsidP="002A55BA">
            <w:pPr>
              <w:pStyle w:val="Normal6"/>
              <w:widowControl/>
              <w:rPr>
                <w:szCs w:val="24"/>
              </w:rPr>
            </w:pPr>
            <w:r w:rsidRPr="002A55BA">
              <w:lastRenderedPageBreak/>
              <w:t>(3)</w:t>
            </w:r>
            <w:r w:rsidRPr="002A55BA">
              <w:tab/>
              <w:t>EU ja Egypti ovat kumppanuuden painopisteiden mukaisesti sitoutuneet varmistamaan vastuuvelvollisuuden,</w:t>
            </w:r>
            <w:r w:rsidRPr="002A55BA">
              <w:rPr>
                <w:b/>
                <w:i/>
              </w:rPr>
              <w:t xml:space="preserve"> </w:t>
            </w:r>
            <w:r w:rsidRPr="002A55BA">
              <w:t xml:space="preserve">oikeusvaltioperiaatteen ja ihmisoikeuksien ja perusvapauksien täyden kunnioittamisen sekä edistämään demokratiaa, sukupuolten tasa-arvoa ja yhtäläisiä mahdollisuuksia kaikkien kansalaistensa perustuslaillisina oikeuksina. Näillä sitoumuksilla edistetään </w:t>
            </w:r>
            <w:r w:rsidRPr="002A55BA">
              <w:lastRenderedPageBreak/>
              <w:t xml:space="preserve">kumppanuutta sekä Egyptin kestävää </w:t>
            </w:r>
            <w:r w:rsidR="00BD4228" w:rsidRPr="002A55BA">
              <w:rPr>
                <w:b/>
                <w:i/>
              </w:rPr>
              <w:t>sosiaalista ja taloudellista</w:t>
            </w:r>
            <w:r w:rsidR="00BD4228" w:rsidRPr="002A55BA">
              <w:t xml:space="preserve"> </w:t>
            </w:r>
            <w:r w:rsidRPr="002A55BA">
              <w:t>kehitystä</w:t>
            </w:r>
            <w:r w:rsidRPr="002A55BA">
              <w:rPr>
                <w:b/>
                <w:i/>
              </w:rPr>
              <w:t>, hyvää hallintotapaa</w:t>
            </w:r>
            <w:r w:rsidRPr="002A55BA">
              <w:t xml:space="preserve"> </w:t>
            </w:r>
            <w:r w:rsidRPr="002A55BA">
              <w:rPr>
                <w:b/>
                <w:i/>
              </w:rPr>
              <w:t>ja sosioekonomista</w:t>
            </w:r>
            <w:r w:rsidRPr="002A55BA">
              <w:t xml:space="preserve"> vakautta. EU:n ja Egyptin lisääntynyt ja rakentava vuorovaikutus viime aikoina on antanut mahdollisuuden käydä merkityksellisempää vuoropuhelua ihmisoikeuksiin liittyvistä asioista. Joulukuussa 2022 kokoontunut poliittisia kysymyksiä, ihmisoikeuksia ja demokratiaa sekä kansainvälisiä ja alueellisia asioita käsittelevä alakomitea ja toukokuussa 2023 kokoontunut assosiaatiokomitea tarjosivat institutionaaliset foorumit keskustelun käymiseksi monista ihmisoikeuskysymyksistä, joiden käsittelyä EU haluaisi jatkaa. Egyptin ihmisoikeustilanteen</w:t>
            </w:r>
            <w:r w:rsidR="002A55BA" w:rsidRPr="002A55BA">
              <w:t xml:space="preserve">, </w:t>
            </w:r>
            <w:r w:rsidR="002A55BA" w:rsidRPr="002A55BA">
              <w:rPr>
                <w:b/>
                <w:i/>
              </w:rPr>
              <w:t xml:space="preserve">kuten sananvapautta, yhdistymisvapautta ja rauhanomaista kokoontumisvapautta koskevien oikeuksien parantaminen, kuolemanrangaistuksen täytäntöönpanon keskeyttäminen, kidutuksen ja tahdonvastaisten katoamisten torjunta sekä vankilaolojen parantaminen, </w:t>
            </w:r>
            <w:r w:rsidRPr="002A55BA">
              <w:rPr>
                <w:b/>
                <w:i/>
              </w:rPr>
              <w:t>sekä naisten oikeuksien ja perusoikeuksien jatkuva</w:t>
            </w:r>
            <w:r w:rsidR="001F25BA" w:rsidRPr="002A55BA">
              <w:rPr>
                <w:b/>
                <w:i/>
              </w:rPr>
              <w:t xml:space="preserve"> tuleva</w:t>
            </w:r>
            <w:r w:rsidRPr="002A55BA">
              <w:rPr>
                <w:b/>
                <w:i/>
              </w:rPr>
              <w:t xml:space="preserve"> </w:t>
            </w:r>
            <w:r w:rsidRPr="002A55BA">
              <w:t>paraneminen</w:t>
            </w:r>
            <w:r w:rsidRPr="002A55BA">
              <w:rPr>
                <w:b/>
                <w:i/>
              </w:rPr>
              <w:t xml:space="preserve"> alueella toteutettujen aktiivisten, johdonmukaisten ja proaktiivisten politiikkatoimien ansiosta</w:t>
            </w:r>
            <w:r w:rsidRPr="002A55BA">
              <w:t xml:space="preserve"> vaikuttaa myönteisesti EU:n ja Egyptin suhteisiin.</w:t>
            </w:r>
          </w:p>
        </w:tc>
      </w:tr>
    </w:tbl>
    <w:p w:rsidR="00377F36" w:rsidRPr="002A55BA" w:rsidRDefault="00377F36" w:rsidP="002A55BA"/>
    <w:p w:rsidR="00377F36" w:rsidRPr="002A55BA" w:rsidRDefault="00377F36" w:rsidP="00377F36">
      <w:pPr>
        <w:pStyle w:val="AmNumberTabs"/>
        <w:widowControl/>
      </w:pPr>
      <w:r w:rsidRPr="002A55BA">
        <w:t>Tarkistus</w:t>
      </w:r>
      <w:r w:rsidR="00834DDB" w:rsidRPr="002A55BA">
        <w:t xml:space="preserve"> </w:t>
      </w:r>
      <w:r w:rsidRPr="002A55BA">
        <w:t>4</w:t>
      </w:r>
    </w:p>
    <w:p w:rsidR="00377F36" w:rsidRPr="002A55BA" w:rsidRDefault="00377F36" w:rsidP="00377F36">
      <w:pPr>
        <w:pStyle w:val="NormalBold12b"/>
        <w:widowControl/>
      </w:pPr>
      <w:r w:rsidRPr="002A55BA">
        <w:t>Ehdotus päätökseksi</w:t>
      </w:r>
    </w:p>
    <w:p w:rsidR="00377F36" w:rsidRPr="002A55BA" w:rsidRDefault="00377F36" w:rsidP="00377F36">
      <w:pPr>
        <w:pStyle w:val="NormalBold"/>
        <w:widowControl/>
      </w:pPr>
      <w:r w:rsidRPr="002A55BA">
        <w:t>Johdanto-osan 3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trHeight w:hRule="exact" w:val="240"/>
          <w:jc w:val="center"/>
        </w:trPr>
        <w:tc>
          <w:tcPr>
            <w:tcW w:w="9752" w:type="dxa"/>
            <w:gridSpan w:val="2"/>
            <w:tcBorders>
              <w:top w:val="nil"/>
              <w:left w:val="nil"/>
              <w:bottom w:val="nil"/>
              <w:right w:val="nil"/>
            </w:tcBorders>
          </w:tcPr>
          <w:p w:rsidR="00377F36" w:rsidRPr="002A55BA" w:rsidRDefault="00377F36" w:rsidP="002378D5">
            <w:pPr>
              <w:widowControl/>
            </w:pPr>
          </w:p>
        </w:tc>
      </w:tr>
      <w:tr w:rsidR="00377F36" w:rsidRPr="002A55BA" w:rsidTr="002378D5">
        <w:trPr>
          <w:trHeight w:val="240"/>
          <w:jc w:val="center"/>
        </w:trPr>
        <w:tc>
          <w:tcPr>
            <w:tcW w:w="4876" w:type="dxa"/>
            <w:tcBorders>
              <w:top w:val="nil"/>
              <w:left w:val="nil"/>
              <w:bottom w:val="nil"/>
              <w:right w:val="nil"/>
            </w:tcBorders>
          </w:tcPr>
          <w:p w:rsidR="00377F36" w:rsidRPr="002A55BA" w:rsidRDefault="00377F36" w:rsidP="002378D5">
            <w:pPr>
              <w:pStyle w:val="AmColumnHeading"/>
              <w:widowControl/>
            </w:pPr>
            <w:r w:rsidRPr="002A55BA">
              <w:t>Komission teksti</w:t>
            </w:r>
          </w:p>
        </w:tc>
        <w:tc>
          <w:tcPr>
            <w:tcW w:w="4876" w:type="dxa"/>
            <w:tcBorders>
              <w:top w:val="nil"/>
              <w:left w:val="nil"/>
              <w:bottom w:val="nil"/>
              <w:right w:val="nil"/>
            </w:tcBorders>
          </w:tcPr>
          <w:p w:rsidR="00377F36" w:rsidRPr="002A55BA" w:rsidRDefault="00377F36" w:rsidP="002378D5">
            <w:pPr>
              <w:pStyle w:val="AmColumnHeading"/>
              <w:widowControl/>
            </w:pPr>
            <w:r w:rsidRPr="002A55BA">
              <w:t>Tarkistus</w:t>
            </w:r>
          </w:p>
        </w:tc>
      </w:tr>
      <w:tr w:rsidR="00377F36" w:rsidRPr="002A55BA" w:rsidTr="002378D5">
        <w:trPr>
          <w:jc w:val="center"/>
        </w:trPr>
        <w:tc>
          <w:tcPr>
            <w:tcW w:w="4876" w:type="dxa"/>
            <w:tcBorders>
              <w:top w:val="nil"/>
              <w:left w:val="nil"/>
              <w:bottom w:val="nil"/>
              <w:right w:val="nil"/>
            </w:tcBorders>
          </w:tcPr>
          <w:p w:rsidR="00377F36" w:rsidRPr="002A55BA" w:rsidRDefault="00377F36" w:rsidP="002378D5">
            <w:pPr>
              <w:pStyle w:val="Normal6a"/>
              <w:widowControl/>
            </w:pPr>
          </w:p>
        </w:tc>
        <w:tc>
          <w:tcPr>
            <w:tcW w:w="4876" w:type="dxa"/>
            <w:tcBorders>
              <w:top w:val="nil"/>
              <w:left w:val="nil"/>
              <w:bottom w:val="nil"/>
              <w:right w:val="nil"/>
            </w:tcBorders>
          </w:tcPr>
          <w:p w:rsidR="00377F36" w:rsidRPr="002A55BA" w:rsidRDefault="00377F36" w:rsidP="002378D5">
            <w:pPr>
              <w:pStyle w:val="Normal6a"/>
              <w:widowControl/>
            </w:pPr>
            <w:r w:rsidRPr="002A55BA">
              <w:rPr>
                <w:b/>
                <w:i/>
              </w:rPr>
              <w:t>(3 a)</w:t>
            </w:r>
            <w:r w:rsidRPr="002A55BA">
              <w:tab/>
            </w:r>
            <w:r w:rsidRPr="002A55BA">
              <w:rPr>
                <w:b/>
                <w:i/>
              </w:rPr>
              <w:t>Egyptin taloudellista tilannetta ja rahoitustilannetta ovat leimanneet useat makrotalouden sopeutusohjelmat, jotka on pantu täytäntöön IMF:n alaisuudessa vastineeksi luottojärjestelyistä (12 miljardia Yhdysvaltain dollaria vuosina 2016–2019 ja 3 miljardia Yhdysvaltain dollaria vuonna 2022, ja määrä nousi 8 miljardiin Yhdysvaltain dollariin maaliskuussa 2024).</w:t>
            </w:r>
          </w:p>
        </w:tc>
      </w:tr>
    </w:tbl>
    <w:p w:rsidR="00377F36" w:rsidRPr="002A55BA" w:rsidRDefault="00377F36" w:rsidP="00377F36">
      <w:pPr>
        <w:widowControl/>
      </w:pPr>
    </w:p>
    <w:p w:rsidR="00377F36" w:rsidRPr="002A55BA" w:rsidRDefault="00377F36" w:rsidP="00377F36">
      <w:pPr>
        <w:pStyle w:val="AmNumberTabs"/>
        <w:widowControl/>
      </w:pPr>
      <w:r w:rsidRPr="002A55BA">
        <w:t>Tarkistu</w:t>
      </w:r>
      <w:r w:rsidR="00DE17B6" w:rsidRPr="002A55BA">
        <w:t>k</w:t>
      </w:r>
      <w:r w:rsidRPr="002A55BA">
        <w:t>s</w:t>
      </w:r>
      <w:r w:rsidR="00DE17B6" w:rsidRPr="002A55BA">
        <w:t>et</w:t>
      </w:r>
      <w:r w:rsidR="00834DDB" w:rsidRPr="002A55BA">
        <w:t xml:space="preserve"> </w:t>
      </w:r>
      <w:r w:rsidRPr="002A55BA">
        <w:t>5</w:t>
      </w:r>
      <w:r w:rsidR="00DE17B6" w:rsidRPr="002A55BA">
        <w:t xml:space="preserve"> ja 40</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Johdanto-osan 5 kappale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DE17B6">
        <w:trPr>
          <w:jc w:val="center"/>
        </w:trPr>
        <w:tc>
          <w:tcPr>
            <w:tcW w:w="9752" w:type="dxa"/>
            <w:gridSpan w:val="2"/>
          </w:tcPr>
          <w:p w:rsidR="00377F36" w:rsidRPr="002A55BA" w:rsidRDefault="00377F36" w:rsidP="002378D5">
            <w:pPr>
              <w:keepNext/>
              <w:widowControl/>
            </w:pPr>
          </w:p>
        </w:tc>
      </w:tr>
      <w:tr w:rsidR="00377F36" w:rsidRPr="002A55BA" w:rsidTr="00DE17B6">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DE17B6">
        <w:trPr>
          <w:jc w:val="center"/>
        </w:trPr>
        <w:tc>
          <w:tcPr>
            <w:tcW w:w="4876" w:type="dxa"/>
            <w:hideMark/>
          </w:tcPr>
          <w:p w:rsidR="00377F36" w:rsidRPr="002A55BA" w:rsidRDefault="00377F36" w:rsidP="002378D5">
            <w:pPr>
              <w:pStyle w:val="Normal6"/>
              <w:widowControl/>
            </w:pPr>
            <w:r w:rsidRPr="002A55BA">
              <w:t>(5)</w:t>
            </w:r>
            <w:r w:rsidRPr="002A55BA">
              <w:tab/>
              <w:t>EU tunnustaa Egyptin keskeisen roolin alueellisen turvallisuuden ja vakauden kannalta. Terrorismi, järjestäytynyt rikollisuus ja konfliktit ovat yhteisiä uhkia turvallisuudellemme ja maiden yhteiskuntarakenteelle Välimeren molemmin puolin. Siksi on EU:n ja Egyptin yhteisen edun mukaista vahvistaa yhteistyötä kumppanuuden painopisteissä noudattaen täysin kansainvälistä oikeutta, ihmisoikeudet ja kansainvälinen humanitaarinen oikeus mukaan lukien.</w:t>
            </w:r>
          </w:p>
        </w:tc>
        <w:tc>
          <w:tcPr>
            <w:tcW w:w="4876" w:type="dxa"/>
            <w:hideMark/>
          </w:tcPr>
          <w:p w:rsidR="00377F36" w:rsidRPr="002A55BA" w:rsidRDefault="00377F36" w:rsidP="004E7373">
            <w:pPr>
              <w:pStyle w:val="Normal6"/>
              <w:widowControl/>
              <w:rPr>
                <w:szCs w:val="24"/>
              </w:rPr>
            </w:pPr>
            <w:r w:rsidRPr="002A55BA">
              <w:t>(5)</w:t>
            </w:r>
            <w:r w:rsidRPr="002A55BA">
              <w:tab/>
              <w:t>EU tunnustaa Egyptin keskeisen roolin alueellisen turvallisuuden ja vakauden kannalta</w:t>
            </w:r>
            <w:r w:rsidR="00DE17B6" w:rsidRPr="002A55BA">
              <w:rPr>
                <w:b/>
                <w:i/>
              </w:rPr>
              <w:t>, ja on EU:n merkittävien etujen mukaista estää lyhyen aikavälin taloudellinen epävakaus maassa, koska sillä voisi olla laajempia seurauksia ja se voisi hyödyttää geopoliittisia kilpailijoita</w:t>
            </w:r>
            <w:r w:rsidRPr="002A55BA">
              <w:t>. Terrorismi, järjestäytynyt rikollisuus</w:t>
            </w:r>
            <w:r w:rsidRPr="002A55BA">
              <w:rPr>
                <w:b/>
                <w:i/>
              </w:rPr>
              <w:t>, kuten ihmiskauppa, laiton maahanmuutto</w:t>
            </w:r>
            <w:r w:rsidR="004F7D2D" w:rsidRPr="002A55BA">
              <w:rPr>
                <w:b/>
                <w:i/>
              </w:rPr>
              <w:t xml:space="preserve">, </w:t>
            </w:r>
            <w:proofErr w:type="spellStart"/>
            <w:r w:rsidR="004F7D2D" w:rsidRPr="002A55BA">
              <w:rPr>
                <w:b/>
                <w:i/>
              </w:rPr>
              <w:t>disinformaatio</w:t>
            </w:r>
            <w:proofErr w:type="spellEnd"/>
            <w:r w:rsidR="004F7D2D" w:rsidRPr="002A55BA">
              <w:rPr>
                <w:b/>
                <w:i/>
              </w:rPr>
              <w:t>,</w:t>
            </w:r>
            <w:r w:rsidRPr="002A55BA">
              <w:rPr>
                <w:i/>
              </w:rPr>
              <w:t xml:space="preserve"> </w:t>
            </w:r>
            <w:r w:rsidRPr="002A55BA">
              <w:t>konfliktit</w:t>
            </w:r>
            <w:r w:rsidR="004F7D2D" w:rsidRPr="002A55BA">
              <w:t xml:space="preserve"> </w:t>
            </w:r>
            <w:r w:rsidR="00DE17B6" w:rsidRPr="002A55BA">
              <w:rPr>
                <w:b/>
                <w:i/>
              </w:rPr>
              <w:t>ja uskonnollisten ja etnisten vähemmistöjen vainot</w:t>
            </w:r>
            <w:r w:rsidRPr="002A55BA">
              <w:t xml:space="preserve"> ovat yhteisiä uhkia turvallisuudellemme ja maiden yhteiskuntarakenteelle Välimeren molemmin puolin.</w:t>
            </w:r>
            <w:r w:rsidRPr="002A55BA">
              <w:rPr>
                <w:b/>
                <w:i/>
              </w:rPr>
              <w:t xml:space="preserve"> Samaten energia on yksi akuuteimmista haasteista Välimeren molemmin puolin. </w:t>
            </w:r>
            <w:r w:rsidR="004E7373" w:rsidRPr="002A55BA">
              <w:rPr>
                <w:b/>
                <w:i/>
              </w:rPr>
              <w:t xml:space="preserve">EU:n </w:t>
            </w:r>
            <w:r w:rsidRPr="002A55BA">
              <w:rPr>
                <w:b/>
                <w:i/>
              </w:rPr>
              <w:t xml:space="preserve">ja Egyptin välinen energiayhteistyö itäisellä Välimerellä voisi tarjota alueelle taloudellisen vaurauden lähteen ja lisäksi vahvistaa </w:t>
            </w:r>
            <w:r w:rsidR="004E7373" w:rsidRPr="002A55BA">
              <w:rPr>
                <w:b/>
                <w:i/>
              </w:rPr>
              <w:t>EU:n</w:t>
            </w:r>
            <w:r w:rsidR="002A0D12" w:rsidRPr="002A55BA">
              <w:rPr>
                <w:b/>
                <w:i/>
              </w:rPr>
              <w:t xml:space="preserve"> </w:t>
            </w:r>
            <w:r w:rsidRPr="002A55BA">
              <w:rPr>
                <w:b/>
                <w:i/>
              </w:rPr>
              <w:t>energiaturvallisuutta monipuolistamalla energiatoimituksia ja kannustamalla alueelliseen yhteistyöhön. Tältä osin itäisen Välimeren kaasufoorumi toimii myönteisen alueellisen yhteistyön foorumina.</w:t>
            </w:r>
            <w:r w:rsidRPr="002A55BA">
              <w:t xml:space="preserve"> Siksi on EU:n ja Egyptin yhteisen edun mukaista vahvistaa yhteistyötä kumppanuuden painopisteissä noudattaen täysin kansainvälistä oikeutta</w:t>
            </w:r>
            <w:r w:rsidRPr="002A55BA">
              <w:rPr>
                <w:b/>
                <w:i/>
              </w:rPr>
              <w:t>, kansainvälinen merioikeus</w:t>
            </w:r>
            <w:r w:rsidRPr="002A55BA">
              <w:t>, ihmisoikeudet ja kansainvälinen humanitaarinen oikeus mukaan lukien</w:t>
            </w:r>
            <w:r w:rsidR="00DE17B6" w:rsidRPr="002A55BA">
              <w:rPr>
                <w:b/>
                <w:i/>
              </w:rPr>
              <w:t>,</w:t>
            </w:r>
            <w:r w:rsidR="00DE17B6" w:rsidRPr="002A55BA">
              <w:t xml:space="preserve"> </w:t>
            </w:r>
            <w:r w:rsidR="00DE17B6" w:rsidRPr="002A55BA">
              <w:rPr>
                <w:b/>
                <w:i/>
              </w:rPr>
              <w:t>myös yhteisten etujen edistämiseksi ja yhteisiin haasteisiin vastaamiseksi</w:t>
            </w:r>
            <w:r w:rsidRPr="002A55BA">
              <w:t>.</w:t>
            </w:r>
          </w:p>
        </w:tc>
      </w:tr>
    </w:tbl>
    <w:p w:rsidR="00377F36" w:rsidRPr="002A55BA" w:rsidRDefault="00377F36" w:rsidP="002A55BA"/>
    <w:p w:rsidR="00377F36" w:rsidRPr="002A55BA" w:rsidRDefault="00377F36" w:rsidP="00377F36">
      <w:pPr>
        <w:pStyle w:val="AmNumberTabs"/>
        <w:widowControl/>
      </w:pPr>
      <w:r w:rsidRPr="002A55BA">
        <w:t>Tarkistus</w:t>
      </w:r>
      <w:r w:rsidR="00834DDB" w:rsidRPr="002A55BA">
        <w:t xml:space="preserve"> </w:t>
      </w:r>
      <w:r w:rsidRPr="002A55BA">
        <w:t>6</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Johdanto-osan 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(6)</w:t>
            </w:r>
            <w:r w:rsidRPr="002A55BA">
              <w:tab/>
              <w:t xml:space="preserve">Pitäen mielessä geopoliittiset haasteet, </w:t>
            </w:r>
            <w:r w:rsidRPr="002A55BA">
              <w:rPr>
                <w:b/>
                <w:i/>
              </w:rPr>
              <w:t xml:space="preserve">joita </w:t>
            </w:r>
            <w:r w:rsidRPr="002A55BA">
              <w:t>muun muassa Israelissa 7</w:t>
            </w:r>
            <w:r w:rsidRPr="002A55BA">
              <w:rPr>
                <w:b/>
                <w:i/>
              </w:rPr>
              <w:t> </w:t>
            </w:r>
            <w:r w:rsidRPr="002A55BA">
              <w:t xml:space="preserve">päivänä lokakuuta 2023 </w:t>
            </w:r>
            <w:r w:rsidRPr="002A55BA">
              <w:rPr>
                <w:b/>
                <w:i/>
              </w:rPr>
              <w:t>tehdyt</w:t>
            </w:r>
            <w:r w:rsidRPr="002A55BA">
              <w:t xml:space="preserve"> Hamasin </w:t>
            </w:r>
            <w:r w:rsidRPr="002A55BA">
              <w:rPr>
                <w:b/>
                <w:i/>
              </w:rPr>
              <w:t>terrori-iskut</w:t>
            </w:r>
            <w:r w:rsidRPr="002A55BA">
              <w:t xml:space="preserve"> ja Sudanin konflikti ovat aiheuttaneet, sekä Egyptin strategisen merkityksen alueen suurimpana maana ja koko Lähi-idän vakauden pilarina unioni on päättänyt solmia Egyptin kanssa strategisen ja kokonaisvaltaisen kumppanuuden yhteisen julistuksen mukaisesti.</w:t>
            </w:r>
          </w:p>
        </w:tc>
        <w:tc>
          <w:tcPr>
            <w:tcW w:w="4876" w:type="dxa"/>
            <w:hideMark/>
          </w:tcPr>
          <w:p w:rsidR="00377F36" w:rsidRPr="002A55BA" w:rsidRDefault="00377F36" w:rsidP="002378D5">
            <w:pPr>
              <w:pStyle w:val="Normal6"/>
              <w:widowControl/>
              <w:rPr>
                <w:szCs w:val="24"/>
              </w:rPr>
            </w:pPr>
            <w:r w:rsidRPr="002A55BA">
              <w:t>(6)</w:t>
            </w:r>
            <w:r w:rsidRPr="002A55BA">
              <w:tab/>
              <w:t xml:space="preserve">Pitäen mielessä </w:t>
            </w:r>
            <w:r w:rsidRPr="002A55BA">
              <w:rPr>
                <w:b/>
                <w:i/>
              </w:rPr>
              <w:t xml:space="preserve">maailmanlaajuiset ja alueelliset </w:t>
            </w:r>
            <w:r w:rsidRPr="002A55BA">
              <w:t>geopoliittiset haasteet, muun muassa</w:t>
            </w:r>
            <w:r w:rsidRPr="002A55BA">
              <w:rPr>
                <w:b/>
                <w:i/>
              </w:rPr>
              <w:t xml:space="preserve"> Gazan humanitaarisen kriisin, joka on jälkiseurausta</w:t>
            </w:r>
            <w:r w:rsidRPr="002A55BA">
              <w:t xml:space="preserve"> Israelissa 7</w:t>
            </w:r>
            <w:r w:rsidRPr="002A55BA">
              <w:rPr>
                <w:b/>
                <w:i/>
              </w:rPr>
              <w:t xml:space="preserve"> </w:t>
            </w:r>
            <w:r w:rsidRPr="002A55BA">
              <w:t xml:space="preserve">päivänä lokakuuta 2023 </w:t>
            </w:r>
            <w:r w:rsidRPr="002A55BA">
              <w:rPr>
                <w:b/>
                <w:i/>
              </w:rPr>
              <w:t>tehdyistä</w:t>
            </w:r>
            <w:r w:rsidRPr="002A55BA">
              <w:t xml:space="preserve"> Hamasin </w:t>
            </w:r>
            <w:r w:rsidRPr="002A55BA">
              <w:rPr>
                <w:b/>
                <w:i/>
              </w:rPr>
              <w:t>terrori-iskuista, lisääntyvät jännitteet Afrikan sarvessa</w:t>
            </w:r>
            <w:r w:rsidRPr="002A55BA">
              <w:t xml:space="preserve"> ja </w:t>
            </w:r>
            <w:r w:rsidRPr="002A55BA">
              <w:rPr>
                <w:b/>
                <w:i/>
              </w:rPr>
              <w:t xml:space="preserve">merenkulun turvallisuuden Punaisellamerellä ja Suezin kanavassa sekä muuttopaineen, jonka </w:t>
            </w:r>
            <w:r w:rsidRPr="002A55BA">
              <w:t>Sudanin konflikti</w:t>
            </w:r>
            <w:r w:rsidRPr="002A55BA">
              <w:rPr>
                <w:b/>
                <w:i/>
              </w:rPr>
              <w:t>, Syyrian epävakaa tilanne ja Libyan epävakaus</w:t>
            </w:r>
            <w:r w:rsidRPr="002A55BA">
              <w:t xml:space="preserve"> ovat aiheuttaneet,</w:t>
            </w:r>
            <w:r w:rsidRPr="002A55BA">
              <w:rPr>
                <w:b/>
                <w:i/>
              </w:rPr>
              <w:t xml:space="preserve"> sekä Egyptin vastuun suuren </w:t>
            </w:r>
            <w:proofErr w:type="spellStart"/>
            <w:r w:rsidRPr="002A55BA">
              <w:rPr>
                <w:b/>
                <w:i/>
              </w:rPr>
              <w:t>pakolais</w:t>
            </w:r>
            <w:proofErr w:type="spellEnd"/>
            <w:r w:rsidRPr="002A55BA">
              <w:rPr>
                <w:b/>
                <w:i/>
              </w:rPr>
              <w:t>- ja siirtolaismäärän vastaanottajana</w:t>
            </w:r>
            <w:r w:rsidRPr="002A55BA">
              <w:t xml:space="preserve"> sekä Egyptin strategisen merkityksen alueen suurimpana maana ja koko Lähi-idän vakauden pilarina unioni on päättänyt solmia Egyptin kanssa strategisen ja kokonaisvaltaisen kumppanuuden yhteisen julistuksen mukaisesti.</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7</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Johdanto-osan 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(7)</w:t>
            </w:r>
            <w:r w:rsidRPr="002A55BA">
              <w:tab/>
              <w:t xml:space="preserve">Egyptin kanssa solmitun strategisen ja kokonaisvaltaisen kumppanuuden tavoitteena on nostaa EU:n ja Egyptin poliittiset suhteet strategiseksi kumppanuudeksi ja antaa Egyptille mahdollisuus täyttää keskeinen tehtävänsä vakauden tuojana alueella. Kumppanuuden tavoitteena on tukea Egyptin makrotaloudellista selviytymiskykyä ja mahdollistaa kunnianhimoisten sosioekonomisten uudistusten toteuttaminen tavalla, joka täydentää ja vahvistaa Egyptiä koskevan IMF:n ohjelman mukaista uudistusprosessia. Kuten yhteisessä julistuksessa todetaan, kumppanuus ulottuu monenlaisiin politiikkatoimiin, jotka on ryhmitelty seuraaviin kuuteen toimenpidepilariin: poliittiset suhteet; talouden vakaus; investoinnit ja kauppa; muuttoliike; </w:t>
            </w:r>
            <w:r w:rsidRPr="002A55BA">
              <w:lastRenderedPageBreak/>
              <w:t>turvallisuus- ja lainvalvontayhteistyö; väestökehitys ja inhimillinen pääoma.</w:t>
            </w:r>
          </w:p>
        </w:tc>
        <w:tc>
          <w:tcPr>
            <w:tcW w:w="4876" w:type="dxa"/>
            <w:hideMark/>
          </w:tcPr>
          <w:p w:rsidR="00377F36" w:rsidRPr="002A55BA" w:rsidRDefault="00377F36" w:rsidP="002378D5">
            <w:pPr>
              <w:pStyle w:val="Normal6"/>
              <w:widowControl/>
              <w:rPr>
                <w:szCs w:val="24"/>
              </w:rPr>
            </w:pPr>
            <w:r w:rsidRPr="002A55BA">
              <w:lastRenderedPageBreak/>
              <w:t>(7)</w:t>
            </w:r>
            <w:r w:rsidRPr="002A55BA">
              <w:tab/>
              <w:t>Egyptin kanssa solmitun strategisen ja kokonaisvaltaisen kumppanuuden tavoitteena on nostaa EU:n ja Egyptin poliittiset suhteet strategiseksi kumppanuudeksi ja antaa Egyptille mahdollisuus täyttää keskeinen tehtävänsä vakauden tuojana alueella</w:t>
            </w:r>
            <w:r w:rsidRPr="002A55BA">
              <w:rPr>
                <w:b/>
                <w:i/>
              </w:rPr>
              <w:t>, Lähi-idässä ja Pohjois-Afrikassa</w:t>
            </w:r>
            <w:r w:rsidRPr="002A55BA">
              <w:t xml:space="preserve">. Kumppanuuden tavoitteena on tukea Egyptin makrotaloudellista selviytymiskykyä ja mahdollistaa kunnianhimoisten sosioekonomisten uudistusten toteuttaminen tavalla, joka täydentää ja vahvistaa Egyptiä koskevan IMF:n ohjelman mukaista uudistusprosessia. Kuten yhteisessä julistuksessa todetaan, kumppanuus ulottuu monenlaisiin politiikkatoimiin, jotka on ryhmitelty seuraaviin kuuteen toimenpidepilariin: poliittiset suhteet; talouden vakaus; </w:t>
            </w:r>
            <w:r w:rsidRPr="002A55BA">
              <w:lastRenderedPageBreak/>
              <w:t xml:space="preserve">investoinnit ja kauppa; </w:t>
            </w:r>
            <w:r w:rsidRPr="002A55BA">
              <w:rPr>
                <w:b/>
                <w:i/>
              </w:rPr>
              <w:t xml:space="preserve">laiton </w:t>
            </w:r>
            <w:r w:rsidRPr="002A55BA">
              <w:t>muuttoliike</w:t>
            </w:r>
            <w:r w:rsidRPr="002A55BA">
              <w:rPr>
                <w:b/>
                <w:i/>
              </w:rPr>
              <w:t xml:space="preserve"> ja liikkuvuus ihmisoikeuksia kunnioittaen</w:t>
            </w:r>
            <w:r w:rsidRPr="002A55BA">
              <w:t xml:space="preserve">; turvallisuus- ja lainvalvontayhteistyö; väestökehitys ja inhimillinen pääoma. </w:t>
            </w:r>
            <w:r w:rsidRPr="002A55BA">
              <w:rPr>
                <w:b/>
                <w:i/>
              </w:rPr>
              <w:t xml:space="preserve">Tällaista strategista ja kokonaisvaltaista kumppanuutta olisi kehitettävä unionin ja jäsenvaltioiden tason aloitteiden, kuten Global </w:t>
            </w:r>
            <w:proofErr w:type="spellStart"/>
            <w:r w:rsidRPr="002A55BA">
              <w:rPr>
                <w:b/>
                <w:i/>
              </w:rPr>
              <w:t>Gateway</w:t>
            </w:r>
            <w:proofErr w:type="spellEnd"/>
            <w:r w:rsidRPr="002A55BA">
              <w:rPr>
                <w:b/>
                <w:i/>
              </w:rPr>
              <w:t xml:space="preserve"> -strategian ja Afrikkaa koskevan Mattein suunnitelman, mukaisesti.</w:t>
            </w:r>
          </w:p>
        </w:tc>
      </w:tr>
    </w:tbl>
    <w:p w:rsidR="00377F36" w:rsidRPr="002A55BA" w:rsidRDefault="00377F36" w:rsidP="00377F36">
      <w:pPr>
        <w:widowControl/>
      </w:pPr>
    </w:p>
    <w:p w:rsidR="00377F36" w:rsidRPr="002A55BA" w:rsidRDefault="00377F36" w:rsidP="00834DDB">
      <w:pPr>
        <w:pStyle w:val="AmNumberTabs"/>
        <w:widowControl/>
      </w:pPr>
      <w:r w:rsidRPr="002A55BA">
        <w:t>Tarkistus</w:t>
      </w:r>
      <w:r w:rsidR="00834DDB" w:rsidRPr="002A55BA">
        <w:t xml:space="preserve"> </w:t>
      </w:r>
      <w:r w:rsidRPr="002A55BA">
        <w:t>8</w:t>
      </w:r>
    </w:p>
    <w:p w:rsidR="00377F36" w:rsidRPr="002A55BA" w:rsidRDefault="00377F36" w:rsidP="00834DDB">
      <w:pPr>
        <w:pStyle w:val="NormalBold"/>
        <w:keepNext/>
        <w:widowControl/>
        <w:spacing w:before="240"/>
      </w:pPr>
      <w:r w:rsidRPr="002A55BA">
        <w:t>Ehdotus päätökseksi</w:t>
      </w:r>
    </w:p>
    <w:p w:rsidR="00377F36" w:rsidRPr="002A55BA" w:rsidRDefault="00377F36" w:rsidP="00377F36">
      <w:pPr>
        <w:pStyle w:val="NormalBold"/>
        <w:widowControl/>
      </w:pPr>
      <w:r w:rsidRPr="002A55BA">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(8)</w:t>
            </w:r>
            <w:r w:rsidRPr="002A55BA">
              <w:tab/>
              <w:t xml:space="preserve">Kumppanuuden </w:t>
            </w:r>
            <w:r w:rsidRPr="002A55BA">
              <w:rPr>
                <w:b/>
                <w:i/>
              </w:rPr>
              <w:t>perustaksi tulee</w:t>
            </w:r>
            <w:r w:rsidRPr="002A55BA">
              <w:t xml:space="preserve"> 7,4</w:t>
            </w:r>
            <w:r w:rsidRPr="002A55BA">
              <w:rPr>
                <w:b/>
                <w:i/>
              </w:rPr>
              <w:t xml:space="preserve"> </w:t>
            </w:r>
            <w:r w:rsidRPr="002A55BA">
              <w:t>miljardin euron suuruinen rahoituspaketti, joka sisältää lyhyen ja pidemmän aikavälin tukea tarvittavalle makrotalouden, finanssipolitiikan ja sosioekonomiselle uudistusohjelmalle, lisämäärärahoja Egyptissä tehtävien investointien tukemiseen sekä kohdennettua tukea erilaisten strategisten painopisteiden täytäntöönpanoon. Tukipakettiin kuuluu</w:t>
            </w:r>
            <w:r w:rsidRPr="002A55BA">
              <w:rPr>
                <w:b/>
                <w:i/>
              </w:rPr>
              <w:t xml:space="preserve"> lainamuotoinen</w:t>
            </w:r>
            <w:r w:rsidRPr="002A55BA">
              <w:t xml:space="preserve"> enintään 5 miljardin euron suuruinen EU:n makrotaloudellinen rahoitusapupaketti, joka koostuu kahdesta makrotaloudellisen rahoitusavun operaatiosta. Toinen operaatioista on lyhytaikainen ja suuruudeltaan enintään 1 miljardi euroa, toinen on tavanomaisen menettelyn mukainen, keskipitkä ja suuruudeltaan enintään 4 miljardia euroa. Apupaketti sisältää myös rahoitusvälineitä, kuten takauksia ja rahoitusta yhdistäviä välineitä. Tarkoituksena on saada liikkeelle julkisia ja yksityisiä investointeja ja saada aikaiseksi merkittävä määrä uusia investointeja. Pakettia täydennetään ohjelmilla, joilla tuetaan strategisen ja kokonaisvaltaisen kumppanuuden painopisteitä yksittäisillä hankkeilla ja teknisellä avulla, jotka toteutetaan naapuruus-, kehitys- ja kansainvälisen yhteistyön välineestä</w:t>
            </w:r>
            <w:r w:rsidRPr="002A55BA">
              <w:rPr>
                <w:vertAlign w:val="superscript"/>
              </w:rPr>
              <w:t>2</w:t>
            </w:r>
            <w:r w:rsidRPr="002A55BA">
              <w:t>.</w:t>
            </w:r>
          </w:p>
        </w:tc>
        <w:tc>
          <w:tcPr>
            <w:tcW w:w="4876" w:type="dxa"/>
            <w:hideMark/>
          </w:tcPr>
          <w:p w:rsidR="00377F36" w:rsidRPr="002A55BA" w:rsidRDefault="00377F36" w:rsidP="002378D5">
            <w:pPr>
              <w:pStyle w:val="Normal6"/>
              <w:widowControl/>
              <w:rPr>
                <w:szCs w:val="24"/>
              </w:rPr>
            </w:pPr>
            <w:r w:rsidRPr="002A55BA">
              <w:t>(8)</w:t>
            </w:r>
            <w:r w:rsidRPr="002A55BA">
              <w:tab/>
              <w:t xml:space="preserve">Kumppanuuden </w:t>
            </w:r>
            <w:r w:rsidRPr="002A55BA">
              <w:rPr>
                <w:b/>
                <w:i/>
              </w:rPr>
              <w:t>perustana on</w:t>
            </w:r>
            <w:r w:rsidRPr="002A55BA">
              <w:t xml:space="preserve"> 7,4</w:t>
            </w:r>
            <w:r w:rsidRPr="002A55BA">
              <w:rPr>
                <w:b/>
                <w:i/>
              </w:rPr>
              <w:t> </w:t>
            </w:r>
            <w:r w:rsidRPr="002A55BA">
              <w:t>miljardin euron suuruinen rahoituspaketti, joka sisältää lyhyen ja pidemmän aikavälin tukea tarvittavalle makrotalouden, finanssipolitiikan ja sosioekonomiselle uudistusohjelmalle, lisämäärärahoja Egyptissä tehtävien investointien tukemiseen sekä kohdennettua tukea erilaisten</w:t>
            </w:r>
            <w:r w:rsidRPr="002A55BA">
              <w:rPr>
                <w:b/>
                <w:i/>
              </w:rPr>
              <w:t>, erityisesti laittomaan muuttoliikkeeseen ja uusiutuvaan energiaan liittyvien</w:t>
            </w:r>
            <w:r w:rsidRPr="002A55BA">
              <w:t xml:space="preserve"> strategisten painopisteiden täytäntöönpanoon. Tukipakettiin kuuluu enintään 5 miljardin euron suuruinen EU:n makrotaloudellinen rahoitusapupaketti, joka </w:t>
            </w:r>
            <w:r w:rsidRPr="002A55BA">
              <w:rPr>
                <w:b/>
                <w:i/>
              </w:rPr>
              <w:t xml:space="preserve">annetaan edullisin ehdoin myönnettävien lainojen muodossa ja joka </w:t>
            </w:r>
            <w:r w:rsidRPr="002A55BA">
              <w:t>koostuu kahdesta makrotaloudellisen rahoitusavun operaatiosta. Toinen operaatioista on lyhytaikainen ja suuruudeltaan enintään 1 miljardi euroa, toinen on tavanomaisen menettelyn mukainen, keskipitkä ja suuruudeltaan enintään 4 miljardia euroa. Apupaketti sisältää myös rahoitusvälineitä, kuten takauksia ja rahoitusta yhdistäviä välineitä. Tarkoituksena on saada liikkeelle julkisia ja yksityisiä investointeja</w:t>
            </w:r>
            <w:r w:rsidRPr="002A55BA">
              <w:rPr>
                <w:b/>
                <w:i/>
              </w:rPr>
              <w:t>, jotka hyödyttävät valtaosaa egyptiläisistä,</w:t>
            </w:r>
            <w:r w:rsidRPr="002A55BA">
              <w:t xml:space="preserve"> ja saada aikaiseksi merkittävä määrä uusia investointeja. Pakettia täydennetään ohjelmilla, joilla tuetaan strategisen ja </w:t>
            </w:r>
            <w:r w:rsidRPr="002A55BA">
              <w:lastRenderedPageBreak/>
              <w:t>kokonaisvaltaisen kumppanuuden painopisteitä yksittäisillä hankkeilla ja teknisellä avulla, jotka toteutetaan naapuruus-, kehitys- ja kansainvälisen yhteistyön välineestä</w:t>
            </w:r>
            <w:r w:rsidRPr="002A55BA">
              <w:rPr>
                <w:vertAlign w:val="superscript"/>
              </w:rPr>
              <w:t>2</w:t>
            </w:r>
            <w:r w:rsidRPr="002A55BA">
              <w:t>.</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lastRenderedPageBreak/>
              <w:t>__________________</w:t>
            </w:r>
          </w:p>
        </w:tc>
        <w:tc>
          <w:tcPr>
            <w:tcW w:w="4876" w:type="dxa"/>
            <w:hideMark/>
          </w:tcPr>
          <w:p w:rsidR="00377F36" w:rsidRPr="002A55BA" w:rsidRDefault="00377F36" w:rsidP="002378D5">
            <w:pPr>
              <w:pStyle w:val="Normal6"/>
              <w:widowControl/>
              <w:rPr>
                <w:szCs w:val="24"/>
              </w:rPr>
            </w:pPr>
            <w:r w:rsidRPr="002A55BA">
              <w:t>__________________</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rPr>
                <w:vertAlign w:val="superscript"/>
              </w:rPr>
              <w:t xml:space="preserve">2 </w:t>
            </w:r>
            <w:r w:rsidRPr="002A55BA">
              <w:t>Perustettu Euroopan parlamentin ja neuvoston asetuksella (EU)</w:t>
            </w:r>
            <w:r w:rsidRPr="002A55BA">
              <w:rPr>
                <w:b/>
                <w:i/>
              </w:rPr>
              <w:t xml:space="preserve"> </w:t>
            </w:r>
            <w:r w:rsidRPr="002A55BA">
              <w:t>2021/947, annettu 9 päivänä kesäkuuta 2021, naapuruus-, kehitys- ja kansainvälisen yhteistyön välineen – Globaali Eurooppa perustamisesta, päätöksen N:o</w:t>
            </w:r>
            <w:r w:rsidRPr="002A55BA">
              <w:rPr>
                <w:b/>
                <w:i/>
              </w:rPr>
              <w:t xml:space="preserve"> </w:t>
            </w:r>
            <w:r w:rsidRPr="002A55BA">
              <w:t>466/2014/EU muuttamisesta ja kumoamisesta sekä asetuksen (EU)</w:t>
            </w:r>
            <w:r w:rsidRPr="002A55BA">
              <w:rPr>
                <w:b/>
                <w:i/>
              </w:rPr>
              <w:t xml:space="preserve"> </w:t>
            </w:r>
            <w:r w:rsidRPr="002A55BA">
              <w:t>2017/1601 ja neuvoston asetuksen (EY, Euratom) N:o</w:t>
            </w:r>
            <w:r w:rsidRPr="002A55BA">
              <w:rPr>
                <w:b/>
                <w:i/>
              </w:rPr>
              <w:t xml:space="preserve"> </w:t>
            </w:r>
            <w:r w:rsidRPr="002A55BA">
              <w:t>480/2009 kumoamisesta (EUVL</w:t>
            </w:r>
            <w:r w:rsidRPr="002A55BA">
              <w:rPr>
                <w:b/>
                <w:i/>
              </w:rPr>
              <w:t xml:space="preserve"> </w:t>
            </w:r>
            <w:r w:rsidRPr="002A55BA">
              <w:t>L</w:t>
            </w:r>
            <w:r w:rsidRPr="002A55BA">
              <w:rPr>
                <w:b/>
                <w:i/>
              </w:rPr>
              <w:t xml:space="preserve"> </w:t>
            </w:r>
            <w:r w:rsidRPr="002A55BA">
              <w:t>209, 14.6.2021, s.</w:t>
            </w:r>
            <w:r w:rsidRPr="002A55BA">
              <w:rPr>
                <w:b/>
                <w:i/>
              </w:rPr>
              <w:t xml:space="preserve"> </w:t>
            </w:r>
            <w:r w:rsidRPr="002A55BA">
              <w:t>1).</w:t>
            </w:r>
          </w:p>
        </w:tc>
        <w:tc>
          <w:tcPr>
            <w:tcW w:w="4876" w:type="dxa"/>
            <w:hideMark/>
          </w:tcPr>
          <w:p w:rsidR="00377F36" w:rsidRPr="002A55BA" w:rsidRDefault="00377F36" w:rsidP="002378D5">
            <w:pPr>
              <w:pStyle w:val="Normal6"/>
              <w:widowControl/>
              <w:rPr>
                <w:szCs w:val="24"/>
              </w:rPr>
            </w:pPr>
            <w:r w:rsidRPr="002A55BA">
              <w:rPr>
                <w:vertAlign w:val="superscript"/>
              </w:rPr>
              <w:t>2</w:t>
            </w:r>
            <w:r w:rsidRPr="002A55BA">
              <w:t xml:space="preserve"> Perustettu Euroopan parlamentin ja neuvoston asetuksella (EU)</w:t>
            </w:r>
            <w:r w:rsidRPr="002A55BA">
              <w:rPr>
                <w:b/>
                <w:i/>
              </w:rPr>
              <w:t> </w:t>
            </w:r>
            <w:r w:rsidRPr="002A55BA">
              <w:t>2021/947, annettu 9 päivänä kesäkuuta 2021, naapuruus-, kehitys- ja kansainvälisen yhteistyön välineen – Globaali Eurooppa perustamisesta, päätöksen N:o</w:t>
            </w:r>
            <w:r w:rsidRPr="002A55BA">
              <w:rPr>
                <w:b/>
                <w:i/>
              </w:rPr>
              <w:t> </w:t>
            </w:r>
            <w:r w:rsidRPr="002A55BA">
              <w:t>466/2014/EU muuttamisesta ja kumoamisesta sekä asetuksen (EU)</w:t>
            </w:r>
            <w:r w:rsidRPr="002A55BA">
              <w:rPr>
                <w:b/>
                <w:i/>
              </w:rPr>
              <w:t> </w:t>
            </w:r>
            <w:r w:rsidRPr="002A55BA">
              <w:t>2017/1601 ja neuvoston asetuksen (EY, Euratom) N:o</w:t>
            </w:r>
            <w:r w:rsidRPr="002A55BA">
              <w:rPr>
                <w:b/>
                <w:i/>
              </w:rPr>
              <w:t> </w:t>
            </w:r>
            <w:r w:rsidRPr="002A55BA">
              <w:t>480/2009 kumoamisesta (EUVL</w:t>
            </w:r>
            <w:r w:rsidRPr="002A55BA">
              <w:rPr>
                <w:b/>
                <w:i/>
              </w:rPr>
              <w:t> </w:t>
            </w:r>
            <w:r w:rsidRPr="002A55BA">
              <w:t>L</w:t>
            </w:r>
            <w:r w:rsidRPr="002A55BA">
              <w:rPr>
                <w:b/>
                <w:i/>
              </w:rPr>
              <w:t> </w:t>
            </w:r>
            <w:r w:rsidRPr="002A55BA">
              <w:t>209, 14.6.2021, s.</w:t>
            </w:r>
            <w:r w:rsidRPr="002A55BA">
              <w:rPr>
                <w:b/>
                <w:i/>
              </w:rPr>
              <w:t> </w:t>
            </w:r>
            <w:r w:rsidRPr="002A55BA">
              <w:t>1).</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9</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Johdanto-osan 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(9)</w:t>
            </w:r>
            <w:r w:rsidRPr="002A55BA">
              <w:tab/>
              <w:t xml:space="preserve">Egyptin makrotaloudelliseen ja finanssipoliittiseen tilanteeseen on kohdistunut merkittäviä haasteita, ja tilanne on heikentynyt huomattavasti viime kuukausina, kun ulkoiset paineet ovat voimistuneet ja julkinen velka on jatkanut kasvuaan. Talousnäkymiin kohdistuu edelleen huomattavia heikkenemisriskejä. Venäjän Ukrainaa vastaan käymän sodan ja </w:t>
            </w:r>
            <w:r w:rsidRPr="002A55BA">
              <w:rPr>
                <w:b/>
                <w:i/>
              </w:rPr>
              <w:t>Hamasin Israelissa tekemien terrori-iskujen</w:t>
            </w:r>
            <w:r w:rsidRPr="002A55BA">
              <w:t xml:space="preserve"> vaikutukset ovat johtaneet pääoman pitkittyneeseen ulosvirtaukseen ja valuuttatulojen vähenemiseen erityisesti siksi, että matkailualan tulot</w:t>
            </w:r>
            <w:r w:rsidRPr="002A55BA">
              <w:rPr>
                <w:b/>
                <w:i/>
              </w:rPr>
              <w:t xml:space="preserve"> ja</w:t>
            </w:r>
            <w:r w:rsidRPr="002A55BA">
              <w:t xml:space="preserve"> Suezin kanavan tuotot ovat vähentyneet jyrkästi. Tämä on erityisen haastavaa Egyptin vaikeassa julkisen talouden tilanteessa, jolle on ominaista jatkuva julkisen talouden alijäämä sekä suuri ja kasvava velka suhteessa BKT:hen.</w:t>
            </w:r>
          </w:p>
        </w:tc>
        <w:tc>
          <w:tcPr>
            <w:tcW w:w="4876" w:type="dxa"/>
            <w:hideMark/>
          </w:tcPr>
          <w:p w:rsidR="00377F36" w:rsidRPr="002A55BA" w:rsidRDefault="00377F36" w:rsidP="002378D5">
            <w:pPr>
              <w:pStyle w:val="Normal6"/>
              <w:widowControl/>
              <w:rPr>
                <w:szCs w:val="24"/>
              </w:rPr>
            </w:pPr>
            <w:r w:rsidRPr="002A55BA">
              <w:t>(9)</w:t>
            </w:r>
            <w:r w:rsidRPr="002A55BA">
              <w:tab/>
              <w:t xml:space="preserve">Egyptin makrotaloudelliseen ja finanssipoliittiseen tilanteeseen on kohdistunut merkittäviä haasteita, ja tilanne on heikentynyt huomattavasti viime kuukausina, kun ulkoiset paineet ovat voimistuneet ja julkinen velka on jatkanut kasvuaan. Talousnäkymiin kohdistuu edelleen huomattavia heikkenemisriskejä. Venäjän Ukrainaa vastaan käymän sodan ja </w:t>
            </w:r>
            <w:r w:rsidRPr="002A55BA">
              <w:rPr>
                <w:b/>
                <w:i/>
              </w:rPr>
              <w:t>Lähi-idän geopoliittisten jännitteiden ja konfliktien</w:t>
            </w:r>
            <w:r w:rsidRPr="002A55BA">
              <w:t xml:space="preserve"> vaikutukset ovat johtaneet pääoman pitkittyneeseen ulosvirtaukseen ja valuuttatulojen vähenemiseen erityisesti siksi, että matkailualan tulot</w:t>
            </w:r>
            <w:r w:rsidRPr="002A55BA">
              <w:rPr>
                <w:b/>
                <w:i/>
              </w:rPr>
              <w:t>,</w:t>
            </w:r>
            <w:r w:rsidRPr="002A55BA">
              <w:t xml:space="preserve"> Suezin kanavan tuotot </w:t>
            </w:r>
            <w:r w:rsidRPr="002A55BA">
              <w:rPr>
                <w:b/>
                <w:i/>
              </w:rPr>
              <w:t xml:space="preserve">ja kaasuntuotanto </w:t>
            </w:r>
            <w:r w:rsidRPr="002A55BA">
              <w:t>ovat vähentyneet jyrkästi</w:t>
            </w:r>
            <w:r w:rsidRPr="002A55BA">
              <w:rPr>
                <w:b/>
                <w:i/>
              </w:rPr>
              <w:t xml:space="preserve"> ja ulkomaisten sijoittajien luottamus on mennyt</w:t>
            </w:r>
            <w:r w:rsidRPr="002A55BA">
              <w:t xml:space="preserve">. Tämä on erityisen haastavaa Egyptin vaikeassa julkisen talouden tilanteessa, jolle on ominaista jatkuva julkisen talouden alijäämä sekä suuri ja kasvava velka suhteessa BKT:hen. </w:t>
            </w:r>
            <w:r w:rsidRPr="002A55BA">
              <w:rPr>
                <w:b/>
                <w:i/>
              </w:rPr>
              <w:t xml:space="preserve">Tästä vaikeasta ulkoisesta tilanteesta huolimatta Egypti </w:t>
            </w:r>
            <w:r w:rsidRPr="002A55BA">
              <w:rPr>
                <w:b/>
                <w:i/>
              </w:rPr>
              <w:lastRenderedPageBreak/>
              <w:t>pystyi vuonna 2024 toteuttamaan makrotalouden vakauden säilyttämiseen pyrkiviä uudistuksia, joista voidaan mainita esimerkkeinä valuuttakurssien yhtenäistäminen ja edistyminen rahapolitiikan tiukentamisessa.</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10</w:t>
      </w:r>
    </w:p>
    <w:p w:rsidR="00377F36" w:rsidRPr="002A55BA" w:rsidRDefault="00377F36" w:rsidP="00377F36">
      <w:pPr>
        <w:pStyle w:val="NormalBold12b"/>
        <w:widowControl/>
      </w:pPr>
      <w:r w:rsidRPr="002A55BA">
        <w:t>Ehdotus päätökseksi</w:t>
      </w:r>
    </w:p>
    <w:p w:rsidR="00377F36" w:rsidRPr="002A55BA" w:rsidRDefault="00377F36" w:rsidP="00377F36">
      <w:pPr>
        <w:pStyle w:val="NormalBold"/>
        <w:widowControl/>
      </w:pPr>
      <w:r w:rsidRPr="002A55BA">
        <w:t>Johdanto-osan 12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trHeight w:hRule="exact" w:val="240"/>
          <w:jc w:val="center"/>
        </w:trPr>
        <w:tc>
          <w:tcPr>
            <w:tcW w:w="9752" w:type="dxa"/>
            <w:gridSpan w:val="2"/>
            <w:tcBorders>
              <w:top w:val="nil"/>
              <w:left w:val="nil"/>
              <w:bottom w:val="nil"/>
              <w:right w:val="nil"/>
            </w:tcBorders>
          </w:tcPr>
          <w:p w:rsidR="00377F36" w:rsidRPr="002A55BA" w:rsidRDefault="00377F36" w:rsidP="002378D5">
            <w:pPr>
              <w:widowControl/>
            </w:pPr>
          </w:p>
        </w:tc>
      </w:tr>
      <w:tr w:rsidR="00377F36" w:rsidRPr="002A55BA" w:rsidTr="002378D5">
        <w:trPr>
          <w:trHeight w:val="240"/>
          <w:jc w:val="center"/>
        </w:trPr>
        <w:tc>
          <w:tcPr>
            <w:tcW w:w="4876" w:type="dxa"/>
            <w:tcBorders>
              <w:top w:val="nil"/>
              <w:left w:val="nil"/>
              <w:bottom w:val="nil"/>
              <w:right w:val="nil"/>
            </w:tcBorders>
          </w:tcPr>
          <w:p w:rsidR="00377F36" w:rsidRPr="002A55BA" w:rsidRDefault="00377F36" w:rsidP="002378D5">
            <w:pPr>
              <w:pStyle w:val="AmColumnHeading"/>
              <w:widowControl/>
            </w:pPr>
            <w:r w:rsidRPr="002A55BA">
              <w:t>Komission teksti</w:t>
            </w:r>
          </w:p>
        </w:tc>
        <w:tc>
          <w:tcPr>
            <w:tcW w:w="4876" w:type="dxa"/>
            <w:tcBorders>
              <w:top w:val="nil"/>
              <w:left w:val="nil"/>
              <w:bottom w:val="nil"/>
              <w:right w:val="nil"/>
            </w:tcBorders>
          </w:tcPr>
          <w:p w:rsidR="00377F36" w:rsidRPr="002A55BA" w:rsidRDefault="00377F36" w:rsidP="002378D5">
            <w:pPr>
              <w:pStyle w:val="AmColumnHeading"/>
              <w:widowControl/>
            </w:pPr>
            <w:r w:rsidRPr="002A55BA">
              <w:t>Tarkistus</w:t>
            </w:r>
          </w:p>
        </w:tc>
      </w:tr>
      <w:tr w:rsidR="00377F36" w:rsidRPr="002A55BA" w:rsidTr="002378D5">
        <w:trPr>
          <w:jc w:val="center"/>
        </w:trPr>
        <w:tc>
          <w:tcPr>
            <w:tcW w:w="4876" w:type="dxa"/>
            <w:tcBorders>
              <w:top w:val="nil"/>
              <w:left w:val="nil"/>
              <w:bottom w:val="nil"/>
              <w:right w:val="nil"/>
            </w:tcBorders>
          </w:tcPr>
          <w:p w:rsidR="00377F36" w:rsidRPr="002A55BA" w:rsidRDefault="00377F36" w:rsidP="002378D5">
            <w:pPr>
              <w:pStyle w:val="Normal6a"/>
              <w:widowControl/>
            </w:pPr>
            <w:r w:rsidRPr="002A55BA">
              <w:t>(12)</w:t>
            </w:r>
            <w:r w:rsidRPr="002A55BA">
              <w:tab/>
              <w:t>Egypti jatkoi neuvotteluja IMF:n kanssa vuoden 2024 alussa ja pääsi 6</w:t>
            </w:r>
            <w:r w:rsidRPr="002A55BA">
              <w:rPr>
                <w:b/>
                <w:i/>
              </w:rPr>
              <w:t>.</w:t>
            </w:r>
            <w:r w:rsidRPr="002A55BA">
              <w:t xml:space="preserve"> maaliskuuta 2024 virkamiestason sopimukseen uudistetusta laajennetun rahoitusjärjestelyn ohjelmasta, jonka määrärahat nostettiin 8 miljardiin Yhdysvaltain dollariin. </w:t>
            </w:r>
            <w:r w:rsidRPr="002A55BA">
              <w:rPr>
                <w:b/>
                <w:i/>
              </w:rPr>
              <w:t>Uusi ohjelma on tarkoitus hyväksyä IMF:n johtokunnan päätöksellä maaliskuussa</w:t>
            </w:r>
            <w:r w:rsidRPr="002A55BA">
              <w:t xml:space="preserve"> 2024</w:t>
            </w:r>
            <w:r w:rsidRPr="002A55BA">
              <w:rPr>
                <w:b/>
                <w:i/>
              </w:rPr>
              <w:t>, ja sen</w:t>
            </w:r>
            <w:r w:rsidRPr="002A55BA">
              <w:t xml:space="preserve"> tavoitteena on kohdistua seuraaviin osa-alueisiin: </w:t>
            </w:r>
            <w:r w:rsidR="0058678E" w:rsidRPr="002A55BA">
              <w:t xml:space="preserve">1) </w:t>
            </w:r>
            <w:r w:rsidRPr="002A55BA">
              <w:t>uskottava valuuttakurssijousto, 2) rahapolitiikan kestävä kiristäminen, 3) julkisen talouden vakauttaminen velkakestävyyden säilyttämiseksi, 4) uusi kehys infrastruktuurimenojen hillitsemiseksi, 5) sosiaalimenojen riittävä taso heikossa asemassa olevien väestöryhmien suojelemiseksi ja 6) valtion omistajapolitiikan toteuttaminen ja uudistukset tasapuolisten toimintaedellytysten varmistamiseksi. Virkamiestason sopimuksen allekirjoittamisen yhteydessä Egypti otti käyttöön myös valuuttakurssijouston ja nosti keskuspankin keskeistä ohjauskorkoa huomattavasti, 600 peruspisteellä, IMF:n ohjelman painopisteiden mukaisesti.</w:t>
            </w:r>
          </w:p>
        </w:tc>
        <w:tc>
          <w:tcPr>
            <w:tcW w:w="4876" w:type="dxa"/>
            <w:tcBorders>
              <w:top w:val="nil"/>
              <w:left w:val="nil"/>
              <w:bottom w:val="nil"/>
              <w:right w:val="nil"/>
            </w:tcBorders>
          </w:tcPr>
          <w:p w:rsidR="00377F36" w:rsidRPr="002A55BA" w:rsidRDefault="00377F36" w:rsidP="002378D5">
            <w:pPr>
              <w:pStyle w:val="Normal6a"/>
              <w:widowControl/>
            </w:pPr>
            <w:r w:rsidRPr="002A55BA">
              <w:t>(12)</w:t>
            </w:r>
            <w:r w:rsidRPr="002A55BA">
              <w:tab/>
              <w:t>Egypti jatkoi neuvotteluja IMF:n kanssa vuoden 2024 alussa ja pääsi 6</w:t>
            </w:r>
            <w:r w:rsidRPr="002A55BA">
              <w:rPr>
                <w:b/>
                <w:i/>
              </w:rPr>
              <w:t> päivänä</w:t>
            </w:r>
            <w:r w:rsidRPr="002A55BA">
              <w:t xml:space="preserve"> maaliskuuta 2024 virkamiestason sopimukseen uudistetusta laajennetun rahoitusjärjestelyn ohjelmasta, jonka määrärahat nostettiin 8 miljardiin Yhdysvaltain dollariin. </w:t>
            </w:r>
            <w:r w:rsidRPr="002A55BA">
              <w:rPr>
                <w:b/>
                <w:i/>
              </w:rPr>
              <w:t>Neuvottelut asiantuntijatasolla Egyptin talousuudistusohjelman neljännestä tarkistuksesta saatiin päätökseen joulukuussa 2024. Uuden ohjelman</w:t>
            </w:r>
            <w:r w:rsidRPr="002A55BA">
              <w:t xml:space="preserve"> tavoitteena on kohdistua seuraaviin osa-alueisiin: </w:t>
            </w:r>
            <w:r w:rsidR="0058678E" w:rsidRPr="002A55BA">
              <w:t xml:space="preserve">1) </w:t>
            </w:r>
            <w:r w:rsidRPr="002A55BA">
              <w:t xml:space="preserve">uskottava valuuttakurssijousto, 2) rahapolitiikan kestävä kiristäminen, 3) julkisen talouden vakauttaminen velkakestävyyden säilyttämiseksi, 4) uusi kehys infrastruktuurimenojen hillitsemiseksi, 5) sosiaalimenojen riittävä taso heikossa asemassa olevien väestöryhmien suojelemiseksi </w:t>
            </w:r>
            <w:r w:rsidRPr="002A55BA">
              <w:rPr>
                <w:b/>
                <w:i/>
              </w:rPr>
              <w:t xml:space="preserve">elinkustannusten ja energian hintojen nousulta </w:t>
            </w:r>
            <w:r w:rsidRPr="002A55BA">
              <w:t>ja 6) valtion omistajapolitiikan toteuttaminen ja uudistukset tasapuolisten toimintaedellytysten varmistamiseksi</w:t>
            </w:r>
            <w:r w:rsidRPr="002A55BA">
              <w:rPr>
                <w:b/>
                <w:i/>
              </w:rPr>
              <w:t xml:space="preserve"> edistämällä yksityisen sektorin kehitystä taloudessa</w:t>
            </w:r>
            <w:r w:rsidRPr="002A55BA">
              <w:t>. Virkamiestason sopimuksen allekirjoittamisen yhteydessä Egypti otti käyttöön myös valuuttakurssijouston ja nosti keskuspankin keskeistä ohjauskorkoa huomattavasti, 600 peruspisteellä, IMF:n ohjelman painopisteiden mukaisesti.</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11</w:t>
      </w:r>
    </w:p>
    <w:p w:rsidR="00377F36" w:rsidRPr="002A55BA" w:rsidRDefault="00377F36" w:rsidP="00377F36">
      <w:pPr>
        <w:pStyle w:val="NormalBold12b"/>
        <w:widowControl/>
      </w:pPr>
      <w:r w:rsidRPr="002A55BA">
        <w:t>Ehdotus päätökseksi</w:t>
      </w:r>
    </w:p>
    <w:p w:rsidR="00377F36" w:rsidRPr="002A55BA" w:rsidRDefault="00377F36" w:rsidP="00377F36">
      <w:pPr>
        <w:pStyle w:val="NormalBold"/>
        <w:widowControl/>
      </w:pPr>
      <w:r w:rsidRPr="002A55BA">
        <w:lastRenderedPageBreak/>
        <w:t>Johdanto-osan 16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trHeight w:hRule="exact" w:val="240"/>
          <w:jc w:val="center"/>
        </w:trPr>
        <w:tc>
          <w:tcPr>
            <w:tcW w:w="9752" w:type="dxa"/>
            <w:gridSpan w:val="2"/>
            <w:tcBorders>
              <w:top w:val="nil"/>
              <w:left w:val="nil"/>
              <w:bottom w:val="nil"/>
              <w:right w:val="nil"/>
            </w:tcBorders>
          </w:tcPr>
          <w:p w:rsidR="00377F36" w:rsidRPr="002A55BA" w:rsidRDefault="00377F36" w:rsidP="002378D5">
            <w:pPr>
              <w:widowControl/>
            </w:pPr>
          </w:p>
        </w:tc>
      </w:tr>
      <w:tr w:rsidR="00377F36" w:rsidRPr="002A55BA" w:rsidTr="002378D5">
        <w:trPr>
          <w:trHeight w:val="240"/>
          <w:jc w:val="center"/>
        </w:trPr>
        <w:tc>
          <w:tcPr>
            <w:tcW w:w="4876" w:type="dxa"/>
            <w:tcBorders>
              <w:top w:val="nil"/>
              <w:left w:val="nil"/>
              <w:bottom w:val="nil"/>
              <w:right w:val="nil"/>
            </w:tcBorders>
          </w:tcPr>
          <w:p w:rsidR="00377F36" w:rsidRPr="002A55BA" w:rsidRDefault="00377F36" w:rsidP="002378D5">
            <w:pPr>
              <w:pStyle w:val="AmColumnHeading"/>
              <w:widowControl/>
            </w:pPr>
            <w:r w:rsidRPr="002A55BA">
              <w:t>Komission teksti</w:t>
            </w:r>
          </w:p>
        </w:tc>
        <w:tc>
          <w:tcPr>
            <w:tcW w:w="4876" w:type="dxa"/>
            <w:tcBorders>
              <w:top w:val="nil"/>
              <w:left w:val="nil"/>
              <w:bottom w:val="nil"/>
              <w:right w:val="nil"/>
            </w:tcBorders>
          </w:tcPr>
          <w:p w:rsidR="00377F36" w:rsidRPr="002A55BA" w:rsidRDefault="00377F36" w:rsidP="002378D5">
            <w:pPr>
              <w:pStyle w:val="AmColumnHeading"/>
              <w:widowControl/>
            </w:pPr>
            <w:r w:rsidRPr="002A55BA">
              <w:t>Tarkistus</w:t>
            </w:r>
          </w:p>
        </w:tc>
      </w:tr>
      <w:tr w:rsidR="00377F36" w:rsidRPr="002A55BA" w:rsidTr="002378D5">
        <w:trPr>
          <w:jc w:val="center"/>
        </w:trPr>
        <w:tc>
          <w:tcPr>
            <w:tcW w:w="4876" w:type="dxa"/>
            <w:tcBorders>
              <w:top w:val="nil"/>
              <w:left w:val="nil"/>
              <w:bottom w:val="nil"/>
              <w:right w:val="nil"/>
            </w:tcBorders>
          </w:tcPr>
          <w:p w:rsidR="00377F36" w:rsidRPr="002A55BA" w:rsidRDefault="00377F36" w:rsidP="002378D5">
            <w:pPr>
              <w:pStyle w:val="Normal6a"/>
              <w:widowControl/>
            </w:pPr>
            <w:r w:rsidRPr="002A55BA">
              <w:t>(16)</w:t>
            </w:r>
            <w:r w:rsidRPr="002A55BA">
              <w:tab/>
              <w:t>Egyptin maksutaseessa on IMF:n ja muiden monenvälisten laitosten käyttöön asettamien varojen jälkeen edelleen huomattava ulkoinen rahoitusvaje, joten Egyptille annettavaa unionin makrotaloudellista rahoitusapua pidetään tämänhetkisissä poikkeusolosuhteissa asianmukaisena vastauksena Egyptin pyyntöön saada tukea talouden vakauttamiseen yhdessä IMF:n ohjelman kanssa. Unionin makrotaloudellisella rahoitusavulla, myös tämän ehdotuksen mukaisella 4 miljardin euron makrotaloudellisella rahoitusavulla, on tarkoitus tukea Egyptin talouden vakauttamista ja rakenneuudistusohjelmaa ja täydentää IMF:n rahoitusjärjestelyn puitteissa käytettävissä olevia varoja.</w:t>
            </w:r>
          </w:p>
        </w:tc>
        <w:tc>
          <w:tcPr>
            <w:tcW w:w="4876" w:type="dxa"/>
            <w:tcBorders>
              <w:top w:val="nil"/>
              <w:left w:val="nil"/>
              <w:bottom w:val="nil"/>
              <w:right w:val="nil"/>
            </w:tcBorders>
          </w:tcPr>
          <w:p w:rsidR="00377F36" w:rsidRPr="002A55BA" w:rsidRDefault="00377F36" w:rsidP="002378D5">
            <w:pPr>
              <w:pStyle w:val="Normal6a"/>
              <w:widowControl/>
            </w:pPr>
            <w:r w:rsidRPr="002A55BA">
              <w:t>(16)</w:t>
            </w:r>
            <w:r w:rsidRPr="002A55BA">
              <w:tab/>
              <w:t xml:space="preserve">Egyptin maksutaseessa on IMF:n ja muiden monenvälisten laitosten </w:t>
            </w:r>
            <w:r w:rsidRPr="002A55BA">
              <w:rPr>
                <w:b/>
                <w:i/>
              </w:rPr>
              <w:t xml:space="preserve">sekä alueellisten kumppanien </w:t>
            </w:r>
            <w:r w:rsidRPr="002A55BA">
              <w:t>käyttöön asettamien varojen jälkeen edelleen huomattava ulkoinen rahoitusvaje, joten Egyptille annettavaa unionin makrotaloudellista rahoitusapua pidetään tämänhetkisissä poikkeusolosuhteissa asianmukaisena vastauksena Egyptin pyyntöön saada tukea talouden vakauttamiseen yhdessä IMF:n ohjelman kanssa. Unionin makrotaloudellisella rahoitusavulla, myös tämän ehdotuksen mukaisella 4 miljardin euron makrotaloudellisella rahoitusavulla, on tarkoitus tukea Egyptin talouden vakauttamista ja rakenneuudistusohjelmaa ja täydentää IMF:n rahoitusjärjestelyn puitteissa käytettävissä olevia varoja.</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12</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Johdanto-osan 19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(19)</w:t>
            </w:r>
            <w:r w:rsidRPr="002A55BA">
              <w:tab/>
              <w:t>Komission olisi varmistettava, että unionin makrotaloudellinen apu vastaa oikeudellisesti ja sisällöltään unionin ulkoisen toiminnan eri alojen ja muiden asiaankuuluvien politiikkojen keskeisiä periaatteita, tavoitteita ja toteutettuja toimenpiteitä.</w:t>
            </w:r>
          </w:p>
        </w:tc>
        <w:tc>
          <w:tcPr>
            <w:tcW w:w="4876" w:type="dxa"/>
            <w:hideMark/>
          </w:tcPr>
          <w:p w:rsidR="00377F36" w:rsidRPr="002A55BA" w:rsidRDefault="00377F36" w:rsidP="002378D5">
            <w:pPr>
              <w:pStyle w:val="Normal6"/>
              <w:widowControl/>
              <w:rPr>
                <w:szCs w:val="24"/>
              </w:rPr>
            </w:pPr>
            <w:r w:rsidRPr="002A55BA">
              <w:t>(19)</w:t>
            </w:r>
            <w:r w:rsidRPr="002A55BA">
              <w:tab/>
              <w:t>Komission olisi varmistettava, että unionin makrotaloudellinen apu vastaa oikeudellisesti ja sisällöltään unionin ulkoisen toiminnan eri alojen ja muiden asiaankuuluvien politiikkojen keskeisiä periaatteita, tavoitteita ja toteutettuja toimenpiteitä</w:t>
            </w:r>
            <w:r w:rsidRPr="002A55BA">
              <w:rPr>
                <w:b/>
                <w:i/>
              </w:rPr>
              <w:t>, erityisesti niitä, jotka liittyvät demokratiaan, ihmisoikeuksiin ja oikeusvaltioperiaatteeseen, EU–Egypti-assosiaatiosopimuksen 2 artiklan mukaisesti</w:t>
            </w:r>
            <w:r w:rsidRPr="002A55BA">
              <w:t>.</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13</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Johdanto-osan 22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(22)</w:t>
            </w:r>
            <w:r w:rsidRPr="002A55BA">
              <w:tab/>
              <w:t xml:space="preserve">Ennakkoedellytyksenä sille, että unioni myöntää Egyptille makrotaloudellista rahoitusapua olisi oltava, että Egypti edistyy yhä konkreettisesti </w:t>
            </w:r>
            <w:r w:rsidRPr="002A55BA">
              <w:rPr>
                <w:b/>
                <w:bCs/>
                <w:i/>
                <w:iCs/>
              </w:rPr>
              <w:t>ja</w:t>
            </w:r>
            <w:r w:rsidRPr="002A55BA">
              <w:t xml:space="preserve"> uskottavasti kohti toimivia demokratian mekanismeja – kuten parlamentaarista monipuoluejärjestelmää – ja oikeusvaltioperiaatetta sekä takaa ihmisoikeuksien kunnioittamisen. Lisäksi unionin makrotaloudellisen rahoitusavun erityistavoitteina olisi oltava julkisten varainhoitojärjestelmien tehokkuuden, läpinäkyvyyden ja vastuuvelvollisuuden lisääminen sekä finanssisektorin ohjauksen, hallinnan ja valvonnan vahvistaminen Egyptissä ja sellaisten rakenneuudistusten edistäminen, joilla pyritään tukemaan kestävää ja osallistavaa kasvua, työpaikkojen luomista ja julkisen talouden vakauttamista. Komission yksiköiden ja Euroopan ulkosuhdehallinnon olisi säännöllisesti seurattava sekä ennakkoedellytyksen täyttymistä että erityistavoitteiden saavuttamista.</w:t>
            </w:r>
          </w:p>
        </w:tc>
        <w:tc>
          <w:tcPr>
            <w:tcW w:w="4876" w:type="dxa"/>
            <w:hideMark/>
          </w:tcPr>
          <w:p w:rsidR="00377F36" w:rsidRPr="002A55BA" w:rsidRDefault="00377F36" w:rsidP="002378D5">
            <w:pPr>
              <w:pStyle w:val="Normal6"/>
              <w:widowControl/>
              <w:rPr>
                <w:szCs w:val="24"/>
              </w:rPr>
            </w:pPr>
            <w:r w:rsidRPr="002A55BA">
              <w:t>(22)</w:t>
            </w:r>
            <w:r w:rsidRPr="002A55BA">
              <w:tab/>
            </w:r>
            <w:r w:rsidRPr="002A55BA">
              <w:rPr>
                <w:b/>
                <w:i/>
              </w:rPr>
              <w:t xml:space="preserve">Makrotaloudellisen rahoitusavun olisi pysyttävä taloudellisena välineenä. </w:t>
            </w:r>
            <w:r w:rsidRPr="002A55BA">
              <w:t>Ennakkoedellytyksenä sille, että unioni myöntää Egyptille makrotaloudellista rahoitusapua</w:t>
            </w:r>
            <w:r w:rsidRPr="002A55BA">
              <w:rPr>
                <w:b/>
                <w:i/>
              </w:rPr>
              <w:t>,</w:t>
            </w:r>
            <w:r w:rsidRPr="002A55BA">
              <w:t xml:space="preserve"> olisi</w:t>
            </w:r>
            <w:r w:rsidRPr="002A55BA">
              <w:rPr>
                <w:b/>
                <w:i/>
              </w:rPr>
              <w:t xml:space="preserve"> kuitenkin</w:t>
            </w:r>
            <w:r w:rsidRPr="002A55BA">
              <w:t xml:space="preserve"> oltava, että Egypti edistyy yhä konkreettisesti</w:t>
            </w:r>
            <w:r w:rsidRPr="002A55BA">
              <w:rPr>
                <w:b/>
                <w:i/>
              </w:rPr>
              <w:t xml:space="preserve">, </w:t>
            </w:r>
            <w:r w:rsidRPr="002A55BA">
              <w:t xml:space="preserve">uskottavasti </w:t>
            </w:r>
            <w:r w:rsidRPr="002A55BA">
              <w:rPr>
                <w:b/>
                <w:i/>
              </w:rPr>
              <w:t>ja tuntuvasti</w:t>
            </w:r>
            <w:r w:rsidRPr="002A55BA">
              <w:t xml:space="preserve"> kohti toimivia</w:t>
            </w:r>
            <w:r w:rsidRPr="002A55BA">
              <w:rPr>
                <w:b/>
                <w:i/>
              </w:rPr>
              <w:t xml:space="preserve"> ja lujitettuja</w:t>
            </w:r>
            <w:r w:rsidRPr="002A55BA">
              <w:t xml:space="preserve"> demokratian mekanismeja – kuten parlamentaarista monipuoluejärjestelmää – ja oikeusvaltioperiaatetta sekä takaa ihmisoikeuksien kunnioittamisen. Lisäksi unionin makrotaloudellisen rahoitusavun erityistavoitteina olisi oltava julkisten varainhoitojärjestelmien tehokkuuden, läpinäkyvyyden ja vastuuvelvollisuuden lisääminen sekä finanssisektorin ohjauksen, hallinnan ja valvonnan vahvistaminen Egyptissä ja sellaisten rakenneuudistusten edistäminen, joilla pyritään tukemaan kestävää ja osallistavaa kasvua, työpaikkojen luomista ja julkisen talouden vakauttamista. Komission yksiköiden ja Euroopan ulkosuhdehallinnon olisi säännöllisesti seurattava sekä ennakkoedellytyksen täyttymistä että erityistavoitteiden saavuttamista.</w:t>
            </w:r>
          </w:p>
        </w:tc>
      </w:tr>
    </w:tbl>
    <w:p w:rsidR="00377F36" w:rsidRPr="002A55BA" w:rsidRDefault="00377F36" w:rsidP="00377F36">
      <w:pPr>
        <w:widowControl/>
      </w:pPr>
    </w:p>
    <w:p w:rsidR="00377F36" w:rsidRPr="002A55BA" w:rsidRDefault="00377F36" w:rsidP="00834DDB">
      <w:pPr>
        <w:pStyle w:val="AmNumberTabs"/>
      </w:pPr>
      <w:r w:rsidRPr="002A55BA">
        <w:t>Tarkistus</w:t>
      </w:r>
      <w:r w:rsidR="00834DDB" w:rsidRPr="002A55BA">
        <w:t xml:space="preserve"> </w:t>
      </w:r>
      <w:r w:rsidRPr="002A55BA">
        <w:t>14</w:t>
      </w:r>
    </w:p>
    <w:p w:rsidR="00377F36" w:rsidRPr="002A55BA" w:rsidRDefault="00377F36" w:rsidP="00377F36">
      <w:pPr>
        <w:pStyle w:val="NormalBold12b"/>
        <w:keepNext/>
        <w:widowControl/>
      </w:pPr>
      <w:r w:rsidRPr="002A55BA">
        <w:t>Ehdotus päätökseksi</w:t>
      </w:r>
    </w:p>
    <w:p w:rsidR="00377F36" w:rsidRPr="002A55BA" w:rsidRDefault="00377F36" w:rsidP="00377F36">
      <w:pPr>
        <w:pStyle w:val="NormalBold"/>
        <w:widowControl/>
      </w:pPr>
      <w:r w:rsidRPr="002A55BA">
        <w:t>Johdanto-osan 23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(23)</w:t>
            </w:r>
            <w:r w:rsidRPr="002A55BA">
              <w:tab/>
              <w:t xml:space="preserve">Sen varmistamiseksi, että unionin makrotaloudelliseen rahoitusapuun liittyvät unionin taloudelliset edut suojataan tehokkaasti, Egyptin olisi toteutettava asianmukaisia toimenpiteitä, jotka liittyvät petosten, korruption ja muiden rahoitusapuun mahdollisesti liittyvien sääntöjenvastaisuuksien estämiseen ja torjumiseen. Lisäksi komission ja Egyptin viranomaisten välillä tehtävän lainasopimuksen olisi sisällettävä </w:t>
            </w:r>
            <w:r w:rsidRPr="002A55BA">
              <w:lastRenderedPageBreak/>
              <w:t>määräyksiä, joilla Euroopan petostentorjuntavirasto (OLAF) valtuutetaan suorittamaan tutkimuksia, mukaan lukien paikalla tehtävät tarkastukset ja todentamiset, Euroopan parlamentin ja neuvoston asetuksessa (EU, Euratom) N:o 883/2013</w:t>
            </w:r>
            <w:r w:rsidRPr="002A55BA">
              <w:rPr>
                <w:vertAlign w:val="superscript"/>
              </w:rPr>
              <w:t>3</w:t>
            </w:r>
            <w:r w:rsidRPr="002A55BA">
              <w:t xml:space="preserve"> ja neuvoston asetuksessa (Euratom, EY) N:o 2185/96</w:t>
            </w:r>
            <w:r w:rsidRPr="002A55BA">
              <w:rPr>
                <w:vertAlign w:val="superscript"/>
              </w:rPr>
              <w:t>4</w:t>
            </w:r>
            <w:r w:rsidRPr="002A55BA">
              <w:t xml:space="preserve"> vahvistettujen säännösten ja menettelyjen mukaisesti, komissio ja tilintarkastustuomioistuin valtuutetaan suorittamaan tarkastuksia ja Euroopan syyttäjänvirasto valtuutetaan käyttämään toimivaltaansa unionin makrotaloudellisen rahoitusavun myöntämisen osalta sen saatavuusaikana ja sen jälkeen.</w:t>
            </w:r>
          </w:p>
        </w:tc>
        <w:tc>
          <w:tcPr>
            <w:tcW w:w="4876" w:type="dxa"/>
            <w:hideMark/>
          </w:tcPr>
          <w:p w:rsidR="00377F36" w:rsidRPr="002A55BA" w:rsidRDefault="00377F36" w:rsidP="002378D5">
            <w:pPr>
              <w:pStyle w:val="Normal6"/>
              <w:widowControl/>
              <w:rPr>
                <w:szCs w:val="24"/>
              </w:rPr>
            </w:pPr>
            <w:r w:rsidRPr="002A55BA">
              <w:lastRenderedPageBreak/>
              <w:t>(23)</w:t>
            </w:r>
            <w:r w:rsidRPr="002A55BA">
              <w:tab/>
            </w:r>
            <w:r w:rsidRPr="002A55BA">
              <w:rPr>
                <w:b/>
                <w:i/>
              </w:rPr>
              <w:t xml:space="preserve">On tärkeää korostaa, että Egyptin on täytettävä vaadittu taloutta koskeva tukikelpoisuuden ennakkoedellytys. Egypti on osoittanut vakavaraisuutensa ja rahoitusvakautensa, jotka komissio on tarkastanut. </w:t>
            </w:r>
            <w:r w:rsidRPr="002A55BA">
              <w:t xml:space="preserve">Sen varmistamiseksi, että unionin makrotaloudelliseen rahoitusapuun liittyvät unionin taloudelliset edut suojataan tehokkaasti, Egyptin olisi toteutettava asianmukaisia toimenpiteitä, jotka liittyvät petosten, korruption ja </w:t>
            </w:r>
            <w:r w:rsidRPr="002A55BA">
              <w:lastRenderedPageBreak/>
              <w:t>muiden rahoitusapuun mahdollisesti liittyvien sääntöjenvastaisuuksien estämiseen ja torjumiseen. Lisäksi komission ja Egyptin viranomaisten välillä tehtävän lainasopimuksen olisi sisällettävä määräyksiä, joilla Euroopan petostentorjuntavirasto (OLAF) valtuutetaan suorittamaan tutkimuksia, mukaan lukien paikalla tehtävät tarkastukset ja todentamiset, Euroopan parlamentin ja neuvoston asetuksessa (EU, Euratom) N:o 883/2013</w:t>
            </w:r>
            <w:r w:rsidRPr="002A55BA">
              <w:rPr>
                <w:vertAlign w:val="superscript"/>
              </w:rPr>
              <w:t>3</w:t>
            </w:r>
            <w:r w:rsidRPr="002A55BA">
              <w:t xml:space="preserve"> ja neuvoston asetuksessa (Euratom, EY) N:o 2185/96</w:t>
            </w:r>
            <w:r w:rsidRPr="002A55BA">
              <w:rPr>
                <w:vertAlign w:val="superscript"/>
              </w:rPr>
              <w:t>4</w:t>
            </w:r>
            <w:r w:rsidRPr="002A55BA">
              <w:t xml:space="preserve"> vahvistettujen säännösten ja menettelyjen mukaisesti, komissio ja tilintarkastustuomioistuin valtuutetaan suorittamaan tarkastuksia ja Euroopan syyttäjänvirasto valtuutetaan käyttämään toimivaltaansa unionin makrotaloudellisen rahoitusavun myöntämisen osalta sen saatavuusaikana ja sen jälkeen.</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lastRenderedPageBreak/>
              <w:t>__________________</w:t>
            </w:r>
          </w:p>
        </w:tc>
        <w:tc>
          <w:tcPr>
            <w:tcW w:w="4876" w:type="dxa"/>
            <w:hideMark/>
          </w:tcPr>
          <w:p w:rsidR="00377F36" w:rsidRPr="002A55BA" w:rsidRDefault="00377F36" w:rsidP="002378D5">
            <w:pPr>
              <w:pStyle w:val="Normal6"/>
              <w:widowControl/>
              <w:rPr>
                <w:szCs w:val="24"/>
              </w:rPr>
            </w:pPr>
            <w:r w:rsidRPr="002A55BA">
              <w:t>__________________</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rPr>
                <w:vertAlign w:val="superscript"/>
              </w:rPr>
              <w:t>3</w:t>
            </w:r>
            <w:r w:rsidR="00834DDB" w:rsidRPr="002A55BA">
              <w:rPr>
                <w:vertAlign w:val="superscript"/>
              </w:rPr>
              <w:t xml:space="preserve"> </w:t>
            </w:r>
            <w:r w:rsidRPr="002A55BA">
              <w:t>Euroopan parlamentin ja neuvoston asetus (EU, Euratom) N:o 883/2013, annettu 11 päivänä syyskuuta 2013, Euroopan petostentorjuntaviraston (OLAF) tutkimuksista sekä Euroopan parlamentin ja neuvoston asetuksen (EY) N:o 1073/1999 ja neuvoston asetuksen (Euratom) N:o 1074/1999 kumoamisesta (EUVL L 248, 18.9.2013, s. 1).</w:t>
            </w:r>
          </w:p>
        </w:tc>
        <w:tc>
          <w:tcPr>
            <w:tcW w:w="4876" w:type="dxa"/>
            <w:hideMark/>
          </w:tcPr>
          <w:p w:rsidR="00377F36" w:rsidRPr="002A55BA" w:rsidRDefault="00377F36" w:rsidP="002378D5">
            <w:pPr>
              <w:pStyle w:val="Normal6"/>
              <w:widowControl/>
              <w:rPr>
                <w:szCs w:val="24"/>
              </w:rPr>
            </w:pPr>
            <w:r w:rsidRPr="002A55BA">
              <w:rPr>
                <w:vertAlign w:val="superscript"/>
              </w:rPr>
              <w:t>3</w:t>
            </w:r>
            <w:r w:rsidRPr="002A55BA">
              <w:t xml:space="preserve"> Euroopan parlamentin ja neuvoston asetus (EU, Euratom) N:o 883/2013, annettu 11 päivänä syyskuuta 2013, Euroopan petostentorjuntaviraston (OLAF) tutkimuksista sekä Euroopan parlamentin ja neuvoston asetuksen (EY) N:o 1073/1999 ja neuvoston asetuksen (Euratom) N:o 1074/1999 kumoamisesta (EUVL L 248, 18.9.2013, s. 1).</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rPr>
                <w:vertAlign w:val="superscript"/>
              </w:rPr>
              <w:t>4</w:t>
            </w:r>
            <w:r w:rsidR="00834DDB" w:rsidRPr="002A55BA">
              <w:rPr>
                <w:vertAlign w:val="superscript"/>
              </w:rPr>
              <w:t xml:space="preserve"> </w:t>
            </w:r>
            <w:r w:rsidRPr="002A55BA">
              <w:t>Neuvoston asetus (Euratom, EY) N:o 2185/96, annettu 11 päivänä marraskuuta 1996, komission paikan päällä suorittamista tarkastuksista ja todentamisista Euroopan yhteisöjen taloudellisiin etuihin kohdistuvien petosten ja muiden väärinkäytösten estämiseksi (EYVL L 292, 15.11.1996, s. 2).</w:t>
            </w:r>
          </w:p>
        </w:tc>
        <w:tc>
          <w:tcPr>
            <w:tcW w:w="4876" w:type="dxa"/>
            <w:hideMark/>
          </w:tcPr>
          <w:p w:rsidR="00377F36" w:rsidRPr="002A55BA" w:rsidRDefault="00377F36" w:rsidP="002378D5">
            <w:pPr>
              <w:pStyle w:val="Normal6"/>
              <w:widowControl/>
              <w:rPr>
                <w:szCs w:val="24"/>
              </w:rPr>
            </w:pPr>
            <w:r w:rsidRPr="002A55BA">
              <w:rPr>
                <w:vertAlign w:val="superscript"/>
              </w:rPr>
              <w:t>4</w:t>
            </w:r>
            <w:r w:rsidRPr="002A55BA">
              <w:t xml:space="preserve"> Neuvoston asetus (Euratom, EY) N:o 2185/96, annettu 11 päivänä marraskuuta 1996, komission paikan päällä suorittamista tarkastuksista ja todentamisista Euroopan yhteisöjen taloudellisiin etuihin kohdistuvien petosten ja muiden väärinkäytösten estämiseksi (EYVL L 292, 15.11.1996, s. 2).</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15</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Johdanto-osan 26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tcPr>
          <w:p w:rsidR="00377F36" w:rsidRPr="002A55BA" w:rsidRDefault="00377F36" w:rsidP="002378D5">
            <w:pPr>
              <w:pStyle w:val="ColumnHeading"/>
              <w:keepNext/>
              <w:widowControl/>
            </w:pPr>
            <w:r w:rsidRPr="002A55BA">
              <w:t>Komission teksti</w:t>
            </w:r>
          </w:p>
        </w:tc>
        <w:tc>
          <w:tcPr>
            <w:tcW w:w="4876" w:type="dxa"/>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tcPr>
          <w:p w:rsidR="00377F36" w:rsidRPr="002A55BA" w:rsidRDefault="00377F36" w:rsidP="002378D5">
            <w:pPr>
              <w:pStyle w:val="Normal6"/>
              <w:widowControl/>
            </w:pPr>
            <w:r w:rsidRPr="002A55BA">
              <w:t>(26)</w:t>
            </w:r>
            <w:r w:rsidRPr="002A55BA">
              <w:tab/>
              <w:t xml:space="preserve">Unionin makrotaloudellisen rahoitusavun hallinnointi olisi annettava </w:t>
            </w:r>
            <w:r w:rsidRPr="002A55BA">
              <w:lastRenderedPageBreak/>
              <w:t>komission tehtäväksi. Sen varmistamiseksi, että Euroopan parlamentti ja neuvosto voivat seurata tämän päätöksen täytäntöönpanoa, komission olisi annettava niille säännöllisesti tietoja rahoitusavun täytäntöönpanosta ja toimitettava niille asiaan liittyvät asiakirjat.</w:t>
            </w:r>
          </w:p>
        </w:tc>
        <w:tc>
          <w:tcPr>
            <w:tcW w:w="4876" w:type="dxa"/>
          </w:tcPr>
          <w:p w:rsidR="00377F36" w:rsidRPr="002A55BA" w:rsidRDefault="00377F36" w:rsidP="002378D5">
            <w:pPr>
              <w:pStyle w:val="Normal6"/>
              <w:widowControl/>
              <w:rPr>
                <w:szCs w:val="24"/>
              </w:rPr>
            </w:pPr>
            <w:r w:rsidRPr="002A55BA">
              <w:lastRenderedPageBreak/>
              <w:t>(26)</w:t>
            </w:r>
            <w:r w:rsidRPr="002A55BA">
              <w:tab/>
              <w:t xml:space="preserve">Unionin makrotaloudellisen rahoitusavun hallinnointi olisi annettava </w:t>
            </w:r>
            <w:r w:rsidRPr="002A55BA">
              <w:lastRenderedPageBreak/>
              <w:t xml:space="preserve">komission tehtäväksi. Sen varmistamiseksi, että Euroopan parlamentti ja neuvosto voivat seurata tämän päätöksen täytäntöönpanoa, komission olisi annettava niille säännöllisesti </w:t>
            </w:r>
            <w:r w:rsidRPr="002A55BA">
              <w:rPr>
                <w:b/>
                <w:i/>
              </w:rPr>
              <w:t xml:space="preserve">vuosittain annettavassa kertomuksessa </w:t>
            </w:r>
            <w:r w:rsidRPr="002A55BA">
              <w:t>tietoja rahoitusavun täytäntöönpanosta</w:t>
            </w:r>
            <w:r w:rsidRPr="002A55BA">
              <w:rPr>
                <w:b/>
                <w:i/>
              </w:rPr>
              <w:t xml:space="preserve"> ja tehokkaiden demokraattisten mekanismien noudattamisesta tässä päätöksessä mainittujen ennakkoedellytysten mukaisesti,</w:t>
            </w:r>
            <w:r w:rsidRPr="002A55BA">
              <w:t xml:space="preserve"> ja toimitettava niille asiaan liittyvät asiakirjat.</w:t>
            </w:r>
          </w:p>
        </w:tc>
      </w:tr>
    </w:tbl>
    <w:p w:rsidR="00377F36" w:rsidRPr="002A55BA" w:rsidRDefault="00377F36" w:rsidP="00377F36">
      <w:pPr>
        <w:widowControl/>
      </w:pPr>
    </w:p>
    <w:p w:rsidR="00377F36" w:rsidRPr="002A55BA" w:rsidRDefault="00377F36" w:rsidP="00377F36">
      <w:pPr>
        <w:pStyle w:val="AmNumberTabs"/>
        <w:widowControl/>
      </w:pPr>
      <w:r w:rsidRPr="002A55BA">
        <w:t>Tarkistu</w:t>
      </w:r>
      <w:r w:rsidR="00DE17B6" w:rsidRPr="002A55BA">
        <w:t>k</w:t>
      </w:r>
      <w:r w:rsidRPr="002A55BA">
        <w:t>s</w:t>
      </w:r>
      <w:r w:rsidR="00DE17B6" w:rsidRPr="002A55BA">
        <w:t>et</w:t>
      </w:r>
      <w:r w:rsidR="00834DDB" w:rsidRPr="002A55BA">
        <w:t xml:space="preserve"> </w:t>
      </w:r>
      <w:r w:rsidRPr="002A55BA">
        <w:t>16</w:t>
      </w:r>
      <w:r w:rsidR="00DE17B6" w:rsidRPr="002A55BA">
        <w:t xml:space="preserve"> ja 42</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Johdanto-osan 28 kappale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DE17B6">
        <w:trPr>
          <w:jc w:val="center"/>
        </w:trPr>
        <w:tc>
          <w:tcPr>
            <w:tcW w:w="9752" w:type="dxa"/>
            <w:gridSpan w:val="2"/>
          </w:tcPr>
          <w:p w:rsidR="00377F36" w:rsidRPr="002A55BA" w:rsidRDefault="00377F36" w:rsidP="002378D5">
            <w:pPr>
              <w:keepNext/>
              <w:widowControl/>
            </w:pPr>
          </w:p>
        </w:tc>
      </w:tr>
      <w:tr w:rsidR="00377F36" w:rsidRPr="002A55BA" w:rsidTr="00DE17B6">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DE17B6">
        <w:trPr>
          <w:jc w:val="center"/>
        </w:trPr>
        <w:tc>
          <w:tcPr>
            <w:tcW w:w="4876" w:type="dxa"/>
            <w:hideMark/>
          </w:tcPr>
          <w:p w:rsidR="00377F36" w:rsidRPr="002A55BA" w:rsidRDefault="00377F36" w:rsidP="002378D5">
            <w:pPr>
              <w:pStyle w:val="Normal6"/>
              <w:widowControl/>
            </w:pPr>
            <w:r w:rsidRPr="002A55BA">
              <w:t>(28)</w:t>
            </w:r>
            <w:r w:rsidRPr="002A55BA">
              <w:tab/>
              <w:t xml:space="preserve">Unionin makrotaloudelliseen rahoitusapuun olisi sovellettava </w:t>
            </w:r>
            <w:r w:rsidRPr="002A55BA">
              <w:rPr>
                <w:b/>
                <w:i/>
              </w:rPr>
              <w:t xml:space="preserve">talouspoliittisia </w:t>
            </w:r>
            <w:r w:rsidRPr="002A55BA">
              <w:t xml:space="preserve">ehtoja, jotka vahvistetaan yhteisymmärryspöytäkirjassa. Yhdenmukaisen täytäntöönpanon varmistamiseksi sekä tehokkuussyistä komissio olisi valtuutettava neuvottelemaan tällaisista ehdoista Egyptin viranomaisten kanssa jäsenvaltioiden edustajista muodostuvan komitean valvonnassa asetuksen (EU) </w:t>
            </w:r>
            <w:proofErr w:type="gramStart"/>
            <w:r w:rsidRPr="002A55BA">
              <w:t>N:o</w:t>
            </w:r>
            <w:proofErr w:type="gramEnd"/>
            <w:r w:rsidRPr="002A55BA">
              <w:t xml:space="preserve"> 182/2011 mukaisesti. Mainitun asetuksen mukaan neuvoa-antavaa menettelyä olisi sovellettava pääsääntöisesti kaikkiin muihin kuin asetuksessa säädettyihin tapauksiin. Kun otetaan huomioon yli 90 miljoonan euron suuruisen avun mahdollisesti huomattava vaikutus, olisi asianmukaista käyttää tarkastelumenettelyä kyseisen raja-arvon ylittävien toimien osalta. Kun otetaan huomioon Egyptille myönnettävän unionin makrotaloudellisen rahoitusavun määrä, yhteisymmärryspöytäkirjan hyväksymiseen ja avun vähentämiseen, keskeyttämiseen tai peruuttamiseen olisi sovellettava tarkastelumenettelyä</w:t>
            </w:r>
            <w:r w:rsidRPr="002A55BA">
              <w:rPr>
                <w:b/>
                <w:i/>
              </w:rPr>
              <w:t>,</w:t>
            </w:r>
          </w:p>
        </w:tc>
        <w:tc>
          <w:tcPr>
            <w:tcW w:w="4876" w:type="dxa"/>
            <w:hideMark/>
          </w:tcPr>
          <w:p w:rsidR="00377F36" w:rsidRPr="002A55BA" w:rsidRDefault="00377F36" w:rsidP="002A55BA">
            <w:pPr>
              <w:pStyle w:val="Normal6"/>
              <w:widowControl/>
              <w:rPr>
                <w:szCs w:val="24"/>
              </w:rPr>
            </w:pPr>
            <w:r w:rsidRPr="002A55BA">
              <w:t>(28)</w:t>
            </w:r>
            <w:r w:rsidRPr="002A55BA">
              <w:tab/>
              <w:t xml:space="preserve">Unionin makrotaloudelliseen rahoitusapuun olisi sovellettava </w:t>
            </w:r>
            <w:r w:rsidRPr="002A55BA">
              <w:rPr>
                <w:b/>
                <w:i/>
              </w:rPr>
              <w:t xml:space="preserve">kestäviä talouspolitiikan </w:t>
            </w:r>
            <w:r w:rsidR="002A55BA" w:rsidRPr="002A55BA">
              <w:rPr>
                <w:b/>
                <w:i/>
              </w:rPr>
              <w:t xml:space="preserve">uudistuksia </w:t>
            </w:r>
            <w:r w:rsidR="00DE17B6" w:rsidRPr="002A55BA">
              <w:rPr>
                <w:b/>
                <w:i/>
              </w:rPr>
              <w:t>ja demokratiaa, oikeusvaltioperiaatetta ja ihmisoikeuksia koskevia</w:t>
            </w:r>
            <w:r w:rsidR="002A0D12" w:rsidRPr="002A55BA">
              <w:rPr>
                <w:b/>
                <w:i/>
              </w:rPr>
              <w:t xml:space="preserve"> </w:t>
            </w:r>
            <w:r w:rsidR="002A0D12" w:rsidRPr="002A55BA">
              <w:t>ehtoja</w:t>
            </w:r>
            <w:r w:rsidRPr="002A55BA">
              <w:t xml:space="preserve">, jotka vahvistetaan </w:t>
            </w:r>
            <w:r w:rsidRPr="002A55BA">
              <w:t xml:space="preserve">yhteisymmärryspöytäkirjassa. Yhdenmukaisen täytäntöönpanon varmistamiseksi sekä tehokkuussyistä komissio olisi valtuutettava neuvottelemaan tällaisista ehdoista Egyptin viranomaisten kanssa jäsenvaltioiden edustajista muodostuvan komitean valvonnassa asetuksen (EU) </w:t>
            </w:r>
            <w:proofErr w:type="gramStart"/>
            <w:r w:rsidRPr="002A55BA">
              <w:t>N:o</w:t>
            </w:r>
            <w:proofErr w:type="gramEnd"/>
            <w:r w:rsidRPr="002A55BA">
              <w:t xml:space="preserve"> 182/2011 mukaisesti. Mainitun asetuksen mukaan neuvoa-antavaa menettelyä olisi sovellettava pääsääntöisesti kaikkiin muihin kuin asetuksessa säädettyihin tapauksiin. Kun otetaan huomioon yli 90 miljoonan euron suuruisen avun mahdollisesti huomattava vaikutus, olisi asianmukaista käyttää tarkastelumenettelyä kyseisen raja-arvon ylittävien toimien osalta. Kun otetaan huomioon Egyptille myönnettävän unionin makrotaloudellisen rahoitusavun määrä, yhteisymmärryspöytäkirjan hyväksymiseen ja avun vähentämiseen, keskeyttämiseen tai peruuttamiseen olisi sovellettava tarkastelumenettelyä</w:t>
            </w:r>
            <w:r w:rsidRPr="002A55BA">
              <w:rPr>
                <w:b/>
                <w:i/>
              </w:rPr>
              <w:t>.</w:t>
            </w:r>
          </w:p>
        </w:tc>
      </w:tr>
    </w:tbl>
    <w:p w:rsidR="00377F36" w:rsidRPr="002A55BA" w:rsidRDefault="00377F36" w:rsidP="002A55BA"/>
    <w:p w:rsidR="00377F36" w:rsidRPr="002A55BA" w:rsidRDefault="00377F36" w:rsidP="00377F36">
      <w:pPr>
        <w:pStyle w:val="AmNumberTabs"/>
        <w:widowControl/>
      </w:pPr>
      <w:r w:rsidRPr="002A55BA">
        <w:lastRenderedPageBreak/>
        <w:t>Tarkistus</w:t>
      </w:r>
      <w:r w:rsidR="00834DDB" w:rsidRPr="002A55BA">
        <w:t xml:space="preserve"> </w:t>
      </w:r>
      <w:r w:rsidRPr="002A55BA">
        <w:t>17</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1 artikla – 1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BD4228">
        <w:trPr>
          <w:jc w:val="center"/>
        </w:trPr>
        <w:tc>
          <w:tcPr>
            <w:tcW w:w="9752" w:type="dxa"/>
            <w:gridSpan w:val="2"/>
          </w:tcPr>
          <w:p w:rsidR="00377F36" w:rsidRPr="002A55BA" w:rsidRDefault="00377F36" w:rsidP="002378D5">
            <w:pPr>
              <w:keepNext/>
              <w:widowControl/>
            </w:pPr>
          </w:p>
        </w:tc>
      </w:tr>
      <w:tr w:rsidR="00377F36" w:rsidRPr="002A55BA" w:rsidTr="00BD4228">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BD4228">
        <w:trPr>
          <w:jc w:val="center"/>
        </w:trPr>
        <w:tc>
          <w:tcPr>
            <w:tcW w:w="4876" w:type="dxa"/>
            <w:hideMark/>
          </w:tcPr>
          <w:p w:rsidR="00377F36" w:rsidRPr="002A55BA" w:rsidRDefault="00377F36" w:rsidP="002378D5">
            <w:pPr>
              <w:pStyle w:val="Normal6"/>
              <w:widowControl/>
            </w:pPr>
            <w:r w:rsidRPr="002A55BA">
              <w:t>1.</w:t>
            </w:r>
            <w:r w:rsidRPr="002A55BA">
              <w:tab/>
              <w:t xml:space="preserve">Unioni myöntää Egyptille enintään 4 miljardia euroa makrotaloudellista rahoitusapua, jäljempänä ’unionin makrotaloudellinen rahoitusapu’, tukeakseen maan </w:t>
            </w:r>
            <w:r w:rsidRPr="002A55BA">
              <w:rPr>
                <w:b/>
                <w:i/>
              </w:rPr>
              <w:t>talouden</w:t>
            </w:r>
            <w:r w:rsidRPr="002A55BA">
              <w:t xml:space="preserve"> vakauttamista ja huomattavaa uudistusohjelmaa. Unionin makrotaloudellisen rahoitusavun maksaminen edellyttää, että Euroopan parlamentti ja neuvosto hyväksyvät unionin talousarvion asiaankuuluvaksi varainhoitovuodeksi. Rahoitusavulla katetaan osa IMF:n ohjelmassa määritetyistä Egyptin maksutasetarpeista.</w:t>
            </w:r>
          </w:p>
        </w:tc>
        <w:tc>
          <w:tcPr>
            <w:tcW w:w="4876" w:type="dxa"/>
            <w:hideMark/>
          </w:tcPr>
          <w:p w:rsidR="00377F36" w:rsidRPr="002A55BA" w:rsidRDefault="00377F36" w:rsidP="002378D5">
            <w:pPr>
              <w:pStyle w:val="Normal6"/>
              <w:widowControl/>
              <w:rPr>
                <w:szCs w:val="24"/>
              </w:rPr>
            </w:pPr>
            <w:r w:rsidRPr="002A55BA">
              <w:t>1.</w:t>
            </w:r>
            <w:r w:rsidRPr="002A55BA">
              <w:tab/>
              <w:t>Unioni myöntää Egyptille enintään 4 miljardia euroa makrotaloudellista rahoitusapua</w:t>
            </w:r>
            <w:r w:rsidRPr="002A55BA">
              <w:rPr>
                <w:b/>
                <w:i/>
              </w:rPr>
              <w:t xml:space="preserve"> edullisin ehdoin myönnettävien lainojen muodossa</w:t>
            </w:r>
            <w:r w:rsidRPr="002A55BA">
              <w:t xml:space="preserve">, jäljempänä ’unionin makrotaloudellinen rahoitusapu’, tukeakseen maan </w:t>
            </w:r>
            <w:r w:rsidRPr="002A55BA">
              <w:rPr>
                <w:b/>
                <w:i/>
              </w:rPr>
              <w:t>sosioekonomista</w:t>
            </w:r>
            <w:r w:rsidRPr="002A55BA">
              <w:t xml:space="preserve"> vakauttamista ja huomattavaa </w:t>
            </w:r>
            <w:r w:rsidRPr="002A55BA">
              <w:rPr>
                <w:b/>
                <w:i/>
              </w:rPr>
              <w:t xml:space="preserve">rakenteellista </w:t>
            </w:r>
            <w:r w:rsidRPr="002A55BA">
              <w:t>uudistusohjelmaa</w:t>
            </w:r>
            <w:r w:rsidRPr="002A55BA">
              <w:rPr>
                <w:b/>
                <w:i/>
              </w:rPr>
              <w:t xml:space="preserve"> sekä sen velvoitetta, joka koskee laittoman muuttoliikkeen vaikutusten lieventämistä, ja hallitakseen muuttovirtoja</w:t>
            </w:r>
            <w:r w:rsidRPr="002A55BA">
              <w:t>. Unionin makrotaloudellisen rahoitusavun maksaminen edellyttää, että Euroopan parlamentti ja neuvosto hyväksyvät unionin talousarvion asiaankuuluvaksi varainhoitovuodeksi. Rahoitusavulla katetaan osa IMF:n ohjelmassa määritetyistä Egyptin maksutasetarpeista.</w:t>
            </w:r>
          </w:p>
        </w:tc>
      </w:tr>
    </w:tbl>
    <w:p w:rsidR="00BD4228" w:rsidRPr="002A55BA" w:rsidRDefault="00BD4228" w:rsidP="00BD4228">
      <w:pPr>
        <w:pStyle w:val="AmNumberTabs"/>
      </w:pPr>
      <w:r w:rsidRPr="002A55BA">
        <w:t>Tarkistus 44</w:t>
      </w:r>
    </w:p>
    <w:p w:rsidR="00BD4228" w:rsidRPr="002A55BA" w:rsidRDefault="00BD4228" w:rsidP="00BD4228">
      <w:pPr>
        <w:pStyle w:val="NormalBold12b"/>
      </w:pPr>
      <w:r w:rsidRPr="002A55BA">
        <w:t>Ehdotus päätökseksi</w:t>
      </w:r>
    </w:p>
    <w:p w:rsidR="00BD4228" w:rsidRPr="002A55BA" w:rsidRDefault="00BD4228" w:rsidP="00BD4228">
      <w:pPr>
        <w:pStyle w:val="NormalBold"/>
      </w:pPr>
      <w:r w:rsidRPr="002A55BA">
        <w:t>1 artikla – 3 kohta – 2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4228" w:rsidRPr="002A55BA" w:rsidTr="007B2879">
        <w:trPr>
          <w:trHeight w:hRule="exact" w:val="240"/>
          <w:jc w:val="center"/>
        </w:trPr>
        <w:tc>
          <w:tcPr>
            <w:tcW w:w="9752" w:type="dxa"/>
            <w:gridSpan w:val="2"/>
            <w:tcBorders>
              <w:top w:val="nil"/>
              <w:left w:val="nil"/>
              <w:bottom w:val="nil"/>
              <w:right w:val="nil"/>
            </w:tcBorders>
          </w:tcPr>
          <w:p w:rsidR="00BD4228" w:rsidRPr="002A55BA" w:rsidRDefault="00BD4228" w:rsidP="007B2879"/>
        </w:tc>
      </w:tr>
      <w:tr w:rsidR="00BD4228" w:rsidRPr="002A55BA" w:rsidTr="007B2879">
        <w:trPr>
          <w:trHeight w:val="240"/>
          <w:jc w:val="center"/>
        </w:trPr>
        <w:tc>
          <w:tcPr>
            <w:tcW w:w="4876" w:type="dxa"/>
            <w:tcBorders>
              <w:top w:val="nil"/>
              <w:left w:val="nil"/>
              <w:bottom w:val="nil"/>
              <w:right w:val="nil"/>
            </w:tcBorders>
          </w:tcPr>
          <w:p w:rsidR="00BD4228" w:rsidRPr="002A55BA" w:rsidRDefault="00BD4228" w:rsidP="007B2879">
            <w:pPr>
              <w:pStyle w:val="AmColumnHeading"/>
            </w:pPr>
            <w:r w:rsidRPr="002A55BA">
              <w:t>Komission teksti</w:t>
            </w:r>
          </w:p>
        </w:tc>
        <w:tc>
          <w:tcPr>
            <w:tcW w:w="4876" w:type="dxa"/>
            <w:tcBorders>
              <w:top w:val="nil"/>
              <w:left w:val="nil"/>
              <w:bottom w:val="nil"/>
              <w:right w:val="nil"/>
            </w:tcBorders>
          </w:tcPr>
          <w:p w:rsidR="00BD4228" w:rsidRPr="002A55BA" w:rsidRDefault="00BD4228" w:rsidP="007B2879">
            <w:pPr>
              <w:pStyle w:val="AmColumnHeading"/>
            </w:pPr>
            <w:r w:rsidRPr="002A55BA">
              <w:t>Tarkistus</w:t>
            </w:r>
          </w:p>
        </w:tc>
      </w:tr>
      <w:tr w:rsidR="00BD4228" w:rsidRPr="002A55BA" w:rsidTr="007B2879">
        <w:trPr>
          <w:jc w:val="center"/>
        </w:trPr>
        <w:tc>
          <w:tcPr>
            <w:tcW w:w="4876" w:type="dxa"/>
            <w:tcBorders>
              <w:top w:val="nil"/>
              <w:left w:val="nil"/>
              <w:bottom w:val="nil"/>
              <w:right w:val="nil"/>
            </w:tcBorders>
          </w:tcPr>
          <w:p w:rsidR="00BD4228" w:rsidRPr="002A55BA" w:rsidRDefault="00BD4228" w:rsidP="007B2879">
            <w:pPr>
              <w:pStyle w:val="Normal6a"/>
            </w:pPr>
          </w:p>
        </w:tc>
        <w:tc>
          <w:tcPr>
            <w:tcW w:w="4876" w:type="dxa"/>
            <w:tcBorders>
              <w:top w:val="nil"/>
              <w:left w:val="nil"/>
              <w:bottom w:val="nil"/>
              <w:right w:val="nil"/>
            </w:tcBorders>
          </w:tcPr>
          <w:p w:rsidR="00BD4228" w:rsidRPr="002A55BA" w:rsidRDefault="00BD4228" w:rsidP="007B2879">
            <w:pPr>
              <w:pStyle w:val="Normal6a"/>
            </w:pPr>
            <w:r w:rsidRPr="002A55BA">
              <w:rPr>
                <w:b/>
                <w:i/>
              </w:rPr>
              <w:t>Tämän makrotaloudellisen rahoitusavun yhteydessä myönnettyjen varojen läpinäkyvä hoito on olennaisen tärkeää, jotta taataan niiden järkevä käyttö asetettujen tavoitteiden mukaisesti. Unionin on varmistettava, että varojen väärinkäytön estämiseksi otetaan käyttöön tehokkaita ja riippumattomia valvonta- ja tarkastusmekanismeja.</w:t>
            </w:r>
          </w:p>
        </w:tc>
      </w:tr>
    </w:tbl>
    <w:p w:rsidR="00377F36" w:rsidRPr="002A55BA" w:rsidRDefault="00377F36" w:rsidP="002A55BA"/>
    <w:p w:rsidR="00377F36" w:rsidRPr="002A55BA" w:rsidRDefault="00377F36" w:rsidP="00377F36">
      <w:pPr>
        <w:pStyle w:val="AmNumberTabs"/>
        <w:widowControl/>
      </w:pPr>
      <w:r w:rsidRPr="002A55BA">
        <w:t>Tarkistus</w:t>
      </w:r>
      <w:r w:rsidR="00834DDB" w:rsidRPr="002A55BA">
        <w:t xml:space="preserve"> </w:t>
      </w:r>
      <w:r w:rsidRPr="002A55BA">
        <w:t>18</w:t>
      </w:r>
    </w:p>
    <w:p w:rsidR="00377F36" w:rsidRPr="002A55BA" w:rsidRDefault="00377F36" w:rsidP="00377F36">
      <w:pPr>
        <w:pStyle w:val="NormalBold12b"/>
        <w:widowControl/>
      </w:pPr>
      <w:r w:rsidRPr="002A55BA">
        <w:t>Ehdotus päätökseksi</w:t>
      </w:r>
    </w:p>
    <w:p w:rsidR="00377F36" w:rsidRPr="002A55BA" w:rsidRDefault="00377F36" w:rsidP="00377F36">
      <w:pPr>
        <w:pStyle w:val="NormalBold"/>
        <w:widowControl/>
      </w:pPr>
      <w:r w:rsidRPr="002A55BA">
        <w:t>1 artikla – 3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trHeight w:hRule="exact" w:val="240"/>
          <w:jc w:val="center"/>
        </w:trPr>
        <w:tc>
          <w:tcPr>
            <w:tcW w:w="9752" w:type="dxa"/>
            <w:gridSpan w:val="2"/>
            <w:tcBorders>
              <w:top w:val="nil"/>
              <w:left w:val="nil"/>
              <w:bottom w:val="nil"/>
              <w:right w:val="nil"/>
            </w:tcBorders>
          </w:tcPr>
          <w:p w:rsidR="00377F36" w:rsidRPr="002A55BA" w:rsidRDefault="00377F36" w:rsidP="002378D5">
            <w:pPr>
              <w:widowControl/>
            </w:pPr>
          </w:p>
        </w:tc>
      </w:tr>
      <w:tr w:rsidR="00377F36" w:rsidRPr="002A55BA" w:rsidTr="002378D5">
        <w:trPr>
          <w:trHeight w:val="240"/>
          <w:jc w:val="center"/>
        </w:trPr>
        <w:tc>
          <w:tcPr>
            <w:tcW w:w="4876" w:type="dxa"/>
            <w:tcBorders>
              <w:top w:val="nil"/>
              <w:left w:val="nil"/>
              <w:bottom w:val="nil"/>
              <w:right w:val="nil"/>
            </w:tcBorders>
          </w:tcPr>
          <w:p w:rsidR="00377F36" w:rsidRPr="002A55BA" w:rsidRDefault="00377F36" w:rsidP="002378D5">
            <w:pPr>
              <w:pStyle w:val="AmColumnHeading"/>
              <w:widowControl/>
            </w:pPr>
            <w:r w:rsidRPr="002A55BA">
              <w:t>Komission teksti</w:t>
            </w:r>
          </w:p>
        </w:tc>
        <w:tc>
          <w:tcPr>
            <w:tcW w:w="4876" w:type="dxa"/>
            <w:tcBorders>
              <w:top w:val="nil"/>
              <w:left w:val="nil"/>
              <w:bottom w:val="nil"/>
              <w:right w:val="nil"/>
            </w:tcBorders>
          </w:tcPr>
          <w:p w:rsidR="00377F36" w:rsidRPr="002A55BA" w:rsidRDefault="00377F36" w:rsidP="002378D5">
            <w:pPr>
              <w:pStyle w:val="AmColumnHeading"/>
              <w:widowControl/>
            </w:pPr>
            <w:r w:rsidRPr="002A55BA">
              <w:t>Tarkistus</w:t>
            </w:r>
          </w:p>
        </w:tc>
      </w:tr>
      <w:tr w:rsidR="00377F36" w:rsidRPr="002A55BA" w:rsidTr="002378D5">
        <w:trPr>
          <w:jc w:val="center"/>
        </w:trPr>
        <w:tc>
          <w:tcPr>
            <w:tcW w:w="4876" w:type="dxa"/>
            <w:tcBorders>
              <w:top w:val="nil"/>
              <w:left w:val="nil"/>
              <w:bottom w:val="nil"/>
              <w:right w:val="nil"/>
            </w:tcBorders>
          </w:tcPr>
          <w:p w:rsidR="00377F36" w:rsidRPr="002A55BA" w:rsidRDefault="00377F36" w:rsidP="002378D5">
            <w:pPr>
              <w:pStyle w:val="Normal6a"/>
              <w:widowControl/>
            </w:pPr>
          </w:p>
        </w:tc>
        <w:tc>
          <w:tcPr>
            <w:tcW w:w="4876" w:type="dxa"/>
            <w:tcBorders>
              <w:top w:val="nil"/>
              <w:left w:val="nil"/>
              <w:bottom w:val="nil"/>
              <w:right w:val="nil"/>
            </w:tcBorders>
          </w:tcPr>
          <w:p w:rsidR="00377F36" w:rsidRPr="002A55BA" w:rsidRDefault="00377F36" w:rsidP="002378D5">
            <w:pPr>
              <w:pStyle w:val="Normal6a"/>
              <w:widowControl/>
            </w:pPr>
            <w:r w:rsidRPr="002A55BA">
              <w:rPr>
                <w:b/>
                <w:i/>
              </w:rPr>
              <w:t>3 a.</w:t>
            </w:r>
            <w:r w:rsidRPr="002A55BA">
              <w:tab/>
            </w:r>
            <w:r w:rsidRPr="002A55BA">
              <w:rPr>
                <w:b/>
                <w:i/>
              </w:rPr>
              <w:t>Makrotaloudellisella rahoitusavulla voidaan mahdollisuuksien mukaan myötävaikuttaa unionin kasvuun ja talouden häiriönsietokykyyn.</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19</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2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1.</w:t>
            </w:r>
            <w:r w:rsidRPr="002A55BA">
              <w:tab/>
              <w:t xml:space="preserve">Unionin makrotaloudellisen rahoitusavun myöntämisen ennakkoedellytyksenä on, että Egypti edistyy yhä konkreettisesti ja uskottavasti kohti toimivia demokratian mekanismeja – kuten parlamentaarista monipuoluejärjestelmää – ja oikeusvaltioperiaatetta sekä </w:t>
            </w:r>
            <w:r w:rsidRPr="002A55BA">
              <w:rPr>
                <w:b/>
                <w:i/>
              </w:rPr>
              <w:t>takaa</w:t>
            </w:r>
            <w:r w:rsidRPr="002A55BA">
              <w:t xml:space="preserve"> ihmisoikeuksien kunnioittamisen.</w:t>
            </w:r>
          </w:p>
        </w:tc>
        <w:tc>
          <w:tcPr>
            <w:tcW w:w="4876" w:type="dxa"/>
            <w:hideMark/>
          </w:tcPr>
          <w:p w:rsidR="00377F36" w:rsidRPr="002A55BA" w:rsidRDefault="00377F36" w:rsidP="002378D5">
            <w:pPr>
              <w:pStyle w:val="Normal6"/>
              <w:widowControl/>
              <w:rPr>
                <w:szCs w:val="24"/>
              </w:rPr>
            </w:pPr>
            <w:r w:rsidRPr="002A55BA">
              <w:t>1.</w:t>
            </w:r>
            <w:r w:rsidRPr="002A55BA">
              <w:tab/>
              <w:t xml:space="preserve">Unionin makrotaloudellisen rahoitusavun myöntämisen ennakkoedellytyksenä on, että Egypti edistyy yhä konkreettisesti ja uskottavasti kohti toimivia </w:t>
            </w:r>
            <w:r w:rsidRPr="002A55BA">
              <w:rPr>
                <w:b/>
                <w:i/>
              </w:rPr>
              <w:t xml:space="preserve">ja lujitettuja </w:t>
            </w:r>
            <w:r w:rsidRPr="002A55BA">
              <w:t xml:space="preserve">demokratian mekanismeja – kuten parlamentaarista monipuoluejärjestelmää – ja oikeusvaltioperiaatetta sekä </w:t>
            </w:r>
            <w:r w:rsidRPr="002A55BA">
              <w:rPr>
                <w:b/>
                <w:i/>
              </w:rPr>
              <w:t>jatkaa ponnisteluja taatakseen</w:t>
            </w:r>
            <w:r w:rsidRPr="002A55BA">
              <w:t xml:space="preserve"> ihmisoikeuksien kunnioittamisen.</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20</w:t>
      </w:r>
    </w:p>
    <w:p w:rsidR="00377F36" w:rsidRPr="002A55BA" w:rsidRDefault="00377F36" w:rsidP="00377F36">
      <w:pPr>
        <w:widowControl/>
      </w:pPr>
    </w:p>
    <w:p w:rsidR="00377F36" w:rsidRPr="002A55BA" w:rsidRDefault="00377F36" w:rsidP="00377F36">
      <w:pPr>
        <w:pStyle w:val="NormalBold"/>
        <w:keepNext/>
        <w:widowControl/>
      </w:pPr>
      <w:r w:rsidRPr="002A55BA">
        <w:t>Ehdotus päätökseksi</w:t>
      </w:r>
    </w:p>
    <w:p w:rsidR="00377F36" w:rsidRPr="002A55BA" w:rsidRDefault="00377F36" w:rsidP="00377F36">
      <w:pPr>
        <w:pStyle w:val="NormalBold"/>
        <w:widowControl/>
      </w:pPr>
      <w:r w:rsidRPr="002A55BA">
        <w:t>2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2.</w:t>
            </w:r>
            <w:r w:rsidRPr="002A55BA">
              <w:tab/>
              <w:t>Komission yksiköt ja Euroopan ulkosuhdehallinto valvovat tämän ennakkoedellytyksen täyttymistä unionin makrotaloudellisen rahoitusavun alusta loppuun.</w:t>
            </w:r>
          </w:p>
        </w:tc>
        <w:tc>
          <w:tcPr>
            <w:tcW w:w="4876" w:type="dxa"/>
            <w:hideMark/>
          </w:tcPr>
          <w:p w:rsidR="00377F36" w:rsidRPr="002A55BA" w:rsidRDefault="00377F36" w:rsidP="002378D5">
            <w:pPr>
              <w:pStyle w:val="Normal6"/>
              <w:widowControl/>
              <w:rPr>
                <w:szCs w:val="24"/>
              </w:rPr>
            </w:pPr>
            <w:r w:rsidRPr="002A55BA">
              <w:t>2.</w:t>
            </w:r>
            <w:r w:rsidRPr="002A55BA">
              <w:tab/>
              <w:t>Komission yksiköt ja Euroopan ulkosuhdehallinto valvovat tämän ennakkoedellytyksen täyttymistä unionin makrotaloudellisen rahoitusavun alusta loppuun</w:t>
            </w:r>
            <w:r w:rsidRPr="002A55BA">
              <w:rPr>
                <w:b/>
                <w:i/>
              </w:rPr>
              <w:t xml:space="preserve"> ja raportoivat säännöllisesti ja kirjallisesti Euroopan parlamentille ja neuvostolle talouspolitiikan noudattamisesta ja yhteisymmärryspöytäkirjassa vahvistettujen talouspolitiikkaa koskevien ehtojen täyttymisestä</w:t>
            </w:r>
            <w:r w:rsidRPr="002A55BA">
              <w:t>.</w:t>
            </w:r>
          </w:p>
        </w:tc>
      </w:tr>
    </w:tbl>
    <w:p w:rsidR="00377F36" w:rsidRPr="002A55BA" w:rsidRDefault="00377F36" w:rsidP="00377F36">
      <w:pPr>
        <w:widowControl/>
      </w:pPr>
    </w:p>
    <w:p w:rsidR="00377F36" w:rsidRPr="002A55BA" w:rsidRDefault="00377F36" w:rsidP="00834DDB">
      <w:pPr>
        <w:pStyle w:val="AmNumberTabs"/>
      </w:pPr>
      <w:r w:rsidRPr="002A55BA">
        <w:t>Tarkistus</w:t>
      </w:r>
      <w:r w:rsidR="00834DDB" w:rsidRPr="002A55BA">
        <w:t xml:space="preserve"> </w:t>
      </w:r>
      <w:r w:rsidRPr="002A55BA">
        <w:t>21</w:t>
      </w:r>
    </w:p>
    <w:p w:rsidR="00377F36" w:rsidRPr="002A55BA" w:rsidRDefault="00377F36" w:rsidP="00377F36">
      <w:pPr>
        <w:pStyle w:val="NormalBold12b"/>
        <w:keepNext/>
        <w:widowControl/>
      </w:pPr>
      <w:r w:rsidRPr="002A55BA">
        <w:t>Ehdotus päätökseksi</w:t>
      </w:r>
    </w:p>
    <w:p w:rsidR="00377F36" w:rsidRPr="002A55BA" w:rsidRDefault="00377F36" w:rsidP="00377F36">
      <w:pPr>
        <w:pStyle w:val="NormalBold"/>
        <w:widowControl/>
      </w:pPr>
      <w:r w:rsidRPr="002A55BA">
        <w:t>3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1.</w:t>
            </w:r>
            <w:r w:rsidRPr="002A55BA">
              <w:tab/>
              <w:t>Komissio sopii 7 artiklan 2 kohdassa tarkoitettua tarkastelumenettelyä noudattaen Egyptin viranomaisten kanssa unionin makrotaloudelliseen rahoitusapuun sovellettavista selkeästi määritellyistä talouspolitiikkaa ja rahoitusta koskevista ehdoista, joissa keskitytään rakenneuudistuksiin ja vakaaseen julkiseen talouteen ja jotka vahvistetaan yhteisymmärryspöytäkirjassa, johon sisältyy mainittujen uudistusten tekemisen aikataulu. Yhteisymmärryspöytäkirjassa esitettyjen talouspolitiikkaa ja rahoitusta koskevien ehtojen on oltava yhdenmukaisia 1 artiklan 3 kohdassa tarkoitettujen sopimusten tai yhteisymmärryspöytäkirjojen kanssa, mukaan lukien ne makrotalouden sopeutusohjelmat ja rakenneuudistusohjelmat, joita Egypti toteuttaa IMF:n tuella.</w:t>
            </w:r>
          </w:p>
        </w:tc>
        <w:tc>
          <w:tcPr>
            <w:tcW w:w="4876" w:type="dxa"/>
            <w:hideMark/>
          </w:tcPr>
          <w:p w:rsidR="00377F36" w:rsidRPr="002A55BA" w:rsidRDefault="00377F36" w:rsidP="002378D5">
            <w:pPr>
              <w:pStyle w:val="Normal6"/>
              <w:widowControl/>
              <w:rPr>
                <w:szCs w:val="24"/>
              </w:rPr>
            </w:pPr>
            <w:r w:rsidRPr="002A55BA">
              <w:t>1.</w:t>
            </w:r>
            <w:r w:rsidRPr="002A55BA">
              <w:tab/>
              <w:t>Komissio sopii 7 artiklan 2 kohdassa tarkoitettua tarkastelumenettelyä noudattaen Egyptin viranomaisten kanssa unionin makrotaloudelliseen rahoitusapuun sovellettavista selkeästi määritellyistä talouspolitiikkaa ja rahoitusta koskevista ehdoista, joissa keskitytään rakenneuudistuksiin</w:t>
            </w:r>
            <w:r w:rsidRPr="002A55BA">
              <w:rPr>
                <w:b/>
                <w:i/>
              </w:rPr>
              <w:t>, kuten tuoreeseen rikosoikeudellisen menettelyn uudistukseen,</w:t>
            </w:r>
            <w:r w:rsidRPr="002A55BA">
              <w:t xml:space="preserve"> ja vakaaseen julkiseen talouteen ja jotka vahvistetaan yhteisymmärryspöytäkirjassa, johon sisältyy mainittujen uudistusten tekemisen aikataulu. Yhteisymmärryspöytäkirjassa esitettyjen talouspolitiikkaa ja rahoitusta koskevien ehtojen on oltava yhdenmukaisia 1 artiklan 3 kohdassa tarkoitettujen sopimusten tai yhteisymmärryspöytäkirjojen kanssa, mukaan lukien ne makrotalouden sopeutusohjelmat ja rakenneuudistusohjelmat, joita Egypti toteuttaa IMF:n tuella.</w:t>
            </w:r>
          </w:p>
        </w:tc>
      </w:tr>
    </w:tbl>
    <w:p w:rsidR="00377F36" w:rsidRPr="002A55BA" w:rsidRDefault="00377F36" w:rsidP="00377F36">
      <w:pPr>
        <w:widowControl/>
      </w:pPr>
    </w:p>
    <w:p w:rsidR="00377F36" w:rsidRPr="002A55BA" w:rsidRDefault="00377F36" w:rsidP="00834DDB">
      <w:pPr>
        <w:pStyle w:val="AmNumberTabs"/>
        <w:widowControl/>
      </w:pPr>
      <w:r w:rsidRPr="002A55BA">
        <w:t>Tarkistus</w:t>
      </w:r>
      <w:r w:rsidR="00834DDB" w:rsidRPr="002A55BA">
        <w:t xml:space="preserve"> </w:t>
      </w:r>
      <w:r w:rsidRPr="002A55BA">
        <w:t>22</w:t>
      </w:r>
    </w:p>
    <w:p w:rsidR="00377F36" w:rsidRPr="002A55BA" w:rsidRDefault="00377F36" w:rsidP="00834DDB">
      <w:pPr>
        <w:pStyle w:val="NormalBold"/>
        <w:keepNext/>
        <w:widowControl/>
        <w:spacing w:before="240"/>
      </w:pPr>
      <w:r w:rsidRPr="002A55BA">
        <w:t>Ehdotus päätökseksi</w:t>
      </w:r>
    </w:p>
    <w:p w:rsidR="00377F36" w:rsidRPr="002A55BA" w:rsidRDefault="00377F36" w:rsidP="00377F36">
      <w:pPr>
        <w:pStyle w:val="NormalBold"/>
        <w:widowControl/>
      </w:pPr>
      <w:r w:rsidRPr="002A55BA">
        <w:t>3 artikla – 2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BD4228">
        <w:trPr>
          <w:jc w:val="center"/>
        </w:trPr>
        <w:tc>
          <w:tcPr>
            <w:tcW w:w="9752" w:type="dxa"/>
            <w:gridSpan w:val="2"/>
          </w:tcPr>
          <w:p w:rsidR="00377F36" w:rsidRPr="002A55BA" w:rsidRDefault="00377F36" w:rsidP="002378D5">
            <w:pPr>
              <w:keepNext/>
              <w:widowControl/>
            </w:pPr>
          </w:p>
        </w:tc>
      </w:tr>
      <w:tr w:rsidR="00377F36" w:rsidRPr="002A55BA" w:rsidTr="00BD4228">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BD4228">
        <w:trPr>
          <w:jc w:val="center"/>
        </w:trPr>
        <w:tc>
          <w:tcPr>
            <w:tcW w:w="4876" w:type="dxa"/>
            <w:hideMark/>
          </w:tcPr>
          <w:p w:rsidR="00377F36" w:rsidRPr="002A55BA" w:rsidRDefault="00377F36" w:rsidP="002378D5">
            <w:pPr>
              <w:pStyle w:val="Normal6"/>
              <w:widowControl/>
            </w:pPr>
            <w:r w:rsidRPr="002A55BA">
              <w:t>2.</w:t>
            </w:r>
            <w:r w:rsidRPr="002A55BA">
              <w:tab/>
              <w:t>Edellä 1 kohdassa tarkoitetuilla ehdoilla pyritään erityisesti parantamaan Egyptin julkisten varainhoitojärjestelmien tehokkuutta, läpinäkyvyyttä ja vastuuvelvollisuutta muun muassa unionin makrotaloudellisen rahoitusavun käytön osalta. Politiikkatoimia suunniteltaessa otetaan asianmukaisesti huomioon myös edistyminen markkinoiden vastavuoroisessa avaamisessa, sääntöihin perustuvan ja oikeudenmukaisen kaupan kehitys ja muut unionin ulkopolitiikan painopisteet. Komissio seuraa säännöllisesti, miten kyseisten tavoitteiden saavuttamisessa edistytään.</w:t>
            </w:r>
          </w:p>
        </w:tc>
        <w:tc>
          <w:tcPr>
            <w:tcW w:w="4876" w:type="dxa"/>
            <w:hideMark/>
          </w:tcPr>
          <w:p w:rsidR="00377F36" w:rsidRPr="002A55BA" w:rsidRDefault="00377F36" w:rsidP="002378D5">
            <w:pPr>
              <w:pStyle w:val="Normal6"/>
              <w:widowControl/>
              <w:rPr>
                <w:szCs w:val="24"/>
              </w:rPr>
            </w:pPr>
            <w:r w:rsidRPr="002A55BA">
              <w:t>2.</w:t>
            </w:r>
            <w:r w:rsidRPr="002A55BA">
              <w:tab/>
              <w:t xml:space="preserve">Edellä 1 kohdassa tarkoitetuilla </w:t>
            </w:r>
            <w:r w:rsidRPr="002A55BA">
              <w:rPr>
                <w:b/>
                <w:i/>
              </w:rPr>
              <w:t xml:space="preserve">talouspolitikkaa ja rahoitusta koskevilla </w:t>
            </w:r>
            <w:r w:rsidRPr="002A55BA">
              <w:t xml:space="preserve">ehdoilla pyritään erityisesti parantamaan Egyptin julkisten varainhoitojärjestelmien tehokkuutta, läpinäkyvyyttä ja vastuuvelvollisuutta muun muassa unionin makrotaloudellisen rahoitusavun käytön osalta. Politiikkatoimia suunniteltaessa otetaan asianmukaisesti huomioon myös edistyminen markkinoiden vastavuoroisessa avaamisessa, </w:t>
            </w:r>
            <w:r w:rsidRPr="002A55BA">
              <w:rPr>
                <w:b/>
                <w:i/>
              </w:rPr>
              <w:t xml:space="preserve">myös pk-yrityksille, </w:t>
            </w:r>
            <w:r w:rsidRPr="002A55BA">
              <w:t>sääntöihin perustuvan ja oikeudenmukaisen kaupan kehitys</w:t>
            </w:r>
            <w:r w:rsidRPr="002A55BA">
              <w:rPr>
                <w:b/>
                <w:i/>
              </w:rPr>
              <w:t>, kestävä kehitys, hyvä hallintotapa</w:t>
            </w:r>
            <w:r w:rsidRPr="002A55BA">
              <w:t xml:space="preserve"> ja muut unionin ulkopolitiikan painopisteet. Komissio </w:t>
            </w:r>
            <w:r w:rsidRPr="002A55BA">
              <w:lastRenderedPageBreak/>
              <w:t>seuraa säännöllisesti, miten kyseisten tavoitteiden saavuttamisessa edistytään.</w:t>
            </w:r>
          </w:p>
        </w:tc>
      </w:tr>
    </w:tbl>
    <w:p w:rsidR="00BD4228" w:rsidRPr="002A55BA" w:rsidRDefault="00BD4228" w:rsidP="00BD4228">
      <w:pPr>
        <w:pStyle w:val="AmNumberTabs"/>
      </w:pPr>
      <w:r w:rsidRPr="002A55BA">
        <w:lastRenderedPageBreak/>
        <w:t>Tarkistus 49</w:t>
      </w:r>
    </w:p>
    <w:p w:rsidR="00BD4228" w:rsidRPr="002A55BA" w:rsidRDefault="00BD4228" w:rsidP="00BD4228">
      <w:pPr>
        <w:pStyle w:val="NormalBold12b"/>
      </w:pPr>
      <w:r w:rsidRPr="002A55BA">
        <w:t>Ehdotus päätökseksi</w:t>
      </w:r>
    </w:p>
    <w:p w:rsidR="00BD4228" w:rsidRPr="002A55BA" w:rsidRDefault="00BD4228" w:rsidP="00BD4228">
      <w:pPr>
        <w:pStyle w:val="NormalBold"/>
      </w:pPr>
      <w:r w:rsidRPr="002A55BA">
        <w:t>4 artikla – 3 kohta – 1 alakohta – c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4228" w:rsidRPr="002A55BA" w:rsidTr="007B2879">
        <w:trPr>
          <w:trHeight w:hRule="exact" w:val="240"/>
          <w:jc w:val="center"/>
        </w:trPr>
        <w:tc>
          <w:tcPr>
            <w:tcW w:w="9752" w:type="dxa"/>
            <w:gridSpan w:val="2"/>
            <w:tcBorders>
              <w:top w:val="nil"/>
              <w:left w:val="nil"/>
              <w:bottom w:val="nil"/>
              <w:right w:val="nil"/>
            </w:tcBorders>
          </w:tcPr>
          <w:p w:rsidR="00BD4228" w:rsidRPr="002A55BA" w:rsidRDefault="00BD4228" w:rsidP="007B2879"/>
        </w:tc>
      </w:tr>
      <w:tr w:rsidR="00BD4228" w:rsidRPr="002A55BA" w:rsidTr="007B2879">
        <w:trPr>
          <w:trHeight w:val="240"/>
          <w:jc w:val="center"/>
        </w:trPr>
        <w:tc>
          <w:tcPr>
            <w:tcW w:w="4876" w:type="dxa"/>
            <w:tcBorders>
              <w:top w:val="nil"/>
              <w:left w:val="nil"/>
              <w:bottom w:val="nil"/>
              <w:right w:val="nil"/>
            </w:tcBorders>
          </w:tcPr>
          <w:p w:rsidR="00BD4228" w:rsidRPr="002A55BA" w:rsidRDefault="00BD4228" w:rsidP="007B2879">
            <w:pPr>
              <w:pStyle w:val="AmColumnHeading"/>
            </w:pPr>
            <w:r w:rsidRPr="002A55BA">
              <w:t>Komission teksti</w:t>
            </w:r>
          </w:p>
        </w:tc>
        <w:tc>
          <w:tcPr>
            <w:tcW w:w="4876" w:type="dxa"/>
            <w:tcBorders>
              <w:top w:val="nil"/>
              <w:left w:val="nil"/>
              <w:bottom w:val="nil"/>
              <w:right w:val="nil"/>
            </w:tcBorders>
          </w:tcPr>
          <w:p w:rsidR="00BD4228" w:rsidRPr="002A55BA" w:rsidRDefault="00BD4228" w:rsidP="007B2879">
            <w:pPr>
              <w:pStyle w:val="AmColumnHeading"/>
            </w:pPr>
            <w:r w:rsidRPr="002A55BA">
              <w:t>Tarkistus</w:t>
            </w:r>
          </w:p>
        </w:tc>
      </w:tr>
      <w:tr w:rsidR="00BD4228" w:rsidRPr="002A55BA" w:rsidTr="007B2879">
        <w:trPr>
          <w:jc w:val="center"/>
        </w:trPr>
        <w:tc>
          <w:tcPr>
            <w:tcW w:w="4876" w:type="dxa"/>
            <w:tcBorders>
              <w:top w:val="nil"/>
              <w:left w:val="nil"/>
              <w:bottom w:val="nil"/>
              <w:right w:val="nil"/>
            </w:tcBorders>
          </w:tcPr>
          <w:p w:rsidR="00BD4228" w:rsidRPr="002A55BA" w:rsidRDefault="00BD4228" w:rsidP="007B2879">
            <w:pPr>
              <w:pStyle w:val="Normal6a"/>
            </w:pPr>
            <w:r w:rsidRPr="002A55BA">
              <w:t>c)</w:t>
            </w:r>
            <w:r w:rsidRPr="002A55BA">
              <w:tab/>
              <w:t>yhteisymmärryspöytäkirjassa sovittujen talouspolitiikkaa ja rahoitusta koskevien ehtojen noudattaminen tyydyttävällä tavalla.</w:t>
            </w:r>
          </w:p>
        </w:tc>
        <w:tc>
          <w:tcPr>
            <w:tcW w:w="4876" w:type="dxa"/>
            <w:tcBorders>
              <w:top w:val="nil"/>
              <w:left w:val="nil"/>
              <w:bottom w:val="nil"/>
              <w:right w:val="nil"/>
            </w:tcBorders>
          </w:tcPr>
          <w:p w:rsidR="00BD4228" w:rsidRPr="002A55BA" w:rsidRDefault="00BD4228" w:rsidP="007B2879">
            <w:pPr>
              <w:pStyle w:val="Normal6a"/>
            </w:pPr>
            <w:r w:rsidRPr="002A55BA">
              <w:t>c)</w:t>
            </w:r>
            <w:r w:rsidRPr="002A55BA">
              <w:tab/>
              <w:t xml:space="preserve">yhteisymmärryspöytäkirjassa sovittujen talouspolitiikkaa ja rahoitusta koskevien ehtojen </w:t>
            </w:r>
            <w:r w:rsidRPr="002A55BA">
              <w:rPr>
                <w:b/>
                <w:i/>
              </w:rPr>
              <w:t xml:space="preserve">sekä demokratiaa, oikeusvaltioperiaatetta ja ihmisoikeuksia koskevien ehtojen </w:t>
            </w:r>
            <w:r w:rsidRPr="002A55BA">
              <w:t>noudattaminen tyydyttävällä tavalla.</w:t>
            </w:r>
          </w:p>
        </w:tc>
      </w:tr>
    </w:tbl>
    <w:p w:rsidR="00377F36" w:rsidRPr="002A55BA" w:rsidRDefault="00377F36" w:rsidP="002A55BA"/>
    <w:p w:rsidR="00377F36" w:rsidRPr="002A55BA" w:rsidRDefault="00377F36" w:rsidP="00834DDB">
      <w:pPr>
        <w:pStyle w:val="AmNumberTabs"/>
      </w:pPr>
      <w:r w:rsidRPr="002A55BA">
        <w:t>Tarkistus</w:t>
      </w:r>
      <w:r w:rsidR="00834DDB" w:rsidRPr="002A55BA">
        <w:t xml:space="preserve"> </w:t>
      </w:r>
      <w:r w:rsidRPr="002A55BA">
        <w:t>23</w:t>
      </w:r>
    </w:p>
    <w:p w:rsidR="00377F36" w:rsidRPr="002A55BA" w:rsidRDefault="00377F36" w:rsidP="00377F36">
      <w:pPr>
        <w:pStyle w:val="NormalBold12b"/>
        <w:keepNext/>
        <w:widowControl/>
      </w:pPr>
      <w:r w:rsidRPr="002A55BA">
        <w:t>Ehdotus päätökseksi</w:t>
      </w:r>
    </w:p>
    <w:p w:rsidR="00377F36" w:rsidRPr="002A55BA" w:rsidRDefault="00377F36" w:rsidP="00377F36">
      <w:pPr>
        <w:pStyle w:val="NormalBold"/>
        <w:widowControl/>
      </w:pPr>
      <w:r w:rsidRPr="002A55BA">
        <w:t>4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4.</w:t>
            </w:r>
            <w:r w:rsidRPr="002A55BA">
              <w:tab/>
              <w:t>Jos 3 kohdassa säädetyt edellytykset eivät täyty, komissio keskeyttää tilapäisesti tai peruuttaa unionin makrotaloudellisen rahoitusavun maksamisen. Tällaisissa tapauksissa se ilmoittaa Euroopan parlamentille ja neuvostolle keskeyttämisen tai peruuttamisen syyt.</w:t>
            </w:r>
          </w:p>
        </w:tc>
        <w:tc>
          <w:tcPr>
            <w:tcW w:w="4876" w:type="dxa"/>
            <w:hideMark/>
          </w:tcPr>
          <w:p w:rsidR="00377F36" w:rsidRPr="002A55BA" w:rsidRDefault="00377F36" w:rsidP="002378D5">
            <w:pPr>
              <w:pStyle w:val="Normal6"/>
              <w:widowControl/>
              <w:rPr>
                <w:szCs w:val="24"/>
              </w:rPr>
            </w:pPr>
            <w:r w:rsidRPr="002A55BA">
              <w:t>4.</w:t>
            </w:r>
            <w:r w:rsidRPr="002A55BA">
              <w:tab/>
              <w:t xml:space="preserve">Jos 3 kohdassa säädetyt edellytykset eivät täyty, komissio keskeyttää tilapäisesti tai peruuttaa unionin makrotaloudellisen rahoitusavun maksamisen. Tällaisissa tapauksissa se ilmoittaa Euroopan parlamentille ja neuvostolle </w:t>
            </w:r>
            <w:r w:rsidRPr="002A55BA">
              <w:rPr>
                <w:b/>
                <w:i/>
              </w:rPr>
              <w:t xml:space="preserve">viipymättä </w:t>
            </w:r>
            <w:r w:rsidRPr="002A55BA">
              <w:t>keskeyttämisen tai peruuttamisen syyt.</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24</w:t>
      </w:r>
    </w:p>
    <w:p w:rsidR="00377F36" w:rsidRPr="002A55BA" w:rsidRDefault="00377F36" w:rsidP="00377F36">
      <w:pPr>
        <w:pStyle w:val="NormalBold12b"/>
        <w:widowControl/>
      </w:pPr>
      <w:r w:rsidRPr="002A55BA">
        <w:t>Ehdotus päätökseksi</w:t>
      </w:r>
    </w:p>
    <w:p w:rsidR="00377F36" w:rsidRPr="002A55BA" w:rsidRDefault="00377F36" w:rsidP="00377F36">
      <w:pPr>
        <w:pStyle w:val="NormalBold"/>
        <w:widowControl/>
      </w:pPr>
      <w:r w:rsidRPr="002A55BA">
        <w:t>5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trHeight w:val="240"/>
          <w:jc w:val="center"/>
        </w:trPr>
        <w:tc>
          <w:tcPr>
            <w:tcW w:w="9752" w:type="dxa"/>
            <w:gridSpan w:val="2"/>
            <w:tcBorders>
              <w:top w:val="nil"/>
              <w:left w:val="nil"/>
              <w:bottom w:val="nil"/>
              <w:right w:val="nil"/>
            </w:tcBorders>
          </w:tcPr>
          <w:p w:rsidR="00377F36" w:rsidRPr="002A55BA" w:rsidRDefault="00377F36" w:rsidP="002378D5">
            <w:pPr>
              <w:widowControl/>
            </w:pPr>
          </w:p>
        </w:tc>
      </w:tr>
      <w:tr w:rsidR="00377F36" w:rsidRPr="002A55BA" w:rsidTr="002378D5">
        <w:trPr>
          <w:trHeight w:val="240"/>
          <w:jc w:val="center"/>
        </w:trPr>
        <w:tc>
          <w:tcPr>
            <w:tcW w:w="4876" w:type="dxa"/>
            <w:tcBorders>
              <w:top w:val="nil"/>
              <w:left w:val="nil"/>
              <w:bottom w:val="nil"/>
              <w:right w:val="nil"/>
            </w:tcBorders>
            <w:hideMark/>
          </w:tcPr>
          <w:p w:rsidR="00377F36" w:rsidRPr="002A55BA" w:rsidRDefault="00377F36" w:rsidP="002378D5">
            <w:pPr>
              <w:pStyle w:val="AmColumnHeading"/>
              <w:widowControl/>
            </w:pPr>
            <w:r w:rsidRPr="002A55BA">
              <w:t>Komission teksti</w:t>
            </w:r>
          </w:p>
        </w:tc>
        <w:tc>
          <w:tcPr>
            <w:tcW w:w="4876" w:type="dxa"/>
            <w:tcBorders>
              <w:top w:val="nil"/>
              <w:left w:val="nil"/>
              <w:bottom w:val="nil"/>
              <w:right w:val="nil"/>
            </w:tcBorders>
            <w:hideMark/>
          </w:tcPr>
          <w:p w:rsidR="00377F36" w:rsidRPr="002A55BA" w:rsidRDefault="00377F36" w:rsidP="002378D5">
            <w:pPr>
              <w:pStyle w:val="AmColumnHeading"/>
              <w:widowControl/>
            </w:pPr>
            <w:r w:rsidRPr="002A55BA">
              <w:t>Tarkistus</w:t>
            </w:r>
          </w:p>
        </w:tc>
      </w:tr>
      <w:tr w:rsidR="00377F36" w:rsidRPr="002A55BA" w:rsidTr="002378D5">
        <w:trPr>
          <w:jc w:val="center"/>
        </w:trPr>
        <w:tc>
          <w:tcPr>
            <w:tcW w:w="4876" w:type="dxa"/>
            <w:tcBorders>
              <w:top w:val="nil"/>
              <w:left w:val="nil"/>
              <w:bottom w:val="nil"/>
              <w:right w:val="nil"/>
            </w:tcBorders>
            <w:hideMark/>
          </w:tcPr>
          <w:p w:rsidR="00377F36" w:rsidRPr="002A55BA" w:rsidRDefault="00377F36" w:rsidP="002378D5">
            <w:pPr>
              <w:pStyle w:val="Normal6a"/>
              <w:widowControl/>
            </w:pPr>
            <w:r w:rsidRPr="002A55BA">
              <w:t>1)</w:t>
            </w:r>
            <w:r w:rsidRPr="002A55BA">
              <w:tab/>
              <w:t xml:space="preserve">Makrotaloudellisesta avusta lainojen muodossa myönnettävän tuen rahoittamiseksi komissiolle annetaan valtuudet lainata tarvittavat varat unionin lukuun pääomamarkkinoilta tai rahoituslaitoksilta asetuksen (EU, Euratom) </w:t>
            </w:r>
            <w:r w:rsidRPr="002A55BA">
              <w:rPr>
                <w:b/>
                <w:i/>
              </w:rPr>
              <w:t>2018</w:t>
            </w:r>
            <w:r w:rsidRPr="002A55BA">
              <w:t>/</w:t>
            </w:r>
            <w:r w:rsidRPr="002A55BA">
              <w:rPr>
                <w:b/>
                <w:i/>
              </w:rPr>
              <w:t>1046 220 a</w:t>
            </w:r>
            <w:r w:rsidRPr="002A55BA">
              <w:t> artiklan mukaisesti.</w:t>
            </w:r>
          </w:p>
        </w:tc>
        <w:tc>
          <w:tcPr>
            <w:tcW w:w="4876" w:type="dxa"/>
            <w:tcBorders>
              <w:top w:val="nil"/>
              <w:left w:val="nil"/>
              <w:bottom w:val="nil"/>
              <w:right w:val="nil"/>
            </w:tcBorders>
            <w:hideMark/>
          </w:tcPr>
          <w:p w:rsidR="00377F36" w:rsidRPr="002A55BA" w:rsidRDefault="00377F36" w:rsidP="002378D5">
            <w:pPr>
              <w:pStyle w:val="Normal6a"/>
              <w:widowControl/>
            </w:pPr>
            <w:r w:rsidRPr="002A55BA">
              <w:t>1)</w:t>
            </w:r>
            <w:r w:rsidRPr="002A55BA">
              <w:tab/>
              <w:t xml:space="preserve">Makrotaloudellisesta avusta lainojen muodossa myönnettävän tuen rahoittamiseksi komissiolle annetaan valtuudet lainata tarvittavat varat unionin lukuun pääomamarkkinoilta tai rahoituslaitoksilta asetuksen (EU, Euratom) </w:t>
            </w:r>
            <w:r w:rsidRPr="002A55BA">
              <w:rPr>
                <w:b/>
                <w:i/>
              </w:rPr>
              <w:t>2024</w:t>
            </w:r>
            <w:r w:rsidRPr="002A55BA">
              <w:t>/</w:t>
            </w:r>
            <w:r w:rsidRPr="002A55BA">
              <w:rPr>
                <w:b/>
                <w:i/>
              </w:rPr>
              <w:t>2509 223</w:t>
            </w:r>
            <w:r w:rsidRPr="002A55BA">
              <w:t> artiklan mukaisesti.</w:t>
            </w:r>
          </w:p>
        </w:tc>
      </w:tr>
    </w:tbl>
    <w:p w:rsidR="00377F36" w:rsidRPr="002A55BA" w:rsidRDefault="00377F36" w:rsidP="00377F36">
      <w:pPr>
        <w:widowControl/>
      </w:pPr>
    </w:p>
    <w:p w:rsidR="00377F36" w:rsidRPr="002A55BA" w:rsidRDefault="00377F36" w:rsidP="00834DDB">
      <w:pPr>
        <w:pStyle w:val="AmNumberTabs"/>
      </w:pPr>
      <w:r w:rsidRPr="002A55BA">
        <w:lastRenderedPageBreak/>
        <w:t>Tarkistus</w:t>
      </w:r>
      <w:r w:rsidR="00834DDB" w:rsidRPr="002A55BA">
        <w:t xml:space="preserve"> </w:t>
      </w:r>
      <w:r w:rsidRPr="002A55BA">
        <w:t>25</w:t>
      </w:r>
    </w:p>
    <w:p w:rsidR="00377F36" w:rsidRPr="002A55BA" w:rsidRDefault="00377F36" w:rsidP="00377F36">
      <w:pPr>
        <w:pStyle w:val="NormalBold12b"/>
        <w:keepNext/>
        <w:widowControl/>
      </w:pPr>
      <w:r w:rsidRPr="002A55BA">
        <w:t>Ehdotus päätökseksi</w:t>
      </w:r>
    </w:p>
    <w:p w:rsidR="00377F36" w:rsidRPr="002A55BA" w:rsidRDefault="00377F36" w:rsidP="00377F36">
      <w:pPr>
        <w:pStyle w:val="NormalBold"/>
        <w:widowControl/>
      </w:pPr>
      <w:r w:rsidRPr="002A55BA">
        <w:t>5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2A55BA" w:rsidTr="002378D5">
        <w:trPr>
          <w:jc w:val="center"/>
        </w:trPr>
        <w:tc>
          <w:tcPr>
            <w:tcW w:w="4876" w:type="dxa"/>
            <w:hideMark/>
          </w:tcPr>
          <w:p w:rsidR="00377F36" w:rsidRPr="002A55BA" w:rsidRDefault="00377F36" w:rsidP="002378D5">
            <w:pPr>
              <w:pStyle w:val="Normal6"/>
              <w:widowControl/>
            </w:pPr>
            <w:r w:rsidRPr="002A55BA">
              <w:t>2)</w:t>
            </w:r>
            <w:r w:rsidRPr="002A55BA">
              <w:tab/>
              <w:t xml:space="preserve">Komissio tekee 1 artiklassa tarkoitetusta määrästä Egyptin kanssa lainasopimuksen. Makrotaloudellisesta avusta lainojen muodossa myönnettävän tuen yksityiskohtaiset ehdot vahvistetaan varainhoitoasetuksen </w:t>
            </w:r>
            <w:r w:rsidRPr="002A55BA">
              <w:rPr>
                <w:b/>
                <w:i/>
              </w:rPr>
              <w:t>220</w:t>
            </w:r>
            <w:r w:rsidRPr="002A55BA">
              <w:t xml:space="preserve"> artiklan mukaisessa lainasopimuksessa, joka tehdään komission ja Egyptin viranomaisten välillä. Lainasopimuksessa vahvistetaan makrotaloudellisesta rahoitusavusta lainojen muodossa myönnettävän tuen saatavuusaika ja yksityiskohtaiset ehdot, myös sisäisen valvonnan järjestelmien osalta. </w:t>
            </w:r>
            <w:r w:rsidRPr="002A55BA">
              <w:rPr>
                <w:b/>
                <w:i/>
              </w:rPr>
              <w:t>Lainaehtoihin</w:t>
            </w:r>
            <w:r w:rsidRPr="002A55BA">
              <w:t xml:space="preserve"> kuuluu pitkä takaisinmaksuaika, myös mahdollinen lyhennysvapaa jakso. Enimmäislaina-aika on 35 vuotta. Komissio tiedottaa Euroopan parlamentille ja neuvostolle 3 kohdassa tarkoitettujen operaatioiden etenemisestä.</w:t>
            </w:r>
          </w:p>
        </w:tc>
        <w:tc>
          <w:tcPr>
            <w:tcW w:w="4876" w:type="dxa"/>
            <w:hideMark/>
          </w:tcPr>
          <w:p w:rsidR="00377F36" w:rsidRPr="002A55BA" w:rsidRDefault="00377F36" w:rsidP="002378D5">
            <w:pPr>
              <w:pStyle w:val="Normal6"/>
              <w:widowControl/>
              <w:rPr>
                <w:szCs w:val="24"/>
              </w:rPr>
            </w:pPr>
            <w:r w:rsidRPr="002A55BA">
              <w:t>2)</w:t>
            </w:r>
            <w:r w:rsidRPr="002A55BA">
              <w:tab/>
              <w:t xml:space="preserve">Komissio tekee 1 artiklassa tarkoitetusta määrästä Egyptin kanssa lainasopimuksen. Makrotaloudellisesta avusta lainojen muodossa myönnettävän tuen yksityiskohtaiset ehdot vahvistetaan varainhoitoasetuksen </w:t>
            </w:r>
            <w:r w:rsidRPr="002A55BA">
              <w:rPr>
                <w:b/>
                <w:i/>
              </w:rPr>
              <w:t>223</w:t>
            </w:r>
            <w:r w:rsidRPr="002A55BA">
              <w:t xml:space="preserve"> artiklan mukaisessa lainasopimuksessa, joka tehdään komission ja Egyptin viranomaisten välillä. Lainasopimuksessa vahvistetaan makrotaloudellisesta rahoitusavusta lainojen muodossa myönnettävän tuen saatavuusaika ja yksityiskohtaiset ehdot, myös sisäisen valvonnan järjestelmien osalta. </w:t>
            </w:r>
            <w:r w:rsidRPr="002A55BA">
              <w:rPr>
                <w:b/>
                <w:i/>
              </w:rPr>
              <w:t>Egypti maksaa lainan takaisin ehdoin, joihin</w:t>
            </w:r>
            <w:r w:rsidRPr="002A55BA">
              <w:t xml:space="preserve"> kuuluu pitkä takaisinmaksuaika, myös mahdollinen lyhennysvapaa jakso</w:t>
            </w:r>
            <w:r w:rsidRPr="002A55BA">
              <w:rPr>
                <w:b/>
                <w:i/>
              </w:rPr>
              <w:t xml:space="preserve"> sen jälkeen, kun asiasta on ilmoitettu virallisesti Euroopan parlamentille ja neuvostolle</w:t>
            </w:r>
            <w:r w:rsidRPr="002A55BA">
              <w:t>. Enimmäislaina-aika on 35 vuotta. Komissio tiedottaa Euroopan parlamentille ja neuvostolle 3 kohdassa tarkoitettujen operaatioiden etenemisestä.</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26</w:t>
      </w:r>
    </w:p>
    <w:p w:rsidR="00377F36" w:rsidRPr="002A55BA" w:rsidRDefault="00377F36" w:rsidP="00377F36">
      <w:pPr>
        <w:pStyle w:val="NormalBold12b"/>
        <w:widowControl/>
      </w:pPr>
      <w:r w:rsidRPr="002A55BA">
        <w:t>Ehdotus päätökseksi</w:t>
      </w:r>
    </w:p>
    <w:p w:rsidR="00377F36" w:rsidRPr="002A55BA" w:rsidRDefault="00377F36" w:rsidP="00377F36">
      <w:pPr>
        <w:pStyle w:val="NormalBold"/>
        <w:widowControl/>
      </w:pPr>
      <w:r w:rsidRPr="002A55BA">
        <w:t>6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trHeight w:val="240"/>
          <w:jc w:val="center"/>
        </w:trPr>
        <w:tc>
          <w:tcPr>
            <w:tcW w:w="9752" w:type="dxa"/>
            <w:gridSpan w:val="2"/>
            <w:tcBorders>
              <w:top w:val="nil"/>
              <w:left w:val="nil"/>
              <w:bottom w:val="nil"/>
              <w:right w:val="nil"/>
            </w:tcBorders>
          </w:tcPr>
          <w:p w:rsidR="00377F36" w:rsidRPr="002A55BA" w:rsidRDefault="00377F36" w:rsidP="002378D5">
            <w:pPr>
              <w:widowControl/>
            </w:pPr>
          </w:p>
        </w:tc>
      </w:tr>
      <w:tr w:rsidR="00377F36" w:rsidRPr="002A55BA" w:rsidTr="002378D5">
        <w:trPr>
          <w:trHeight w:val="240"/>
          <w:jc w:val="center"/>
        </w:trPr>
        <w:tc>
          <w:tcPr>
            <w:tcW w:w="4876" w:type="dxa"/>
            <w:tcBorders>
              <w:top w:val="nil"/>
              <w:left w:val="nil"/>
              <w:bottom w:val="nil"/>
              <w:right w:val="nil"/>
            </w:tcBorders>
            <w:hideMark/>
          </w:tcPr>
          <w:p w:rsidR="00377F36" w:rsidRPr="002A55BA" w:rsidRDefault="00377F36" w:rsidP="002378D5">
            <w:pPr>
              <w:pStyle w:val="AmColumnHeading"/>
              <w:widowControl/>
            </w:pPr>
            <w:r w:rsidRPr="002A55BA">
              <w:t>Komission teksti</w:t>
            </w:r>
          </w:p>
        </w:tc>
        <w:tc>
          <w:tcPr>
            <w:tcW w:w="4876" w:type="dxa"/>
            <w:tcBorders>
              <w:top w:val="nil"/>
              <w:left w:val="nil"/>
              <w:bottom w:val="nil"/>
              <w:right w:val="nil"/>
            </w:tcBorders>
            <w:hideMark/>
          </w:tcPr>
          <w:p w:rsidR="00377F36" w:rsidRPr="002A55BA" w:rsidRDefault="00377F36" w:rsidP="002378D5">
            <w:pPr>
              <w:pStyle w:val="AmColumnHeading"/>
              <w:widowControl/>
            </w:pPr>
            <w:r w:rsidRPr="002A55BA">
              <w:t>Tarkistus</w:t>
            </w:r>
          </w:p>
        </w:tc>
      </w:tr>
      <w:tr w:rsidR="00377F36" w:rsidRPr="002A55BA" w:rsidTr="002378D5">
        <w:trPr>
          <w:jc w:val="center"/>
        </w:trPr>
        <w:tc>
          <w:tcPr>
            <w:tcW w:w="4876" w:type="dxa"/>
            <w:tcBorders>
              <w:top w:val="nil"/>
              <w:left w:val="nil"/>
              <w:bottom w:val="nil"/>
              <w:right w:val="nil"/>
            </w:tcBorders>
            <w:hideMark/>
          </w:tcPr>
          <w:p w:rsidR="00377F36" w:rsidRPr="002A55BA" w:rsidRDefault="00377F36" w:rsidP="002378D5">
            <w:pPr>
              <w:pStyle w:val="Normal6a"/>
              <w:widowControl/>
            </w:pPr>
            <w:r w:rsidRPr="002A55BA">
              <w:t>1.</w:t>
            </w:r>
            <w:r w:rsidRPr="002A55BA">
              <w:tab/>
              <w:t>Unionin makrotaloudellisen rahoitusavun täytäntöönpanossa noudatetaan Euroopan parlamentin ja neuvoston asetusta (EU, Euratom) </w:t>
            </w:r>
            <w:r w:rsidRPr="002A55BA">
              <w:rPr>
                <w:b/>
                <w:i/>
              </w:rPr>
              <w:t>1046</w:t>
            </w:r>
            <w:r w:rsidRPr="002A55BA">
              <w:t>/</w:t>
            </w:r>
            <w:r w:rsidRPr="002A55BA">
              <w:rPr>
                <w:b/>
                <w:i/>
              </w:rPr>
              <w:t>2018</w:t>
            </w:r>
            <w:r w:rsidRPr="002A55BA">
              <w:rPr>
                <w:b/>
                <w:i/>
                <w:vertAlign w:val="superscript"/>
              </w:rPr>
              <w:t>7</w:t>
            </w:r>
            <w:r w:rsidRPr="002A55BA">
              <w:t>.</w:t>
            </w:r>
          </w:p>
        </w:tc>
        <w:tc>
          <w:tcPr>
            <w:tcW w:w="4876" w:type="dxa"/>
            <w:tcBorders>
              <w:top w:val="nil"/>
              <w:left w:val="nil"/>
              <w:bottom w:val="nil"/>
              <w:right w:val="nil"/>
            </w:tcBorders>
            <w:hideMark/>
          </w:tcPr>
          <w:p w:rsidR="00377F36" w:rsidRPr="002A55BA" w:rsidRDefault="00377F36" w:rsidP="002378D5">
            <w:pPr>
              <w:pStyle w:val="Normal6a"/>
              <w:widowControl/>
            </w:pPr>
            <w:r w:rsidRPr="002A55BA">
              <w:t>1.</w:t>
            </w:r>
            <w:r w:rsidRPr="002A55BA">
              <w:tab/>
              <w:t>Unionin makrotaloudellisen rahoitusavun täytäntöönpanossa noudatetaan Euroopan parlamentin ja neuvoston asetusta (EU, Euratom) </w:t>
            </w:r>
            <w:r w:rsidRPr="002A55BA">
              <w:rPr>
                <w:b/>
                <w:i/>
              </w:rPr>
              <w:t>2024</w:t>
            </w:r>
            <w:r w:rsidRPr="002A55BA">
              <w:t>/</w:t>
            </w:r>
            <w:r w:rsidRPr="002A55BA">
              <w:rPr>
                <w:b/>
                <w:i/>
              </w:rPr>
              <w:t>2509</w:t>
            </w:r>
            <w:r w:rsidRPr="002A55BA">
              <w:rPr>
                <w:b/>
                <w:i/>
                <w:vertAlign w:val="superscript"/>
              </w:rPr>
              <w:t>7</w:t>
            </w:r>
            <w:r w:rsidRPr="002A55BA">
              <w:t>.</w:t>
            </w:r>
          </w:p>
        </w:tc>
      </w:tr>
      <w:tr w:rsidR="00377F36" w:rsidRPr="002A55BA" w:rsidTr="002378D5">
        <w:trPr>
          <w:jc w:val="center"/>
        </w:trPr>
        <w:tc>
          <w:tcPr>
            <w:tcW w:w="4876" w:type="dxa"/>
            <w:tcBorders>
              <w:top w:val="nil"/>
              <w:left w:val="nil"/>
              <w:bottom w:val="nil"/>
              <w:right w:val="nil"/>
            </w:tcBorders>
            <w:hideMark/>
          </w:tcPr>
          <w:p w:rsidR="00377F36" w:rsidRPr="002A55BA" w:rsidRDefault="00377F36" w:rsidP="002378D5">
            <w:pPr>
              <w:pStyle w:val="Normal6a"/>
              <w:widowControl/>
            </w:pPr>
            <w:r w:rsidRPr="002A55BA">
              <w:rPr>
                <w:b/>
                <w:i/>
              </w:rPr>
              <w:t>_________________</w:t>
            </w:r>
          </w:p>
        </w:tc>
        <w:tc>
          <w:tcPr>
            <w:tcW w:w="4876" w:type="dxa"/>
            <w:tcBorders>
              <w:top w:val="nil"/>
              <w:left w:val="nil"/>
              <w:bottom w:val="nil"/>
              <w:right w:val="nil"/>
            </w:tcBorders>
            <w:hideMark/>
          </w:tcPr>
          <w:p w:rsidR="00377F36" w:rsidRPr="002A55BA" w:rsidRDefault="00377F36" w:rsidP="002378D5">
            <w:pPr>
              <w:pStyle w:val="Normal6a"/>
              <w:widowControl/>
            </w:pPr>
            <w:r w:rsidRPr="002A55BA">
              <w:rPr>
                <w:b/>
                <w:i/>
              </w:rPr>
              <w:t>_________________</w:t>
            </w:r>
          </w:p>
        </w:tc>
      </w:tr>
      <w:tr w:rsidR="00377F36" w:rsidRPr="002A55BA" w:rsidTr="002378D5">
        <w:trPr>
          <w:jc w:val="center"/>
        </w:trPr>
        <w:tc>
          <w:tcPr>
            <w:tcW w:w="4876" w:type="dxa"/>
            <w:tcBorders>
              <w:top w:val="nil"/>
              <w:left w:val="nil"/>
              <w:bottom w:val="nil"/>
              <w:right w:val="nil"/>
            </w:tcBorders>
            <w:hideMark/>
          </w:tcPr>
          <w:p w:rsidR="00377F36" w:rsidRPr="002A55BA" w:rsidRDefault="00377F36" w:rsidP="002378D5">
            <w:pPr>
              <w:pStyle w:val="Normal6a"/>
              <w:widowControl/>
            </w:pPr>
            <w:r w:rsidRPr="002A55BA">
              <w:rPr>
                <w:vertAlign w:val="superscript"/>
              </w:rPr>
              <w:t xml:space="preserve">7 </w:t>
            </w:r>
            <w:r w:rsidRPr="002A55BA">
              <w:t xml:space="preserve">Euroopan parlamentin ja neuvoston asetus (EU, Euratom) </w:t>
            </w:r>
            <w:r w:rsidRPr="002A55BA">
              <w:rPr>
                <w:b/>
                <w:i/>
              </w:rPr>
              <w:t xml:space="preserve">2018/1046, annettu 18 päivänä heinäkuuta 2018, unionin yleiseen talousarvioon sovellettavista varainhoitosäännöistä ja asetuksen (EU, </w:t>
            </w:r>
            <w:r w:rsidRPr="002A55BA">
              <w:rPr>
                <w:b/>
                <w:i/>
              </w:rPr>
              <w:lastRenderedPageBreak/>
              <w:t>Euratom) N:o 966/2012 kumoamisesta (EUVL L 193, 30.7.2018, s. 1).</w:t>
            </w:r>
          </w:p>
        </w:tc>
        <w:tc>
          <w:tcPr>
            <w:tcW w:w="4876" w:type="dxa"/>
            <w:tcBorders>
              <w:top w:val="nil"/>
              <w:left w:val="nil"/>
              <w:bottom w:val="nil"/>
              <w:right w:val="nil"/>
            </w:tcBorders>
            <w:hideMark/>
          </w:tcPr>
          <w:p w:rsidR="00377F36" w:rsidRPr="002A55BA" w:rsidRDefault="00377F36" w:rsidP="002378D5">
            <w:pPr>
              <w:pStyle w:val="Normal6a"/>
              <w:widowControl/>
            </w:pPr>
            <w:r w:rsidRPr="002A55BA">
              <w:rPr>
                <w:vertAlign w:val="superscript"/>
              </w:rPr>
              <w:lastRenderedPageBreak/>
              <w:t>7</w:t>
            </w:r>
            <w:r w:rsidRPr="002A55BA">
              <w:t xml:space="preserve"> Euroopan parlamentin ja neuvoston asetus (EU, Euratom) </w:t>
            </w:r>
            <w:r w:rsidRPr="002A55BA">
              <w:rPr>
                <w:b/>
                <w:i/>
              </w:rPr>
              <w:t xml:space="preserve">2024/2509, annettu 23 päivänä syyskuuta 2024, unionin yleiseen talousarvioon sovellettavista varainhoitosäännöistä (EUVL L, 2024/2509, 26.9.2024, ELI: </w:t>
            </w:r>
            <w:hyperlink r:id="rId9" w:history="1">
              <w:r w:rsidRPr="002A55BA">
                <w:rPr>
                  <w:rStyle w:val="Hyperlink"/>
                  <w:b/>
                  <w:i/>
                </w:rPr>
                <w:t>http://data.europa.eu/eli/reg/2024/2509/oj</w:t>
              </w:r>
            </w:hyperlink>
            <w:r w:rsidRPr="002A55BA">
              <w:rPr>
                <w:b/>
                <w:i/>
              </w:rPr>
              <w:t>).</w:t>
            </w:r>
          </w:p>
        </w:tc>
      </w:tr>
    </w:tbl>
    <w:p w:rsidR="00377F36" w:rsidRPr="002A55BA" w:rsidRDefault="00377F36" w:rsidP="00377F36">
      <w:pPr>
        <w:widowControl/>
      </w:pPr>
    </w:p>
    <w:p w:rsidR="00377F36" w:rsidRPr="002A55BA" w:rsidRDefault="00377F36" w:rsidP="00377F36">
      <w:pPr>
        <w:pStyle w:val="AmNumberTabs"/>
        <w:widowControl/>
      </w:pPr>
      <w:r w:rsidRPr="002A55BA">
        <w:t>Tarkistus</w:t>
      </w:r>
      <w:r w:rsidR="00834DDB" w:rsidRPr="002A55BA">
        <w:t xml:space="preserve"> </w:t>
      </w:r>
      <w:r w:rsidRPr="002A55BA">
        <w:t>27</w:t>
      </w:r>
    </w:p>
    <w:p w:rsidR="00377F36" w:rsidRPr="002A55BA" w:rsidRDefault="00377F36" w:rsidP="00377F36">
      <w:pPr>
        <w:pStyle w:val="NormalBold12b"/>
        <w:widowControl/>
      </w:pPr>
      <w:r w:rsidRPr="002A55BA">
        <w:t>Ehdotus päätökseksi</w:t>
      </w:r>
    </w:p>
    <w:p w:rsidR="00377F36" w:rsidRPr="002A55BA" w:rsidRDefault="00377F36" w:rsidP="00377F36">
      <w:pPr>
        <w:pStyle w:val="NormalBold"/>
        <w:widowControl/>
      </w:pPr>
      <w:r w:rsidRPr="002A55BA">
        <w:t>8 artikla – 1 kohta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trHeight w:val="240"/>
          <w:jc w:val="center"/>
        </w:trPr>
        <w:tc>
          <w:tcPr>
            <w:tcW w:w="9752" w:type="dxa"/>
            <w:gridSpan w:val="2"/>
            <w:tcBorders>
              <w:top w:val="nil"/>
              <w:left w:val="nil"/>
              <w:bottom w:val="nil"/>
              <w:right w:val="nil"/>
            </w:tcBorders>
          </w:tcPr>
          <w:p w:rsidR="00377F36" w:rsidRPr="002A55BA" w:rsidRDefault="00377F36" w:rsidP="002378D5">
            <w:pPr>
              <w:widowControl/>
            </w:pPr>
          </w:p>
        </w:tc>
      </w:tr>
      <w:tr w:rsidR="00377F36" w:rsidRPr="002A55BA" w:rsidTr="002378D5">
        <w:trPr>
          <w:trHeight w:val="240"/>
          <w:jc w:val="center"/>
        </w:trPr>
        <w:tc>
          <w:tcPr>
            <w:tcW w:w="4876" w:type="dxa"/>
            <w:tcBorders>
              <w:top w:val="nil"/>
              <w:left w:val="nil"/>
              <w:bottom w:val="nil"/>
              <w:right w:val="nil"/>
            </w:tcBorders>
            <w:hideMark/>
          </w:tcPr>
          <w:p w:rsidR="00377F36" w:rsidRPr="002A55BA" w:rsidRDefault="00377F36" w:rsidP="002378D5">
            <w:pPr>
              <w:pStyle w:val="AmColumnHeading"/>
              <w:widowControl/>
            </w:pPr>
            <w:r w:rsidRPr="002A55BA">
              <w:t>Komission teksti</w:t>
            </w:r>
          </w:p>
        </w:tc>
        <w:tc>
          <w:tcPr>
            <w:tcW w:w="4876" w:type="dxa"/>
            <w:tcBorders>
              <w:top w:val="nil"/>
              <w:left w:val="nil"/>
              <w:bottom w:val="nil"/>
              <w:right w:val="nil"/>
            </w:tcBorders>
            <w:hideMark/>
          </w:tcPr>
          <w:p w:rsidR="00377F36" w:rsidRPr="002A55BA" w:rsidRDefault="00377F36" w:rsidP="002378D5">
            <w:pPr>
              <w:pStyle w:val="AmColumnHeading"/>
              <w:widowControl/>
            </w:pPr>
            <w:r w:rsidRPr="002A55BA">
              <w:t>Tarkistus</w:t>
            </w:r>
          </w:p>
        </w:tc>
      </w:tr>
      <w:tr w:rsidR="00377F36" w:rsidRPr="002A55BA" w:rsidTr="002378D5">
        <w:trPr>
          <w:jc w:val="center"/>
        </w:trPr>
        <w:tc>
          <w:tcPr>
            <w:tcW w:w="4876" w:type="dxa"/>
            <w:tcBorders>
              <w:top w:val="nil"/>
              <w:left w:val="nil"/>
              <w:bottom w:val="nil"/>
              <w:right w:val="nil"/>
            </w:tcBorders>
            <w:hideMark/>
          </w:tcPr>
          <w:p w:rsidR="00377F36" w:rsidRPr="002A55BA" w:rsidRDefault="00377F36" w:rsidP="002378D5">
            <w:pPr>
              <w:pStyle w:val="Normal6a"/>
              <w:widowControl/>
            </w:pPr>
            <w:r w:rsidRPr="002A55BA">
              <w:t>b)</w:t>
            </w:r>
            <w:r w:rsidRPr="002A55BA">
              <w:tab/>
              <w:t>arvioitava Egyptin taloustilannetta ja -näkymiä sekä edistymistä 3 artiklan 1 kohdassa tarkoitettujen politiikkatoimien toteuttamisessa;</w:t>
            </w:r>
          </w:p>
        </w:tc>
        <w:tc>
          <w:tcPr>
            <w:tcW w:w="4876" w:type="dxa"/>
            <w:tcBorders>
              <w:top w:val="nil"/>
              <w:left w:val="nil"/>
              <w:bottom w:val="nil"/>
              <w:right w:val="nil"/>
            </w:tcBorders>
            <w:hideMark/>
          </w:tcPr>
          <w:p w:rsidR="00377F36" w:rsidRPr="002A55BA" w:rsidRDefault="00377F36" w:rsidP="002378D5">
            <w:pPr>
              <w:pStyle w:val="Normal6a"/>
              <w:widowControl/>
            </w:pPr>
            <w:r w:rsidRPr="002A55BA">
              <w:t>b)</w:t>
            </w:r>
            <w:r w:rsidRPr="002A55BA">
              <w:tab/>
              <w:t xml:space="preserve">arvioitava Egyptin taloustilannetta ja -näkymiä sekä edistymistä </w:t>
            </w:r>
            <w:r w:rsidRPr="002A55BA">
              <w:rPr>
                <w:b/>
                <w:i/>
              </w:rPr>
              <w:t xml:space="preserve">2 artiklassa ja </w:t>
            </w:r>
            <w:r w:rsidRPr="002A55BA">
              <w:t>3 artiklan 1 kohdassa tarkoitettujen politiikkatoimien toteuttamisessa;</w:t>
            </w:r>
          </w:p>
        </w:tc>
      </w:tr>
    </w:tbl>
    <w:p w:rsidR="00377F36" w:rsidRPr="002A55BA" w:rsidRDefault="00377F36" w:rsidP="00377F36">
      <w:pPr>
        <w:widowControl/>
      </w:pPr>
    </w:p>
    <w:p w:rsidR="00377F36" w:rsidRPr="002A55BA" w:rsidRDefault="00377F36" w:rsidP="00834DDB">
      <w:pPr>
        <w:pStyle w:val="AmNumberTabs"/>
      </w:pPr>
      <w:r w:rsidRPr="002A55BA">
        <w:t>Tarkistus</w:t>
      </w:r>
      <w:r w:rsidR="00834DDB" w:rsidRPr="002A55BA">
        <w:t xml:space="preserve"> </w:t>
      </w:r>
      <w:r w:rsidRPr="002A55BA">
        <w:t>28</w:t>
      </w:r>
    </w:p>
    <w:p w:rsidR="00377F36" w:rsidRPr="002A55BA" w:rsidRDefault="00377F36" w:rsidP="00377F36">
      <w:pPr>
        <w:pStyle w:val="NormalBold12b"/>
        <w:keepNext/>
        <w:widowControl/>
      </w:pPr>
      <w:r w:rsidRPr="002A55BA">
        <w:t>Ehdotus päätökseksi</w:t>
      </w:r>
    </w:p>
    <w:p w:rsidR="00377F36" w:rsidRPr="002A55BA" w:rsidRDefault="00377F36" w:rsidP="00377F36">
      <w:pPr>
        <w:pStyle w:val="NormalBold"/>
        <w:widowControl/>
      </w:pPr>
      <w:r w:rsidRPr="002A55BA">
        <w:t>8 artikla – 1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7F36" w:rsidRPr="002A55BA" w:rsidTr="002378D5">
        <w:trPr>
          <w:jc w:val="center"/>
        </w:trPr>
        <w:tc>
          <w:tcPr>
            <w:tcW w:w="9752" w:type="dxa"/>
            <w:gridSpan w:val="2"/>
          </w:tcPr>
          <w:p w:rsidR="00377F36" w:rsidRPr="002A55BA" w:rsidRDefault="00377F36" w:rsidP="002378D5">
            <w:pPr>
              <w:keepNext/>
              <w:widowControl/>
            </w:pPr>
          </w:p>
        </w:tc>
      </w:tr>
      <w:tr w:rsidR="00377F36" w:rsidRPr="002A55BA" w:rsidTr="002378D5">
        <w:trPr>
          <w:jc w:val="center"/>
        </w:trPr>
        <w:tc>
          <w:tcPr>
            <w:tcW w:w="4876" w:type="dxa"/>
            <w:hideMark/>
          </w:tcPr>
          <w:p w:rsidR="00377F36" w:rsidRPr="002A55BA" w:rsidRDefault="00377F36" w:rsidP="002378D5">
            <w:pPr>
              <w:pStyle w:val="ColumnHeading"/>
              <w:keepNext/>
              <w:widowControl/>
            </w:pPr>
            <w:r w:rsidRPr="002A55BA">
              <w:t>Komission teksti</w:t>
            </w:r>
          </w:p>
        </w:tc>
        <w:tc>
          <w:tcPr>
            <w:tcW w:w="4876" w:type="dxa"/>
            <w:hideMark/>
          </w:tcPr>
          <w:p w:rsidR="00377F36" w:rsidRPr="002A55BA" w:rsidRDefault="00377F36" w:rsidP="002378D5">
            <w:pPr>
              <w:pStyle w:val="ColumnHeading"/>
              <w:keepNext/>
              <w:widowControl/>
            </w:pPr>
            <w:r w:rsidRPr="002A55BA">
              <w:t>Tarkistus</w:t>
            </w:r>
          </w:p>
        </w:tc>
      </w:tr>
      <w:tr w:rsidR="00377F36" w:rsidRPr="00481F86" w:rsidTr="002378D5">
        <w:trPr>
          <w:jc w:val="center"/>
        </w:trPr>
        <w:tc>
          <w:tcPr>
            <w:tcW w:w="4876" w:type="dxa"/>
            <w:hideMark/>
          </w:tcPr>
          <w:p w:rsidR="00377F36" w:rsidRPr="002A55BA" w:rsidRDefault="00377F36" w:rsidP="002378D5">
            <w:pPr>
              <w:pStyle w:val="Normal6"/>
              <w:widowControl/>
            </w:pPr>
            <w:r w:rsidRPr="002A55BA">
              <w:t>c)</w:t>
            </w:r>
            <w:r w:rsidRPr="002A55BA">
              <w:tab/>
              <w:t xml:space="preserve">osoitettava yhteys </w:t>
            </w:r>
            <w:r w:rsidRPr="002A55BA">
              <w:rPr>
                <w:b/>
                <w:i/>
              </w:rPr>
              <w:t>yhteisymmärryspöytäkirjassa vahvistettujen</w:t>
            </w:r>
            <w:r w:rsidRPr="002A55BA">
              <w:t xml:space="preserve"> talouspolitiikan </w:t>
            </w:r>
            <w:r w:rsidRPr="002A55BA">
              <w:rPr>
                <w:b/>
                <w:i/>
              </w:rPr>
              <w:t>uudistustoimenpiteiden</w:t>
            </w:r>
            <w:r w:rsidRPr="002A55BA">
              <w:t xml:space="preserve">, </w:t>
            </w:r>
            <w:r w:rsidRPr="002A55BA">
              <w:rPr>
                <w:b/>
                <w:i/>
              </w:rPr>
              <w:t>Egyptissä meneillään olevan talous- ja</w:t>
            </w:r>
            <w:r w:rsidRPr="002A55BA">
              <w:t xml:space="preserve"> finanssipoliittisen kehityksen sekä unionin makrotaloudellisen rahoitusavun </w:t>
            </w:r>
            <w:r w:rsidRPr="002A55BA">
              <w:rPr>
                <w:b/>
                <w:i/>
              </w:rPr>
              <w:t>erien maksamista koskevien komission päätösten välillä</w:t>
            </w:r>
            <w:r w:rsidRPr="002A55BA">
              <w:t>.</w:t>
            </w:r>
          </w:p>
        </w:tc>
        <w:tc>
          <w:tcPr>
            <w:tcW w:w="4876" w:type="dxa"/>
            <w:hideMark/>
          </w:tcPr>
          <w:p w:rsidR="00377F36" w:rsidRPr="00481F86" w:rsidRDefault="00377F36" w:rsidP="002378D5">
            <w:pPr>
              <w:pStyle w:val="Normal6"/>
              <w:widowControl/>
              <w:rPr>
                <w:szCs w:val="24"/>
              </w:rPr>
            </w:pPr>
            <w:r w:rsidRPr="002A55BA">
              <w:t>c)</w:t>
            </w:r>
            <w:r w:rsidRPr="002A55BA">
              <w:tab/>
              <w:t xml:space="preserve">osoitettava yhteys </w:t>
            </w:r>
            <w:r w:rsidRPr="002A55BA">
              <w:rPr>
                <w:b/>
                <w:i/>
              </w:rPr>
              <w:t>yhteisymmärryspöytäkirjan mukaisten Egyptin</w:t>
            </w:r>
            <w:r w:rsidRPr="002A55BA">
              <w:t xml:space="preserve"> talouspolitiikan </w:t>
            </w:r>
            <w:r w:rsidRPr="002A55BA">
              <w:rPr>
                <w:b/>
                <w:i/>
              </w:rPr>
              <w:t>uudistusten</w:t>
            </w:r>
            <w:r w:rsidRPr="002A55BA">
              <w:t xml:space="preserve">, </w:t>
            </w:r>
            <w:r w:rsidRPr="002A55BA">
              <w:rPr>
                <w:b/>
                <w:i/>
              </w:rPr>
              <w:t>sen</w:t>
            </w:r>
            <w:r w:rsidRPr="002A55BA">
              <w:t xml:space="preserve"> finanssipoliittisen kehityksen sekä unionin makrotaloudellisen rahoitusavun </w:t>
            </w:r>
            <w:r w:rsidRPr="002A55BA">
              <w:rPr>
                <w:b/>
                <w:i/>
              </w:rPr>
              <w:t>maksamisen välillä ja tehtävä samalla selkoa demokraattisten mekanismien, oikeusvaltioperiaatteen ja ihmisoikeuksien edistämiseksi toteutetuista toimista</w:t>
            </w:r>
            <w:r w:rsidRPr="002A55BA">
              <w:t>.</w:t>
            </w:r>
          </w:p>
        </w:tc>
      </w:tr>
    </w:tbl>
    <w:p w:rsidR="00E365E1" w:rsidRPr="00481F86" w:rsidRDefault="00E365E1" w:rsidP="005965DF"/>
    <w:sectPr w:rsidR="00E365E1" w:rsidRPr="00481F86" w:rsidSect="00BE64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5DF" w:rsidRPr="00BE64BA" w:rsidRDefault="005965DF">
      <w:r w:rsidRPr="00BE64BA">
        <w:separator/>
      </w:r>
    </w:p>
  </w:endnote>
  <w:endnote w:type="continuationSeparator" w:id="0">
    <w:p w:rsidR="005965DF" w:rsidRPr="00BE64BA" w:rsidRDefault="005965DF">
      <w:r w:rsidRPr="00BE64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5DF" w:rsidRPr="00BE64BA" w:rsidRDefault="005965DF">
      <w:r w:rsidRPr="00BE64BA">
        <w:separator/>
      </w:r>
    </w:p>
  </w:footnote>
  <w:footnote w:type="continuationSeparator" w:id="0">
    <w:p w:rsidR="005965DF" w:rsidRPr="00BE64BA" w:rsidRDefault="005965DF">
      <w:r w:rsidRPr="00BE64BA">
        <w:continuationSeparator/>
      </w:r>
    </w:p>
  </w:footnote>
  <w:footnote w:id="1">
    <w:p w:rsidR="00606861" w:rsidRPr="002524FE" w:rsidRDefault="00606861" w:rsidP="00606861">
      <w:pPr>
        <w:pStyle w:val="FootnoteText"/>
        <w:ind w:left="720" w:hanging="720"/>
        <w:rPr>
          <w:lang w:val="fi-FI"/>
        </w:rPr>
      </w:pPr>
      <w:r w:rsidRPr="002A55BA">
        <w:rPr>
          <w:rStyle w:val="FootnoteReference"/>
        </w:rPr>
        <w:footnoteRef/>
      </w:r>
      <w:r w:rsidRPr="002A55BA">
        <w:rPr>
          <w:lang w:val="fi-FI"/>
        </w:rPr>
        <w:tab/>
        <w:t xml:space="preserve">Asia päätettiin palauttaa asiasta vastaavaan valiokuntaan toimielinten välisiä neuvotteluja varten työjärjestyksen </w:t>
      </w:r>
      <w:r w:rsidR="00082563" w:rsidRPr="002A55BA">
        <w:rPr>
          <w:lang w:val="fi-FI"/>
        </w:rPr>
        <w:t>60</w:t>
      </w:r>
      <w:r w:rsidRPr="002A55BA">
        <w:rPr>
          <w:lang w:val="fi-FI"/>
        </w:rPr>
        <w:t xml:space="preserve"> artiklan 4 kohdan neljännen alakohdan mukaisesti (A10-0037/2025).</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FI"/>
    <w:docVar w:name="dvnumam" w:val="41"/>
    <w:docVar w:name="dvpe" w:val="765.300"/>
    <w:docVar w:name="dvrapporteur" w:val="Esittelijä: "/>
    <w:docVar w:name="dvstar" w:val="***I"/>
    <w:docVar w:name="dvtitre" w:val="Euroopan parlamentin lainsäädäntöpäätöslauselma 1. huhtikuuta 2025 ehdotuksesta Euroopan parlamentin ja neuvoston päätökseksi makrotaloudellisen rahoitusavun myöntämisestä Egyptin arabitasavallalle(COM(2024)0461 – C10-0009/2024 – 2024/0071(COD))"/>
  </w:docVars>
  <w:rsids>
    <w:rsidRoot w:val="005965DF"/>
    <w:rsid w:val="00002272"/>
    <w:rsid w:val="00064002"/>
    <w:rsid w:val="000677B9"/>
    <w:rsid w:val="00082563"/>
    <w:rsid w:val="000831BA"/>
    <w:rsid w:val="000A42CC"/>
    <w:rsid w:val="000E7DD9"/>
    <w:rsid w:val="0010095E"/>
    <w:rsid w:val="00125B37"/>
    <w:rsid w:val="00187494"/>
    <w:rsid w:val="001F25BA"/>
    <w:rsid w:val="001F32AE"/>
    <w:rsid w:val="002767FF"/>
    <w:rsid w:val="002A0D12"/>
    <w:rsid w:val="002A55BA"/>
    <w:rsid w:val="002B18FE"/>
    <w:rsid w:val="002B5493"/>
    <w:rsid w:val="00343214"/>
    <w:rsid w:val="00361C00"/>
    <w:rsid w:val="00377F36"/>
    <w:rsid w:val="00395FA1"/>
    <w:rsid w:val="003B4308"/>
    <w:rsid w:val="003E15D4"/>
    <w:rsid w:val="00411CCE"/>
    <w:rsid w:val="0041666E"/>
    <w:rsid w:val="00421060"/>
    <w:rsid w:val="00471C19"/>
    <w:rsid w:val="00481F86"/>
    <w:rsid w:val="004867E3"/>
    <w:rsid w:val="00494A28"/>
    <w:rsid w:val="004C0004"/>
    <w:rsid w:val="004C5D52"/>
    <w:rsid w:val="004D153C"/>
    <w:rsid w:val="004E7373"/>
    <w:rsid w:val="004F7D2D"/>
    <w:rsid w:val="0050519A"/>
    <w:rsid w:val="005072A1"/>
    <w:rsid w:val="00514517"/>
    <w:rsid w:val="00545827"/>
    <w:rsid w:val="00560270"/>
    <w:rsid w:val="0058678E"/>
    <w:rsid w:val="005965DF"/>
    <w:rsid w:val="005C2568"/>
    <w:rsid w:val="005F1B17"/>
    <w:rsid w:val="006037C0"/>
    <w:rsid w:val="00606861"/>
    <w:rsid w:val="006631B6"/>
    <w:rsid w:val="00680577"/>
    <w:rsid w:val="006D7F3F"/>
    <w:rsid w:val="006F74FA"/>
    <w:rsid w:val="00724B3A"/>
    <w:rsid w:val="00731ADD"/>
    <w:rsid w:val="00734777"/>
    <w:rsid w:val="00747932"/>
    <w:rsid w:val="00751A4A"/>
    <w:rsid w:val="00756632"/>
    <w:rsid w:val="00762C74"/>
    <w:rsid w:val="00786EC0"/>
    <w:rsid w:val="007D1690"/>
    <w:rsid w:val="007E22AD"/>
    <w:rsid w:val="00817416"/>
    <w:rsid w:val="00834DD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228"/>
    <w:rsid w:val="00BD48FE"/>
    <w:rsid w:val="00BD7BD8"/>
    <w:rsid w:val="00BE64BA"/>
    <w:rsid w:val="00BE6ADC"/>
    <w:rsid w:val="00C05BFE"/>
    <w:rsid w:val="00C23CD4"/>
    <w:rsid w:val="00C61C0C"/>
    <w:rsid w:val="00C941CB"/>
    <w:rsid w:val="00CC2357"/>
    <w:rsid w:val="00CF071A"/>
    <w:rsid w:val="00D058B8"/>
    <w:rsid w:val="00D56C11"/>
    <w:rsid w:val="00D834A0"/>
    <w:rsid w:val="00D872DF"/>
    <w:rsid w:val="00D91E21"/>
    <w:rsid w:val="00DA7FCD"/>
    <w:rsid w:val="00DE17B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2DBC9"/>
  <w15:chartTrackingRefBased/>
  <w15:docId w15:val="{5A19869C-194A-49AF-B441-3E2866B1A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DDB"/>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77F36"/>
    <w:pPr>
      <w:spacing w:after="120"/>
    </w:pPr>
  </w:style>
  <w:style w:type="paragraph" w:customStyle="1" w:styleId="NormalBold">
    <w:name w:val="NormalBold"/>
    <w:basedOn w:val="Normal"/>
    <w:link w:val="NormalBoldChar"/>
    <w:rsid w:val="00377F36"/>
    <w:rPr>
      <w:b/>
    </w:rPr>
  </w:style>
  <w:style w:type="paragraph" w:customStyle="1" w:styleId="NormalHanging12a">
    <w:name w:val="NormalHanging12a"/>
    <w:basedOn w:val="Normal"/>
    <w:link w:val="NormalHanging12aChar"/>
    <w:rsid w:val="00377F36"/>
    <w:pPr>
      <w:spacing w:after="240"/>
      <w:ind w:left="567" w:hanging="567"/>
    </w:pPr>
  </w:style>
  <w:style w:type="paragraph" w:customStyle="1" w:styleId="AmColumnHeading">
    <w:name w:val="AmColumnHeading"/>
    <w:basedOn w:val="Normal"/>
    <w:rsid w:val="00377F36"/>
    <w:pPr>
      <w:spacing w:after="240"/>
      <w:jc w:val="center"/>
    </w:pPr>
    <w:rPr>
      <w:i/>
    </w:rPr>
  </w:style>
  <w:style w:type="paragraph" w:customStyle="1" w:styleId="AmNumberTabs">
    <w:name w:val="AmNumberTabs"/>
    <w:basedOn w:val="Normal"/>
    <w:link w:val="AmNumberTabsChar"/>
    <w:rsid w:val="00834DDB"/>
    <w:pPr>
      <w:keepNext/>
      <w:spacing w:before="240"/>
    </w:pPr>
    <w:rPr>
      <w:b/>
    </w:rPr>
  </w:style>
  <w:style w:type="paragraph" w:customStyle="1" w:styleId="NormalBold12b">
    <w:name w:val="NormalBold12b"/>
    <w:basedOn w:val="Normal"/>
    <w:link w:val="NormalBold12bChar"/>
    <w:rsid w:val="00377F36"/>
    <w:pPr>
      <w:spacing w:before="240"/>
    </w:pPr>
    <w:rPr>
      <w:b/>
    </w:rPr>
  </w:style>
  <w:style w:type="paragraph" w:customStyle="1" w:styleId="EPComma">
    <w:name w:val="EPComma"/>
    <w:basedOn w:val="Normal"/>
    <w:rsid w:val="00377F36"/>
    <w:pPr>
      <w:spacing w:before="480" w:after="240"/>
    </w:pPr>
  </w:style>
  <w:style w:type="character" w:styleId="Hyperlink">
    <w:name w:val="Hyperlink"/>
    <w:basedOn w:val="DefaultParagraphFont"/>
    <w:rsid w:val="00377F36"/>
    <w:rPr>
      <w:color w:val="0563C1" w:themeColor="hyperlink"/>
      <w:u w:val="single"/>
    </w:rPr>
  </w:style>
  <w:style w:type="character" w:customStyle="1" w:styleId="NormalHanging12aChar">
    <w:name w:val="NormalHanging12a Char"/>
    <w:basedOn w:val="DefaultParagraphFont"/>
    <w:link w:val="NormalHanging12a"/>
    <w:locked/>
    <w:rsid w:val="00377F36"/>
    <w:rPr>
      <w:sz w:val="24"/>
      <w:lang w:val="fi-FI"/>
    </w:rPr>
  </w:style>
  <w:style w:type="character" w:customStyle="1" w:styleId="Normal6Char">
    <w:name w:val="Normal6 Char"/>
    <w:basedOn w:val="DefaultParagraphFont"/>
    <w:link w:val="Normal6"/>
    <w:locked/>
    <w:rsid w:val="00377F36"/>
    <w:rPr>
      <w:sz w:val="24"/>
      <w:lang w:val="fi-FI"/>
    </w:rPr>
  </w:style>
  <w:style w:type="paragraph" w:customStyle="1" w:styleId="Normal6">
    <w:name w:val="Normal6"/>
    <w:basedOn w:val="Normal"/>
    <w:link w:val="Normal6Char"/>
    <w:rsid w:val="00377F36"/>
    <w:pPr>
      <w:spacing w:after="120"/>
    </w:pPr>
  </w:style>
  <w:style w:type="character" w:customStyle="1" w:styleId="NormalBoldChar">
    <w:name w:val="NormalBold Char"/>
    <w:basedOn w:val="DefaultParagraphFont"/>
    <w:link w:val="NormalBold"/>
    <w:locked/>
    <w:rsid w:val="00377F36"/>
    <w:rPr>
      <w:b/>
      <w:sz w:val="24"/>
      <w:lang w:val="fi-FI"/>
    </w:rPr>
  </w:style>
  <w:style w:type="paragraph" w:customStyle="1" w:styleId="ColumnHeading">
    <w:name w:val="ColumnHeading"/>
    <w:basedOn w:val="Normal"/>
    <w:rsid w:val="00377F36"/>
    <w:pPr>
      <w:spacing w:after="240"/>
      <w:jc w:val="center"/>
    </w:pPr>
    <w:rPr>
      <w:i/>
    </w:rPr>
  </w:style>
  <w:style w:type="paragraph" w:customStyle="1" w:styleId="AMNumberTabs0">
    <w:name w:val="AMNumberTabs"/>
    <w:basedOn w:val="Normal"/>
    <w:rsid w:val="00834DDB"/>
    <w:pPr>
      <w:keepNext/>
      <w:spacing w:before="240"/>
    </w:pPr>
    <w:rPr>
      <w:b/>
    </w:rPr>
  </w:style>
  <w:style w:type="character" w:customStyle="1" w:styleId="AmNumberTabsChar">
    <w:name w:val="AmNumberTabs Char"/>
    <w:basedOn w:val="DefaultParagraphFont"/>
    <w:link w:val="AmNumberTabs"/>
    <w:rsid w:val="00834DDB"/>
    <w:rPr>
      <w:b/>
      <w:sz w:val="24"/>
      <w:lang w:val="fi-FI"/>
    </w:rPr>
  </w:style>
  <w:style w:type="character" w:customStyle="1" w:styleId="NormalBold12bChar">
    <w:name w:val="NormalBold12b Char"/>
    <w:basedOn w:val="AmNumberTabsChar"/>
    <w:link w:val="NormalBold12b"/>
    <w:rsid w:val="00377F36"/>
    <w:rPr>
      <w:b/>
      <w:sz w:val="24"/>
      <w:lang w:val="fi-FI"/>
    </w:rPr>
  </w:style>
  <w:style w:type="paragraph" w:styleId="Footer">
    <w:name w:val="footer"/>
    <w:basedOn w:val="Normal"/>
    <w:link w:val="FooterChar"/>
    <w:rsid w:val="00834DDB"/>
    <w:pPr>
      <w:tabs>
        <w:tab w:val="center" w:pos="4513"/>
        <w:tab w:val="right" w:pos="9026"/>
      </w:tabs>
    </w:pPr>
  </w:style>
  <w:style w:type="character" w:customStyle="1" w:styleId="FooterChar">
    <w:name w:val="Footer Char"/>
    <w:basedOn w:val="DefaultParagraphFont"/>
    <w:link w:val="Footer"/>
    <w:rsid w:val="00834DDB"/>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606861"/>
    <w:pPr>
      <w:widowControl/>
      <w:spacing w:after="160" w:line="240" w:lineRule="exact"/>
    </w:pPr>
    <w:rPr>
      <w:sz w:val="20"/>
      <w:vertAlign w:val="superscript"/>
      <w:lang w:val="en-GB"/>
    </w:rPr>
  </w:style>
  <w:style w:type="paragraph" w:styleId="BalloonText">
    <w:name w:val="Balloon Text"/>
    <w:basedOn w:val="Normal"/>
    <w:link w:val="BalloonTextChar"/>
    <w:rsid w:val="00082563"/>
    <w:rPr>
      <w:rFonts w:ascii="Segoe UI" w:hAnsi="Segoe UI" w:cs="Segoe UI"/>
      <w:sz w:val="18"/>
      <w:szCs w:val="18"/>
    </w:rPr>
  </w:style>
  <w:style w:type="character" w:customStyle="1" w:styleId="BalloonTextChar">
    <w:name w:val="Balloon Text Char"/>
    <w:basedOn w:val="DefaultParagraphFont"/>
    <w:link w:val="BalloonText"/>
    <w:rsid w:val="00082563"/>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AB574-BBAF-4295-99A8-599F3E72B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4016</Words>
  <Characters>35367</Characters>
  <Application>Microsoft Office Word</Application>
  <DocSecurity>0</DocSecurity>
  <Lines>294</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2025-04-01T13:31:00Z</dcterms:created>
  <dcterms:modified xsi:type="dcterms:W3CDTF">2025-04-01T13:31:00Z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