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1D0B" w14:paraId="6D572B92" w14:textId="77777777" w:rsidTr="0010095E">
        <w:trPr>
          <w:trHeight w:hRule="exact" w:val="1418"/>
        </w:trPr>
        <w:tc>
          <w:tcPr>
            <w:tcW w:w="6804" w:type="dxa"/>
            <w:shd w:val="clear" w:color="auto" w:fill="auto"/>
            <w:vAlign w:val="center"/>
          </w:tcPr>
          <w:p w14:paraId="4277E339" w14:textId="77777777" w:rsidR="00751A4A" w:rsidRPr="007B1D0B" w:rsidRDefault="00360388" w:rsidP="0010095E">
            <w:pPr>
              <w:pStyle w:val="EPName"/>
            </w:pPr>
            <w:r w:rsidRPr="007B1D0B">
              <w:t>Europaparlamentet</w:t>
            </w:r>
          </w:p>
          <w:p w14:paraId="0C54D21C" w14:textId="77777777" w:rsidR="00751A4A" w:rsidRPr="007B1D0B" w:rsidRDefault="005F1B17" w:rsidP="005F1B17">
            <w:pPr>
              <w:pStyle w:val="EPTerm"/>
              <w:rPr>
                <w:rStyle w:val="HideTWBExt"/>
                <w:noProof w:val="0"/>
                <w:vanish w:val="0"/>
                <w:color w:val="auto"/>
              </w:rPr>
            </w:pPr>
            <w:r w:rsidRPr="007B1D0B">
              <w:t>2024</w:t>
            </w:r>
            <w:r w:rsidR="00817416" w:rsidRPr="007B1D0B">
              <w:t>-202</w:t>
            </w:r>
            <w:r w:rsidRPr="007B1D0B">
              <w:t>9</w:t>
            </w:r>
          </w:p>
        </w:tc>
        <w:tc>
          <w:tcPr>
            <w:tcW w:w="2268" w:type="dxa"/>
            <w:shd w:val="clear" w:color="auto" w:fill="auto"/>
          </w:tcPr>
          <w:p w14:paraId="2D0D2BD4" w14:textId="77777777" w:rsidR="00751A4A" w:rsidRPr="007B1D0B" w:rsidRDefault="00187494" w:rsidP="0010095E">
            <w:pPr>
              <w:pStyle w:val="EPLogo"/>
            </w:pPr>
            <w:r w:rsidRPr="007B1D0B">
              <w:rPr>
                <w:noProof/>
                <w:lang w:val="en-GB"/>
              </w:rPr>
              <w:drawing>
                <wp:inline distT="0" distB="0" distL="0" distR="0" wp14:anchorId="673147C1" wp14:editId="689AAF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2F6BC9" w14:textId="77777777" w:rsidR="00D058B8" w:rsidRPr="007B1D0B" w:rsidRDefault="00D058B8" w:rsidP="004C5D52">
      <w:pPr>
        <w:pStyle w:val="LineTop"/>
      </w:pPr>
    </w:p>
    <w:p w14:paraId="6A46DFA6" w14:textId="77777777" w:rsidR="00680577" w:rsidRPr="007B1D0B" w:rsidRDefault="00360388" w:rsidP="00680577">
      <w:pPr>
        <w:pStyle w:val="EPBodyTA1"/>
      </w:pPr>
      <w:r w:rsidRPr="007B1D0B">
        <w:t>ANTAGNA TEXTER</w:t>
      </w:r>
    </w:p>
    <w:p w14:paraId="3BFED725" w14:textId="77777777" w:rsidR="00D058B8" w:rsidRPr="007B1D0B" w:rsidRDefault="00D058B8" w:rsidP="00D058B8">
      <w:pPr>
        <w:pStyle w:val="LineBottom"/>
      </w:pPr>
    </w:p>
    <w:p w14:paraId="3A90793D" w14:textId="77777777" w:rsidR="00360388" w:rsidRPr="007B1D0B" w:rsidRDefault="00360388" w:rsidP="00360388">
      <w:pPr>
        <w:pStyle w:val="ATHeading1"/>
      </w:pPr>
      <w:bookmarkStart w:id="0" w:name="TANumber"/>
      <w:r w:rsidRPr="007B1D0B">
        <w:t>P10_TA(2025)</w:t>
      </w:r>
      <w:bookmarkEnd w:id="0"/>
      <w:r w:rsidR="007F37B2" w:rsidRPr="007B1D0B">
        <w:t>0049</w:t>
      </w:r>
    </w:p>
    <w:p w14:paraId="5387E7FC" w14:textId="77777777" w:rsidR="00360388" w:rsidRPr="007B1D0B" w:rsidRDefault="00360388" w:rsidP="00360388">
      <w:pPr>
        <w:pStyle w:val="ATHeading2"/>
      </w:pPr>
      <w:bookmarkStart w:id="1" w:name="title"/>
      <w:r w:rsidRPr="007B1D0B">
        <w:t>Makroekonomiskt stöd till Egypten</w:t>
      </w:r>
      <w:bookmarkEnd w:id="1"/>
    </w:p>
    <w:p w14:paraId="1FDB8BAF" w14:textId="77777777" w:rsidR="00360388" w:rsidRPr="007B1D0B" w:rsidRDefault="00360388" w:rsidP="00360388">
      <w:pPr>
        <w:rPr>
          <w:i/>
          <w:vanish/>
        </w:rPr>
      </w:pPr>
      <w:r w:rsidRPr="007B1D0B">
        <w:rPr>
          <w:i/>
        </w:rPr>
        <w:fldChar w:fldCharType="begin"/>
      </w:r>
      <w:r w:rsidRPr="007B1D0B">
        <w:rPr>
          <w:i/>
        </w:rPr>
        <w:instrText xml:space="preserve"> TC"(</w:instrText>
      </w:r>
      <w:bookmarkStart w:id="2" w:name="DocNumber"/>
      <w:r w:rsidRPr="007B1D0B">
        <w:rPr>
          <w:i/>
        </w:rPr>
        <w:instrText>A10-0037/2025</w:instrText>
      </w:r>
      <w:bookmarkEnd w:id="2"/>
      <w:r w:rsidRPr="007B1D0B">
        <w:rPr>
          <w:i/>
        </w:rPr>
        <w:instrText xml:space="preserve"> - Föredragande: Céline Imart)"\l3 \n&gt; \* MERGEFORMAT </w:instrText>
      </w:r>
      <w:r w:rsidRPr="007B1D0B">
        <w:rPr>
          <w:i/>
        </w:rPr>
        <w:fldChar w:fldCharType="end"/>
      </w:r>
    </w:p>
    <w:p w14:paraId="448A89F2" w14:textId="77777777" w:rsidR="00360388" w:rsidRPr="007B1D0B" w:rsidRDefault="00360388" w:rsidP="00360388">
      <w:pPr>
        <w:rPr>
          <w:vanish/>
        </w:rPr>
      </w:pPr>
      <w:bookmarkStart w:id="3" w:name="Commission"/>
      <w:r w:rsidRPr="007B1D0B">
        <w:rPr>
          <w:vanish/>
        </w:rPr>
        <w:t>Utskottet för internationell handel</w:t>
      </w:r>
      <w:bookmarkEnd w:id="3"/>
    </w:p>
    <w:p w14:paraId="11DAECCC" w14:textId="77777777" w:rsidR="00360388" w:rsidRPr="007B1D0B" w:rsidRDefault="00360388" w:rsidP="00360388">
      <w:pPr>
        <w:rPr>
          <w:vanish/>
        </w:rPr>
      </w:pPr>
      <w:bookmarkStart w:id="4" w:name="PE"/>
      <w:r w:rsidRPr="007B1D0B">
        <w:rPr>
          <w:vanish/>
        </w:rPr>
        <w:t>PE765.300</w:t>
      </w:r>
      <w:bookmarkEnd w:id="4"/>
    </w:p>
    <w:p w14:paraId="16BB0675" w14:textId="77777777" w:rsidR="00360388" w:rsidRPr="007B1D0B" w:rsidRDefault="00360388" w:rsidP="00360388">
      <w:pPr>
        <w:pStyle w:val="ATHeading3"/>
      </w:pPr>
      <w:bookmarkStart w:id="5" w:name="Sujet"/>
      <w:r w:rsidRPr="007B1D0B">
        <w:t xml:space="preserve">Europaparlamentets </w:t>
      </w:r>
      <w:r w:rsidR="00B56AA0" w:rsidRPr="007B1D0B">
        <w:t>ändringar antagna</w:t>
      </w:r>
      <w:r w:rsidRPr="007B1D0B">
        <w:t xml:space="preserve"> den </w:t>
      </w:r>
      <w:r w:rsidR="0038385D" w:rsidRPr="007B1D0B">
        <w:t xml:space="preserve">1 april </w:t>
      </w:r>
      <w:r w:rsidRPr="007B1D0B">
        <w:t xml:space="preserve">2025 </w:t>
      </w:r>
      <w:r w:rsidR="00B56AA0" w:rsidRPr="007B1D0B">
        <w:t xml:space="preserve">av </w:t>
      </w:r>
      <w:r w:rsidRPr="007B1D0B">
        <w:t>förslaget till Europaparlamentets och rådets beslut om makroekonomiskt stöd till Arabrepubliken Egypten</w:t>
      </w:r>
      <w:bookmarkEnd w:id="5"/>
      <w:r w:rsidRPr="007B1D0B">
        <w:t xml:space="preserve"> </w:t>
      </w:r>
      <w:bookmarkStart w:id="6" w:name="References"/>
      <w:r w:rsidRPr="007B1D0B">
        <w:t>(COM(2024)0461 – C10-0009/2024 – 2024/0071(COD))</w:t>
      </w:r>
      <w:bookmarkEnd w:id="6"/>
      <w:r w:rsidR="00B56AA0" w:rsidRPr="007B1D0B">
        <w:rPr>
          <w:rStyle w:val="FootnoteReference"/>
        </w:rPr>
        <w:footnoteReference w:id="1"/>
      </w:r>
    </w:p>
    <w:p w14:paraId="1FF380C3" w14:textId="77777777" w:rsidR="0097435D" w:rsidRPr="007B1D0B" w:rsidRDefault="0097435D" w:rsidP="0097435D">
      <w:pPr>
        <w:pStyle w:val="NormalBold"/>
      </w:pPr>
      <w:r w:rsidRPr="007B1D0B">
        <w:t>(Ordinarie lagstiftningsförfarande: första behandlingen)</w:t>
      </w:r>
    </w:p>
    <w:p w14:paraId="5B9F6C8A" w14:textId="77777777" w:rsidR="0097435D" w:rsidRPr="007B1D0B" w:rsidRDefault="0097435D" w:rsidP="0097435D">
      <w:pPr>
        <w:widowControl/>
        <w:ind w:left="567" w:hanging="567"/>
      </w:pPr>
    </w:p>
    <w:p w14:paraId="0E13D0B7" w14:textId="77777777" w:rsidR="0097435D" w:rsidRPr="007B1D0B" w:rsidRDefault="00AD5277" w:rsidP="0097435D">
      <w:pPr>
        <w:pStyle w:val="AmNumberTabs"/>
      </w:pPr>
      <w:r w:rsidRPr="007B1D0B">
        <w:t>Ändring</w:t>
      </w:r>
      <w:r w:rsidR="0097435D" w:rsidRPr="007B1D0B">
        <w:tab/>
      </w:r>
      <w:r w:rsidR="0097435D" w:rsidRPr="007B1D0B">
        <w:tab/>
        <w:t>1</w:t>
      </w:r>
    </w:p>
    <w:p w14:paraId="293AA325" w14:textId="77777777" w:rsidR="0097435D" w:rsidRPr="007B1D0B" w:rsidRDefault="0097435D" w:rsidP="0097435D">
      <w:pPr>
        <w:pStyle w:val="NormalBold12b"/>
      </w:pPr>
      <w:r w:rsidRPr="007B1D0B">
        <w:t>Förslag till beslut</w:t>
      </w:r>
    </w:p>
    <w:p w14:paraId="499191CA" w14:textId="77777777" w:rsidR="0097435D" w:rsidRPr="007B1D0B" w:rsidRDefault="0097435D" w:rsidP="0097435D">
      <w:pPr>
        <w:pStyle w:val="NormalBold"/>
      </w:pPr>
      <w:r w:rsidRPr="007B1D0B">
        <w:t>Skäl 1a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4CBF80B6" w14:textId="77777777" w:rsidTr="006A0ED8">
        <w:trPr>
          <w:trHeight w:val="240"/>
          <w:jc w:val="center"/>
        </w:trPr>
        <w:tc>
          <w:tcPr>
            <w:tcW w:w="9752" w:type="dxa"/>
            <w:gridSpan w:val="2"/>
            <w:tcBorders>
              <w:top w:val="nil"/>
              <w:left w:val="nil"/>
              <w:bottom w:val="nil"/>
              <w:right w:val="nil"/>
            </w:tcBorders>
          </w:tcPr>
          <w:p w14:paraId="7092D9EE" w14:textId="77777777" w:rsidR="0097435D" w:rsidRPr="007B1D0B" w:rsidRDefault="0097435D" w:rsidP="006A0ED8"/>
        </w:tc>
      </w:tr>
      <w:tr w:rsidR="0097435D" w:rsidRPr="007B1D0B" w14:paraId="3F3856A6" w14:textId="77777777" w:rsidTr="006A0ED8">
        <w:trPr>
          <w:trHeight w:val="240"/>
          <w:jc w:val="center"/>
        </w:trPr>
        <w:tc>
          <w:tcPr>
            <w:tcW w:w="4876" w:type="dxa"/>
            <w:tcBorders>
              <w:top w:val="nil"/>
              <w:left w:val="nil"/>
              <w:bottom w:val="nil"/>
              <w:right w:val="nil"/>
            </w:tcBorders>
            <w:hideMark/>
          </w:tcPr>
          <w:p w14:paraId="69B9ACB1"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hideMark/>
          </w:tcPr>
          <w:p w14:paraId="1322F5B2" w14:textId="77777777" w:rsidR="0097435D" w:rsidRPr="007B1D0B" w:rsidRDefault="00AD5277" w:rsidP="006A0ED8">
            <w:pPr>
              <w:pStyle w:val="AmColumnHeading"/>
            </w:pPr>
            <w:r w:rsidRPr="007B1D0B">
              <w:t>Ändring</w:t>
            </w:r>
          </w:p>
        </w:tc>
      </w:tr>
      <w:tr w:rsidR="0097435D" w:rsidRPr="007B1D0B" w14:paraId="111B64FE" w14:textId="77777777" w:rsidTr="006A0ED8">
        <w:trPr>
          <w:jc w:val="center"/>
        </w:trPr>
        <w:tc>
          <w:tcPr>
            <w:tcW w:w="4876" w:type="dxa"/>
            <w:tcBorders>
              <w:top w:val="nil"/>
              <w:left w:val="nil"/>
              <w:bottom w:val="nil"/>
              <w:right w:val="nil"/>
            </w:tcBorders>
            <w:hideMark/>
          </w:tcPr>
          <w:p w14:paraId="6F6105DA" w14:textId="77777777" w:rsidR="0097435D" w:rsidRPr="007B1D0B" w:rsidRDefault="0097435D" w:rsidP="006A0ED8">
            <w:pPr>
              <w:pStyle w:val="Normal6a"/>
            </w:pPr>
          </w:p>
        </w:tc>
        <w:tc>
          <w:tcPr>
            <w:tcW w:w="4876" w:type="dxa"/>
            <w:tcBorders>
              <w:top w:val="nil"/>
              <w:left w:val="nil"/>
              <w:bottom w:val="nil"/>
              <w:right w:val="nil"/>
            </w:tcBorders>
            <w:hideMark/>
          </w:tcPr>
          <w:p w14:paraId="782A7D72" w14:textId="77777777" w:rsidR="0097435D" w:rsidRPr="007B1D0B" w:rsidRDefault="0097435D" w:rsidP="006A0ED8">
            <w:pPr>
              <w:pStyle w:val="Normal6a"/>
            </w:pPr>
            <w:r w:rsidRPr="007B1D0B">
              <w:rPr>
                <w:b/>
                <w:i/>
              </w:rPr>
              <w:t>(1a)</w:t>
            </w:r>
            <w:r w:rsidRPr="007B1D0B">
              <w:rPr>
                <w:b/>
                <w:i/>
              </w:rPr>
              <w:tab/>
              <w:t>Detta beslut påverkar unionens budget. Därför har Europaparlamentets budgetutskott antagit en budgetbedömning som utgör en integrerad del av parlamentets förhandlingsmandat.</w:t>
            </w:r>
          </w:p>
        </w:tc>
      </w:tr>
    </w:tbl>
    <w:p w14:paraId="62FE315F" w14:textId="77777777" w:rsidR="0097435D" w:rsidRPr="007B1D0B" w:rsidRDefault="0097435D" w:rsidP="0097435D"/>
    <w:p w14:paraId="4CB90631" w14:textId="77777777" w:rsidR="0097435D" w:rsidRPr="007B1D0B" w:rsidRDefault="00AD5277" w:rsidP="0097435D">
      <w:pPr>
        <w:pStyle w:val="AmNumberTabs"/>
      </w:pPr>
      <w:r w:rsidRPr="007B1D0B">
        <w:t>Ändring</w:t>
      </w:r>
      <w:r w:rsidR="0097435D" w:rsidRPr="007B1D0B">
        <w:tab/>
      </w:r>
      <w:r w:rsidR="0097435D" w:rsidRPr="007B1D0B">
        <w:tab/>
        <w:t>2</w:t>
      </w:r>
    </w:p>
    <w:p w14:paraId="712F693A" w14:textId="77777777" w:rsidR="0097435D" w:rsidRPr="007B1D0B" w:rsidRDefault="0097435D" w:rsidP="0097435D">
      <w:pPr>
        <w:pStyle w:val="NormalBold12b"/>
      </w:pPr>
      <w:r w:rsidRPr="007B1D0B">
        <w:t>Förslag till beslut</w:t>
      </w:r>
    </w:p>
    <w:p w14:paraId="42E4D7B2" w14:textId="77777777" w:rsidR="0097435D" w:rsidRPr="007B1D0B" w:rsidRDefault="0097435D" w:rsidP="0097435D">
      <w:pPr>
        <w:pStyle w:val="NormalBold"/>
      </w:pPr>
      <w:r w:rsidRPr="007B1D0B">
        <w:t>Skäl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392C1380" w14:textId="77777777" w:rsidTr="006A0ED8">
        <w:trPr>
          <w:trHeight w:hRule="exact" w:val="240"/>
          <w:jc w:val="center"/>
        </w:trPr>
        <w:tc>
          <w:tcPr>
            <w:tcW w:w="9752" w:type="dxa"/>
            <w:gridSpan w:val="2"/>
            <w:tcBorders>
              <w:top w:val="nil"/>
              <w:left w:val="nil"/>
              <w:bottom w:val="nil"/>
              <w:right w:val="nil"/>
            </w:tcBorders>
          </w:tcPr>
          <w:p w14:paraId="6033AACB" w14:textId="77777777" w:rsidR="0097435D" w:rsidRPr="007B1D0B" w:rsidRDefault="0097435D" w:rsidP="006A0ED8"/>
        </w:tc>
      </w:tr>
      <w:tr w:rsidR="0097435D" w:rsidRPr="007B1D0B" w14:paraId="2EFE61C5" w14:textId="77777777" w:rsidTr="006A0ED8">
        <w:trPr>
          <w:trHeight w:val="240"/>
          <w:jc w:val="center"/>
        </w:trPr>
        <w:tc>
          <w:tcPr>
            <w:tcW w:w="4876" w:type="dxa"/>
            <w:tcBorders>
              <w:top w:val="nil"/>
              <w:left w:val="nil"/>
              <w:bottom w:val="nil"/>
              <w:right w:val="nil"/>
            </w:tcBorders>
          </w:tcPr>
          <w:p w14:paraId="6AF4E299"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tcPr>
          <w:p w14:paraId="4FA60443" w14:textId="77777777" w:rsidR="0097435D" w:rsidRPr="007B1D0B" w:rsidRDefault="00AD5277" w:rsidP="006A0ED8">
            <w:pPr>
              <w:pStyle w:val="AmColumnHeading"/>
            </w:pPr>
            <w:r w:rsidRPr="007B1D0B">
              <w:t>Ändring</w:t>
            </w:r>
          </w:p>
        </w:tc>
      </w:tr>
      <w:tr w:rsidR="0097435D" w:rsidRPr="007B1D0B" w14:paraId="721AFE86" w14:textId="77777777" w:rsidTr="006A0ED8">
        <w:trPr>
          <w:jc w:val="center"/>
        </w:trPr>
        <w:tc>
          <w:tcPr>
            <w:tcW w:w="4876" w:type="dxa"/>
            <w:tcBorders>
              <w:top w:val="nil"/>
              <w:left w:val="nil"/>
              <w:bottom w:val="nil"/>
              <w:right w:val="nil"/>
            </w:tcBorders>
          </w:tcPr>
          <w:p w14:paraId="6FF99DD4" w14:textId="77777777" w:rsidR="0097435D" w:rsidRPr="007B1D0B" w:rsidRDefault="0097435D" w:rsidP="006A0ED8">
            <w:pPr>
              <w:pStyle w:val="Normal6a"/>
            </w:pPr>
          </w:p>
        </w:tc>
        <w:tc>
          <w:tcPr>
            <w:tcW w:w="4876" w:type="dxa"/>
            <w:tcBorders>
              <w:top w:val="nil"/>
              <w:left w:val="nil"/>
              <w:bottom w:val="nil"/>
              <w:right w:val="nil"/>
            </w:tcBorders>
          </w:tcPr>
          <w:p w14:paraId="5628B0FF" w14:textId="77777777" w:rsidR="0097435D" w:rsidRPr="007B1D0B" w:rsidRDefault="0097435D" w:rsidP="006A0ED8">
            <w:pPr>
              <w:pStyle w:val="Normal6a"/>
            </w:pPr>
            <w:r w:rsidRPr="007B1D0B">
              <w:rPr>
                <w:b/>
                <w:i/>
              </w:rPr>
              <w:t>(2a)</w:t>
            </w:r>
            <w:r w:rsidRPr="007B1D0B">
              <w:tab/>
            </w:r>
            <w:r w:rsidRPr="007B1D0B">
              <w:rPr>
                <w:b/>
                <w:i/>
              </w:rPr>
              <w:t xml:space="preserve">Den 17 mars 2024 beslutade Egypten och EU gemensamt att uppgradera sina förbindelser till ett </w:t>
            </w:r>
            <w:r w:rsidRPr="007B1D0B">
              <w:rPr>
                <w:b/>
                <w:i/>
              </w:rPr>
              <w:lastRenderedPageBreak/>
              <w:t>strategiskt och övergripande partnerskap som bygger på värderingarna rättvisa, ömsesidig respekt och förtroende, för att stärka den gemensamma stabiliteten, freden och välståndet.</w:t>
            </w:r>
          </w:p>
        </w:tc>
      </w:tr>
    </w:tbl>
    <w:p w14:paraId="10A35D5C" w14:textId="77777777" w:rsidR="0097435D" w:rsidRPr="007B1D0B" w:rsidRDefault="0097435D" w:rsidP="0097435D"/>
    <w:p w14:paraId="66413D81" w14:textId="77777777" w:rsidR="00747AD9" w:rsidRPr="007B1D0B" w:rsidRDefault="00AD5277" w:rsidP="00747AD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B1D0B">
        <w:rPr>
          <w:b/>
          <w:szCs w:val="24"/>
          <w:lang w:eastAsia="en-US"/>
        </w:rPr>
        <w:t>Ändring</w:t>
      </w:r>
      <w:r w:rsidR="00A64640" w:rsidRPr="007B1D0B">
        <w:rPr>
          <w:b/>
          <w:szCs w:val="24"/>
          <w:lang w:eastAsia="en-US"/>
        </w:rPr>
        <w:t>ar</w:t>
      </w:r>
      <w:r w:rsidR="00747AD9" w:rsidRPr="007B1D0B">
        <w:rPr>
          <w:b/>
          <w:szCs w:val="24"/>
          <w:lang w:eastAsia="en-US"/>
        </w:rPr>
        <w:tab/>
      </w:r>
      <w:r w:rsidR="00747AD9" w:rsidRPr="007B1D0B">
        <w:rPr>
          <w:b/>
          <w:szCs w:val="24"/>
          <w:lang w:eastAsia="en-US"/>
        </w:rPr>
        <w:tab/>
      </w:r>
      <w:r w:rsidR="0096323A" w:rsidRPr="007B1D0B">
        <w:rPr>
          <w:b/>
          <w:szCs w:val="24"/>
          <w:lang w:eastAsia="en-US"/>
        </w:rPr>
        <w:t xml:space="preserve">3 och </w:t>
      </w:r>
      <w:r w:rsidR="00747AD9" w:rsidRPr="007B1D0B">
        <w:rPr>
          <w:b/>
          <w:szCs w:val="24"/>
          <w:lang w:eastAsia="en-US"/>
        </w:rPr>
        <w:t>39</w:t>
      </w:r>
    </w:p>
    <w:p w14:paraId="6FE168B5" w14:textId="77777777" w:rsidR="00747AD9" w:rsidRPr="007B1D0B" w:rsidRDefault="00747AD9" w:rsidP="00747AD9">
      <w:pPr>
        <w:rPr>
          <w:b/>
          <w:szCs w:val="24"/>
          <w:lang w:eastAsia="en-US"/>
        </w:rPr>
      </w:pPr>
      <w:r w:rsidRPr="007B1D0B">
        <w:rPr>
          <w:b/>
          <w:szCs w:val="24"/>
          <w:lang w:eastAsia="en-US"/>
        </w:rPr>
        <w:t>Förslag till beslut</w:t>
      </w:r>
    </w:p>
    <w:p w14:paraId="357AE8B5" w14:textId="77777777" w:rsidR="00747AD9" w:rsidRPr="007B1D0B" w:rsidRDefault="00747AD9" w:rsidP="00747AD9">
      <w:pPr>
        <w:rPr>
          <w:b/>
          <w:szCs w:val="24"/>
          <w:lang w:eastAsia="en-US"/>
        </w:rPr>
      </w:pPr>
      <w:r w:rsidRPr="007B1D0B">
        <w:rPr>
          <w:b/>
          <w:szCs w:val="24"/>
          <w:lang w:eastAsia="en-US"/>
        </w:rPr>
        <w:t>Skäl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47AD9" w:rsidRPr="007B1D0B" w14:paraId="38229004" w14:textId="77777777" w:rsidTr="00980082">
        <w:trPr>
          <w:trHeight w:hRule="exact" w:val="240"/>
          <w:jc w:val="center"/>
        </w:trPr>
        <w:tc>
          <w:tcPr>
            <w:tcW w:w="9752" w:type="dxa"/>
            <w:gridSpan w:val="2"/>
            <w:tcBorders>
              <w:top w:val="nil"/>
              <w:left w:val="nil"/>
              <w:bottom w:val="nil"/>
              <w:right w:val="nil"/>
            </w:tcBorders>
          </w:tcPr>
          <w:p w14:paraId="473E3275" w14:textId="77777777" w:rsidR="00747AD9" w:rsidRPr="007B1D0B" w:rsidRDefault="00747AD9" w:rsidP="00747AD9">
            <w:pPr>
              <w:rPr>
                <w:szCs w:val="24"/>
                <w:lang w:eastAsia="en-US"/>
              </w:rPr>
            </w:pPr>
          </w:p>
        </w:tc>
      </w:tr>
      <w:tr w:rsidR="00747AD9" w:rsidRPr="007B1D0B" w14:paraId="5AA21341" w14:textId="77777777" w:rsidTr="00980082">
        <w:trPr>
          <w:trHeight w:val="240"/>
          <w:jc w:val="center"/>
        </w:trPr>
        <w:tc>
          <w:tcPr>
            <w:tcW w:w="4876" w:type="dxa"/>
            <w:tcBorders>
              <w:top w:val="nil"/>
              <w:left w:val="nil"/>
              <w:bottom w:val="nil"/>
              <w:right w:val="nil"/>
            </w:tcBorders>
          </w:tcPr>
          <w:p w14:paraId="20FBB74E" w14:textId="77777777" w:rsidR="00747AD9" w:rsidRPr="007B1D0B" w:rsidRDefault="00747AD9" w:rsidP="00747AD9">
            <w:pPr>
              <w:spacing w:after="240"/>
              <w:jc w:val="center"/>
              <w:rPr>
                <w:i/>
                <w:szCs w:val="24"/>
                <w:lang w:eastAsia="en-US"/>
              </w:rPr>
            </w:pPr>
            <w:r w:rsidRPr="007B1D0B">
              <w:rPr>
                <w:i/>
                <w:szCs w:val="24"/>
                <w:lang w:eastAsia="en-US"/>
              </w:rPr>
              <w:t>Kommissionens förslag</w:t>
            </w:r>
          </w:p>
        </w:tc>
        <w:tc>
          <w:tcPr>
            <w:tcW w:w="4876" w:type="dxa"/>
            <w:tcBorders>
              <w:top w:val="nil"/>
              <w:left w:val="nil"/>
              <w:bottom w:val="nil"/>
              <w:right w:val="nil"/>
            </w:tcBorders>
          </w:tcPr>
          <w:p w14:paraId="73B3FA9B" w14:textId="77777777" w:rsidR="00747AD9" w:rsidRPr="007B1D0B" w:rsidRDefault="00AD5277" w:rsidP="00747AD9">
            <w:pPr>
              <w:spacing w:after="240"/>
              <w:jc w:val="center"/>
              <w:rPr>
                <w:i/>
                <w:szCs w:val="24"/>
                <w:lang w:eastAsia="en-US"/>
              </w:rPr>
            </w:pPr>
            <w:r w:rsidRPr="007B1D0B">
              <w:rPr>
                <w:i/>
                <w:szCs w:val="24"/>
                <w:lang w:eastAsia="en-US"/>
              </w:rPr>
              <w:t>Ändring</w:t>
            </w:r>
          </w:p>
        </w:tc>
      </w:tr>
      <w:tr w:rsidR="00747AD9" w:rsidRPr="007B1D0B" w14:paraId="40316E4C" w14:textId="77777777" w:rsidTr="00980082">
        <w:trPr>
          <w:jc w:val="center"/>
        </w:trPr>
        <w:tc>
          <w:tcPr>
            <w:tcW w:w="4876" w:type="dxa"/>
            <w:tcBorders>
              <w:top w:val="nil"/>
              <w:left w:val="nil"/>
              <w:bottom w:val="nil"/>
              <w:right w:val="nil"/>
            </w:tcBorders>
          </w:tcPr>
          <w:p w14:paraId="16C983B3" w14:textId="77777777" w:rsidR="00747AD9" w:rsidRPr="007B1D0B" w:rsidRDefault="00747AD9" w:rsidP="00747AD9">
            <w:pPr>
              <w:spacing w:after="120"/>
              <w:rPr>
                <w:szCs w:val="24"/>
                <w:lang w:eastAsia="en-US"/>
              </w:rPr>
            </w:pPr>
            <w:r w:rsidRPr="007B1D0B">
              <w:rPr>
                <w:szCs w:val="24"/>
                <w:lang w:eastAsia="en-US"/>
              </w:rPr>
              <w:t>(3)</w:t>
            </w:r>
            <w:r w:rsidRPr="007B1D0B">
              <w:rPr>
                <w:szCs w:val="24"/>
                <w:lang w:eastAsia="en-US"/>
              </w:rPr>
              <w:tab/>
              <w:t xml:space="preserve">I linje med prioriteringarna för partnerskapet har EU och Egypten åtagit sig att säkerställa möjlighet till ansvarsutkrävande, rättsstatsprincipen, full respekt för mänskliga rättigheter, grundläggande friheter, främjande av demokrati, jämställdhet och lika möjligheter, som konstitutionella rättigheter för alla sina medborgare. Dessa åtaganden bidrar till att driva partnerskapet framåt samt till hållbar utveckling och stabilitet i Egypten. Det ökade och konstruktiva engagemanget mellan EU och Egypten under den senaste tiden har banat väg för en mer meningsfull dialog om människorättsrelaterade frågor. Mötet i underkommittén för politiska frågor, mänskliga rättigheter och demokrati samt internationella och regionala frågor i december 2022 och mötet i associeringskommittén i maj 2023 utgjorde institutionella plattformar för diskussioner om en rad människorättsfrågor som EU skulle vilja fortsätta och bygga vidare på. </w:t>
            </w:r>
            <w:r w:rsidRPr="007B1D0B">
              <w:rPr>
                <w:b/>
                <w:bCs/>
                <w:i/>
                <w:iCs/>
                <w:szCs w:val="24"/>
                <w:lang w:eastAsia="en-US"/>
              </w:rPr>
              <w:t>Förbättringen</w:t>
            </w:r>
            <w:r w:rsidRPr="007B1D0B">
              <w:rPr>
                <w:szCs w:val="24"/>
                <w:lang w:eastAsia="en-US"/>
              </w:rPr>
              <w:t xml:space="preserve"> av människorättssituationen i Egypten kommer att ha en positiv inverkan på förbindelserna mellan EU och Egypten.</w:t>
            </w:r>
          </w:p>
        </w:tc>
        <w:tc>
          <w:tcPr>
            <w:tcW w:w="4876" w:type="dxa"/>
            <w:tcBorders>
              <w:top w:val="nil"/>
              <w:left w:val="nil"/>
              <w:bottom w:val="nil"/>
              <w:right w:val="nil"/>
            </w:tcBorders>
          </w:tcPr>
          <w:p w14:paraId="4BCE30C2" w14:textId="77777777" w:rsidR="00747AD9" w:rsidRPr="007B1D0B" w:rsidRDefault="00747AD9" w:rsidP="00747AD9">
            <w:pPr>
              <w:spacing w:after="120"/>
              <w:rPr>
                <w:szCs w:val="24"/>
                <w:lang w:eastAsia="en-US"/>
              </w:rPr>
            </w:pPr>
            <w:r w:rsidRPr="007B1D0B">
              <w:rPr>
                <w:szCs w:val="24"/>
                <w:lang w:eastAsia="en-US"/>
              </w:rPr>
              <w:t>(3)</w:t>
            </w:r>
            <w:r w:rsidRPr="007B1D0B">
              <w:rPr>
                <w:szCs w:val="24"/>
                <w:lang w:eastAsia="en-US"/>
              </w:rPr>
              <w:tab/>
              <w:t xml:space="preserve">I linje med prioriteringarna för partnerskapet har EU och Egypten åtagit sig att säkerställa möjlighet till ansvarsutkrävande, rättsstatsprincipen, full respekt för mänskliga rättigheter, grundläggande friheter, främjande av demokrati, jämställdhet och lika möjligheter, som konstitutionella rättigheter för alla sina medborgare. Dessa åtaganden bidrar till att driva partnerskapet framåt samt till hållbar </w:t>
            </w:r>
            <w:r w:rsidRPr="007B1D0B">
              <w:rPr>
                <w:b/>
                <w:bCs/>
                <w:i/>
                <w:iCs/>
                <w:szCs w:val="24"/>
                <w:lang w:eastAsia="en-US"/>
              </w:rPr>
              <w:t>social och ekonomisk</w:t>
            </w:r>
            <w:r w:rsidRPr="007B1D0B">
              <w:rPr>
                <w:szCs w:val="24"/>
                <w:lang w:eastAsia="en-US"/>
              </w:rPr>
              <w:t xml:space="preserve"> utveckling</w:t>
            </w:r>
            <w:r w:rsidR="00AD5277" w:rsidRPr="007B1D0B">
              <w:rPr>
                <w:szCs w:val="24"/>
                <w:lang w:eastAsia="en-US"/>
              </w:rPr>
              <w:t>,</w:t>
            </w:r>
            <w:r w:rsidRPr="007B1D0B">
              <w:rPr>
                <w:szCs w:val="24"/>
                <w:lang w:eastAsia="en-US"/>
              </w:rPr>
              <w:t xml:space="preserve"> </w:t>
            </w:r>
            <w:r w:rsidR="00AD5277" w:rsidRPr="007B1D0B">
              <w:rPr>
                <w:b/>
                <w:i/>
                <w:szCs w:val="24"/>
                <w:lang w:eastAsia="en-US"/>
              </w:rPr>
              <w:t>god samhällsstyrning och socioekonomisk</w:t>
            </w:r>
            <w:r w:rsidR="00AD5277" w:rsidRPr="007B1D0B">
              <w:rPr>
                <w:szCs w:val="24"/>
                <w:lang w:eastAsia="en-US"/>
              </w:rPr>
              <w:t xml:space="preserve"> stabilitet i Egypten</w:t>
            </w:r>
            <w:r w:rsidRPr="007B1D0B">
              <w:rPr>
                <w:szCs w:val="24"/>
                <w:lang w:eastAsia="en-US"/>
              </w:rPr>
              <w:t xml:space="preserve">. Det ökade och konstruktiva engagemanget mellan EU och Egypten under den senaste tiden har banat väg för en mer meningsfull dialog om människorättsrelaterade frågor. Mötet i underkommittén för politiska frågor, mänskliga rättigheter och demokrati samt internationella och regionala frågor i december 2022 och mötet i associeringskommittén i maj 2023 utgjorde institutionella plattformar för diskussioner om en rad människorättsfrågor som EU skulle vilja fortsätta och bygga vidare på. </w:t>
            </w:r>
            <w:r w:rsidRPr="007B1D0B">
              <w:rPr>
                <w:b/>
                <w:bCs/>
                <w:i/>
                <w:iCs/>
                <w:szCs w:val="24"/>
                <w:lang w:eastAsia="en-US"/>
              </w:rPr>
              <w:t>En framtida förbättring</w:t>
            </w:r>
            <w:r w:rsidRPr="007B1D0B">
              <w:rPr>
                <w:szCs w:val="24"/>
                <w:lang w:eastAsia="en-US"/>
              </w:rPr>
              <w:t xml:space="preserve"> av människorättssituationen i Egypten</w:t>
            </w:r>
            <w:r w:rsidRPr="007B1D0B">
              <w:rPr>
                <w:b/>
                <w:bCs/>
                <w:i/>
                <w:iCs/>
                <w:szCs w:val="24"/>
                <w:lang w:eastAsia="en-US"/>
              </w:rPr>
              <w:t>, såsom förbättring av rätten till yttrandefrihet, föreningsfrihet och frihet att delta i fredliga sammankomster, införande av ett moratorium för dödsstraff, bekämpning av tortyr och påtvingade försvinnanden samt förbättring av fängelseförhållandena,</w:t>
            </w:r>
            <w:r w:rsidRPr="007B1D0B">
              <w:rPr>
                <w:szCs w:val="24"/>
                <w:lang w:eastAsia="en-US"/>
              </w:rPr>
              <w:t xml:space="preserve"> kommer att ha en positiv inverkan på förbindelserna mellan EU och Egypten.</w:t>
            </w:r>
          </w:p>
        </w:tc>
      </w:tr>
    </w:tbl>
    <w:p w14:paraId="4361420F" w14:textId="77777777" w:rsidR="0097435D" w:rsidRPr="007B1D0B" w:rsidRDefault="00AD5277" w:rsidP="0097435D">
      <w:pPr>
        <w:pStyle w:val="AmNumberTabs"/>
      </w:pPr>
      <w:r w:rsidRPr="007B1D0B">
        <w:lastRenderedPageBreak/>
        <w:t>Ändring</w:t>
      </w:r>
      <w:r w:rsidR="0097435D" w:rsidRPr="007B1D0B">
        <w:tab/>
      </w:r>
      <w:r w:rsidR="0097435D" w:rsidRPr="007B1D0B">
        <w:tab/>
        <w:t>4</w:t>
      </w:r>
    </w:p>
    <w:p w14:paraId="05301B3C" w14:textId="77777777" w:rsidR="0097435D" w:rsidRPr="007B1D0B" w:rsidRDefault="0097435D" w:rsidP="0097435D">
      <w:pPr>
        <w:pStyle w:val="NormalBold12b"/>
      </w:pPr>
      <w:r w:rsidRPr="007B1D0B">
        <w:t>Förslag till beslut</w:t>
      </w:r>
    </w:p>
    <w:p w14:paraId="219181D9" w14:textId="77777777" w:rsidR="0097435D" w:rsidRPr="007B1D0B" w:rsidRDefault="0097435D" w:rsidP="0097435D">
      <w:pPr>
        <w:pStyle w:val="NormalBold"/>
      </w:pPr>
      <w:r w:rsidRPr="007B1D0B">
        <w:t>Skäl 3a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3AC6A18A" w14:textId="77777777" w:rsidTr="006A0ED8">
        <w:trPr>
          <w:trHeight w:hRule="exact" w:val="240"/>
          <w:jc w:val="center"/>
        </w:trPr>
        <w:tc>
          <w:tcPr>
            <w:tcW w:w="9752" w:type="dxa"/>
            <w:gridSpan w:val="2"/>
            <w:tcBorders>
              <w:top w:val="nil"/>
              <w:left w:val="nil"/>
              <w:bottom w:val="nil"/>
              <w:right w:val="nil"/>
            </w:tcBorders>
          </w:tcPr>
          <w:p w14:paraId="662F2C62" w14:textId="77777777" w:rsidR="0097435D" w:rsidRPr="007B1D0B" w:rsidRDefault="0097435D" w:rsidP="006A0ED8"/>
        </w:tc>
      </w:tr>
      <w:tr w:rsidR="0097435D" w:rsidRPr="007B1D0B" w14:paraId="313A9AD9" w14:textId="77777777" w:rsidTr="006A0ED8">
        <w:trPr>
          <w:trHeight w:val="240"/>
          <w:jc w:val="center"/>
        </w:trPr>
        <w:tc>
          <w:tcPr>
            <w:tcW w:w="4876" w:type="dxa"/>
            <w:tcBorders>
              <w:top w:val="nil"/>
              <w:left w:val="nil"/>
              <w:bottom w:val="nil"/>
              <w:right w:val="nil"/>
            </w:tcBorders>
          </w:tcPr>
          <w:p w14:paraId="71300139"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tcPr>
          <w:p w14:paraId="59ABDC98" w14:textId="77777777" w:rsidR="0097435D" w:rsidRPr="007B1D0B" w:rsidRDefault="00AD5277" w:rsidP="006A0ED8">
            <w:pPr>
              <w:pStyle w:val="AmColumnHeading"/>
            </w:pPr>
            <w:r w:rsidRPr="007B1D0B">
              <w:t>Ändring</w:t>
            </w:r>
          </w:p>
        </w:tc>
      </w:tr>
      <w:tr w:rsidR="0097435D" w:rsidRPr="007B1D0B" w14:paraId="60BC5A33" w14:textId="77777777" w:rsidTr="006A0ED8">
        <w:trPr>
          <w:jc w:val="center"/>
        </w:trPr>
        <w:tc>
          <w:tcPr>
            <w:tcW w:w="4876" w:type="dxa"/>
            <w:tcBorders>
              <w:top w:val="nil"/>
              <w:left w:val="nil"/>
              <w:bottom w:val="nil"/>
              <w:right w:val="nil"/>
            </w:tcBorders>
          </w:tcPr>
          <w:p w14:paraId="30533254" w14:textId="77777777" w:rsidR="0097435D" w:rsidRPr="007B1D0B" w:rsidRDefault="0097435D" w:rsidP="006A0ED8">
            <w:pPr>
              <w:pStyle w:val="Normal6a"/>
            </w:pPr>
          </w:p>
        </w:tc>
        <w:tc>
          <w:tcPr>
            <w:tcW w:w="4876" w:type="dxa"/>
            <w:tcBorders>
              <w:top w:val="nil"/>
              <w:left w:val="nil"/>
              <w:bottom w:val="nil"/>
              <w:right w:val="nil"/>
            </w:tcBorders>
          </w:tcPr>
          <w:p w14:paraId="02BE7C8A" w14:textId="77777777" w:rsidR="0097435D" w:rsidRPr="007B1D0B" w:rsidRDefault="0097435D" w:rsidP="006A0ED8">
            <w:pPr>
              <w:pStyle w:val="Normal6a"/>
            </w:pPr>
            <w:r w:rsidRPr="007B1D0B">
              <w:rPr>
                <w:b/>
                <w:i/>
              </w:rPr>
              <w:t>(3a)</w:t>
            </w:r>
            <w:r w:rsidRPr="007B1D0B">
              <w:tab/>
            </w:r>
            <w:r w:rsidRPr="007B1D0B">
              <w:rPr>
                <w:b/>
                <w:i/>
              </w:rPr>
              <w:t>Egyptens ekonomiska och finansiella situation har präglats av flera makroekonomiska anpassningsprogram som genomförts under IMF:s ledning i utbyte mot kreditfaciliteter (12 miljarder USD under 2016–2019 och 3 miljarder USD under 2022, som ökade till 8 miljarder USD i mars 2024).</w:t>
            </w:r>
          </w:p>
        </w:tc>
      </w:tr>
    </w:tbl>
    <w:p w14:paraId="34DD4CD8" w14:textId="77777777" w:rsidR="0097435D" w:rsidRPr="007B1D0B" w:rsidRDefault="0097435D" w:rsidP="0097435D"/>
    <w:p w14:paraId="28D9BDAE" w14:textId="77777777" w:rsidR="00262AC1" w:rsidRPr="007B1D0B" w:rsidRDefault="00AD5277" w:rsidP="00262AC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B1D0B">
        <w:rPr>
          <w:b/>
          <w:szCs w:val="24"/>
          <w:lang w:eastAsia="en-US"/>
        </w:rPr>
        <w:t>Ändring</w:t>
      </w:r>
      <w:r w:rsidR="00A64640" w:rsidRPr="007B1D0B">
        <w:rPr>
          <w:b/>
          <w:szCs w:val="24"/>
          <w:lang w:eastAsia="en-US"/>
        </w:rPr>
        <w:t>ar</w:t>
      </w:r>
      <w:r w:rsidR="00262AC1" w:rsidRPr="007B1D0B">
        <w:rPr>
          <w:b/>
          <w:szCs w:val="24"/>
          <w:lang w:eastAsia="en-US"/>
        </w:rPr>
        <w:tab/>
      </w:r>
      <w:r w:rsidR="00262AC1" w:rsidRPr="007B1D0B">
        <w:rPr>
          <w:b/>
          <w:szCs w:val="24"/>
          <w:lang w:eastAsia="en-US"/>
        </w:rPr>
        <w:tab/>
      </w:r>
      <w:r w:rsidR="0096323A" w:rsidRPr="007B1D0B">
        <w:rPr>
          <w:b/>
          <w:szCs w:val="24"/>
          <w:lang w:eastAsia="en-US"/>
        </w:rPr>
        <w:t xml:space="preserve">5 och </w:t>
      </w:r>
      <w:r w:rsidR="00262AC1" w:rsidRPr="007B1D0B">
        <w:rPr>
          <w:b/>
          <w:szCs w:val="24"/>
          <w:lang w:eastAsia="en-US"/>
        </w:rPr>
        <w:t>40</w:t>
      </w:r>
    </w:p>
    <w:p w14:paraId="444E936D" w14:textId="77777777" w:rsidR="00262AC1" w:rsidRPr="007B1D0B" w:rsidRDefault="00262AC1" w:rsidP="00262AC1">
      <w:pPr>
        <w:rPr>
          <w:b/>
          <w:szCs w:val="24"/>
          <w:lang w:eastAsia="en-US"/>
        </w:rPr>
      </w:pPr>
      <w:r w:rsidRPr="007B1D0B">
        <w:rPr>
          <w:b/>
          <w:szCs w:val="24"/>
          <w:lang w:eastAsia="en-US"/>
        </w:rPr>
        <w:t>Förslag till beslut</w:t>
      </w:r>
    </w:p>
    <w:p w14:paraId="157AA6EC" w14:textId="77777777" w:rsidR="00262AC1" w:rsidRPr="007B1D0B" w:rsidRDefault="00262AC1" w:rsidP="00262AC1">
      <w:pPr>
        <w:rPr>
          <w:b/>
          <w:szCs w:val="24"/>
          <w:lang w:eastAsia="en-US"/>
        </w:rPr>
      </w:pPr>
      <w:r w:rsidRPr="007B1D0B">
        <w:rPr>
          <w:b/>
          <w:szCs w:val="24"/>
          <w:lang w:eastAsia="en-US"/>
        </w:rPr>
        <w:t>Skäl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2AC1" w:rsidRPr="007B1D0B" w14:paraId="66385AC1" w14:textId="77777777" w:rsidTr="00980082">
        <w:trPr>
          <w:trHeight w:hRule="exact" w:val="240"/>
          <w:jc w:val="center"/>
        </w:trPr>
        <w:tc>
          <w:tcPr>
            <w:tcW w:w="9752" w:type="dxa"/>
            <w:gridSpan w:val="2"/>
            <w:tcBorders>
              <w:top w:val="nil"/>
              <w:left w:val="nil"/>
              <w:bottom w:val="nil"/>
              <w:right w:val="nil"/>
            </w:tcBorders>
          </w:tcPr>
          <w:p w14:paraId="1D627BE9" w14:textId="77777777" w:rsidR="00262AC1" w:rsidRPr="007B1D0B" w:rsidRDefault="00262AC1" w:rsidP="00262AC1">
            <w:pPr>
              <w:rPr>
                <w:szCs w:val="24"/>
                <w:lang w:eastAsia="en-US"/>
              </w:rPr>
            </w:pPr>
          </w:p>
        </w:tc>
      </w:tr>
      <w:tr w:rsidR="00262AC1" w:rsidRPr="007B1D0B" w14:paraId="2E54FA1C" w14:textId="77777777" w:rsidTr="00980082">
        <w:trPr>
          <w:trHeight w:val="240"/>
          <w:jc w:val="center"/>
        </w:trPr>
        <w:tc>
          <w:tcPr>
            <w:tcW w:w="4876" w:type="dxa"/>
            <w:tcBorders>
              <w:top w:val="nil"/>
              <w:left w:val="nil"/>
              <w:bottom w:val="nil"/>
              <w:right w:val="nil"/>
            </w:tcBorders>
          </w:tcPr>
          <w:p w14:paraId="1AFE9866" w14:textId="77777777" w:rsidR="00262AC1" w:rsidRPr="007B1D0B" w:rsidRDefault="00262AC1" w:rsidP="00262AC1">
            <w:pPr>
              <w:spacing w:after="240"/>
              <w:jc w:val="center"/>
              <w:rPr>
                <w:i/>
                <w:szCs w:val="24"/>
                <w:lang w:eastAsia="en-US"/>
              </w:rPr>
            </w:pPr>
            <w:r w:rsidRPr="007B1D0B">
              <w:rPr>
                <w:i/>
                <w:szCs w:val="24"/>
                <w:lang w:eastAsia="en-US"/>
              </w:rPr>
              <w:t>Kommissionens förslag</w:t>
            </w:r>
          </w:p>
        </w:tc>
        <w:tc>
          <w:tcPr>
            <w:tcW w:w="4876" w:type="dxa"/>
            <w:tcBorders>
              <w:top w:val="nil"/>
              <w:left w:val="nil"/>
              <w:bottom w:val="nil"/>
              <w:right w:val="nil"/>
            </w:tcBorders>
          </w:tcPr>
          <w:p w14:paraId="34294551" w14:textId="77777777" w:rsidR="00262AC1" w:rsidRPr="007B1D0B" w:rsidRDefault="00AD5277" w:rsidP="00262AC1">
            <w:pPr>
              <w:spacing w:after="240"/>
              <w:jc w:val="center"/>
              <w:rPr>
                <w:i/>
                <w:szCs w:val="24"/>
                <w:lang w:eastAsia="en-US"/>
              </w:rPr>
            </w:pPr>
            <w:r w:rsidRPr="007B1D0B">
              <w:rPr>
                <w:i/>
                <w:szCs w:val="24"/>
                <w:lang w:eastAsia="en-US"/>
              </w:rPr>
              <w:t>Ändring</w:t>
            </w:r>
          </w:p>
        </w:tc>
      </w:tr>
      <w:tr w:rsidR="00262AC1" w:rsidRPr="007B1D0B" w14:paraId="2BD75C63" w14:textId="77777777" w:rsidTr="00980082">
        <w:trPr>
          <w:jc w:val="center"/>
        </w:trPr>
        <w:tc>
          <w:tcPr>
            <w:tcW w:w="4876" w:type="dxa"/>
            <w:tcBorders>
              <w:top w:val="nil"/>
              <w:left w:val="nil"/>
              <w:bottom w:val="nil"/>
              <w:right w:val="nil"/>
            </w:tcBorders>
          </w:tcPr>
          <w:p w14:paraId="0D0BDB2B" w14:textId="77777777" w:rsidR="00262AC1" w:rsidRPr="007B1D0B" w:rsidRDefault="00262AC1" w:rsidP="00262AC1">
            <w:pPr>
              <w:spacing w:after="120"/>
              <w:rPr>
                <w:szCs w:val="24"/>
                <w:lang w:eastAsia="en-US"/>
              </w:rPr>
            </w:pPr>
            <w:r w:rsidRPr="007B1D0B">
              <w:rPr>
                <w:szCs w:val="24"/>
                <w:lang w:eastAsia="en-US"/>
              </w:rPr>
              <w:t>(5)</w:t>
            </w:r>
            <w:r w:rsidRPr="007B1D0B">
              <w:rPr>
                <w:szCs w:val="24"/>
                <w:lang w:eastAsia="en-US"/>
              </w:rPr>
              <w:tab/>
              <w:t xml:space="preserve">EU erkänner Egyptens centrala roll för den regionala säkerheten och stabiliteten. Terrorism, organiserad brottslighet </w:t>
            </w:r>
            <w:r w:rsidRPr="007B1D0B">
              <w:rPr>
                <w:b/>
                <w:bCs/>
                <w:i/>
                <w:iCs/>
                <w:szCs w:val="24"/>
                <w:lang w:eastAsia="en-US"/>
              </w:rPr>
              <w:t>och</w:t>
            </w:r>
            <w:r w:rsidRPr="007B1D0B">
              <w:rPr>
                <w:szCs w:val="24"/>
                <w:lang w:eastAsia="en-US"/>
              </w:rPr>
              <w:t xml:space="preserve"> konflikter är gemensamma hot mot vår säkerhet och samhällsstrukturerna i nationer på båda sidor av Medelhavet. Därför har EU och Egypten ett gemensamt intresse av att stärka det samarbete som framhålls i prioriteringarna för partnerskapet i full överensstämmelse med internationell rätt, inbegripet mänskliga rättigheter och internationell humanitär rätt.</w:t>
            </w:r>
          </w:p>
        </w:tc>
        <w:tc>
          <w:tcPr>
            <w:tcW w:w="4876" w:type="dxa"/>
            <w:tcBorders>
              <w:top w:val="nil"/>
              <w:left w:val="nil"/>
              <w:bottom w:val="nil"/>
              <w:right w:val="nil"/>
            </w:tcBorders>
          </w:tcPr>
          <w:p w14:paraId="1AE3AFAE" w14:textId="77777777" w:rsidR="00262AC1" w:rsidRPr="007B1D0B" w:rsidRDefault="00262AC1" w:rsidP="00262AC1">
            <w:pPr>
              <w:spacing w:after="120"/>
              <w:rPr>
                <w:szCs w:val="24"/>
                <w:lang w:eastAsia="en-US"/>
              </w:rPr>
            </w:pPr>
            <w:r w:rsidRPr="007B1D0B">
              <w:rPr>
                <w:szCs w:val="24"/>
                <w:lang w:eastAsia="en-US"/>
              </w:rPr>
              <w:t>(5)</w:t>
            </w:r>
            <w:r w:rsidRPr="007B1D0B">
              <w:rPr>
                <w:szCs w:val="24"/>
                <w:lang w:eastAsia="en-US"/>
              </w:rPr>
              <w:tab/>
              <w:t xml:space="preserve">EU erkänner Egyptens centrala roll för den regionala säkerheten och stabiliteten </w:t>
            </w:r>
            <w:r w:rsidRPr="007B1D0B">
              <w:rPr>
                <w:b/>
                <w:bCs/>
                <w:i/>
                <w:iCs/>
                <w:szCs w:val="24"/>
                <w:lang w:eastAsia="en-US"/>
              </w:rPr>
              <w:t>och har ett starkt intresse av att förhindra kortsiktig ekonomisk instabilitet i landet som skulle kunna få mer omfattande konsekvenser och dessutom gynna geopolitiska rivaler</w:t>
            </w:r>
            <w:r w:rsidRPr="007B1D0B">
              <w:rPr>
                <w:szCs w:val="24"/>
                <w:lang w:eastAsia="en-US"/>
              </w:rPr>
              <w:t>. Terrorism, organiserad brottslighet</w:t>
            </w:r>
            <w:r w:rsidRPr="007B1D0B">
              <w:rPr>
                <w:b/>
                <w:bCs/>
                <w:i/>
                <w:iCs/>
                <w:szCs w:val="24"/>
                <w:lang w:eastAsia="en-US"/>
              </w:rPr>
              <w:t xml:space="preserve">, </w:t>
            </w:r>
            <w:r w:rsidR="00F059B7" w:rsidRPr="007B1D0B">
              <w:rPr>
                <w:b/>
                <w:bCs/>
                <w:i/>
                <w:iCs/>
                <w:szCs w:val="24"/>
                <w:lang w:eastAsia="en-US"/>
              </w:rPr>
              <w:t xml:space="preserve">såsom människohandel, irreguljär migration, </w:t>
            </w:r>
            <w:r w:rsidRPr="007B1D0B">
              <w:rPr>
                <w:b/>
                <w:bCs/>
                <w:i/>
                <w:iCs/>
                <w:szCs w:val="24"/>
                <w:lang w:eastAsia="en-US"/>
              </w:rPr>
              <w:t>desinformation</w:t>
            </w:r>
            <w:r w:rsidRPr="007B1D0B">
              <w:rPr>
                <w:szCs w:val="24"/>
                <w:lang w:eastAsia="en-US"/>
              </w:rPr>
              <w:t xml:space="preserve">, konflikter </w:t>
            </w:r>
            <w:r w:rsidRPr="007B1D0B">
              <w:rPr>
                <w:b/>
                <w:bCs/>
                <w:i/>
                <w:iCs/>
                <w:szCs w:val="24"/>
                <w:lang w:eastAsia="en-US"/>
              </w:rPr>
              <w:t>och förföljelse av religiösa och etniska minoriteter </w:t>
            </w:r>
            <w:r w:rsidRPr="007B1D0B">
              <w:rPr>
                <w:szCs w:val="24"/>
                <w:lang w:eastAsia="en-US"/>
              </w:rPr>
              <w:t xml:space="preserve">är gemensamma hot mot vår säkerhet och samhällsstrukturerna i nationer på båda sidor av Medelhavet. </w:t>
            </w:r>
            <w:r w:rsidR="00A64640" w:rsidRPr="007B1D0B">
              <w:rPr>
                <w:b/>
                <w:i/>
                <w:szCs w:val="24"/>
                <w:lang w:eastAsia="en-US"/>
              </w:rPr>
              <w:t xml:space="preserve">På liknande sätt är också energi en av de mest akuta utmaningarna för länder på båda sidor av Medelhavet. Energisamarbete mellan EU och Egypten i östra Medelhavsområdet kan såväl utgöra en källa till ekonomiskt välstånd för regionen som stärka EU:s energitrygghet genom att energiförsörjningen diversifieras och regionalt samarbete uppmuntras. </w:t>
            </w:r>
            <w:r w:rsidR="00A64640" w:rsidRPr="007B1D0B">
              <w:rPr>
                <w:b/>
                <w:bCs/>
                <w:i/>
                <w:iCs/>
                <w:szCs w:val="24"/>
                <w:lang w:eastAsia="en-US"/>
              </w:rPr>
              <w:t xml:space="preserve">I detta avseende fungerar </w:t>
            </w:r>
            <w:proofErr w:type="spellStart"/>
            <w:r w:rsidR="00A64640" w:rsidRPr="007B1D0B">
              <w:rPr>
                <w:b/>
                <w:bCs/>
                <w:i/>
                <w:iCs/>
                <w:szCs w:val="24"/>
                <w:lang w:eastAsia="en-US"/>
              </w:rPr>
              <w:t>East</w:t>
            </w:r>
            <w:proofErr w:type="spellEnd"/>
            <w:r w:rsidR="00A64640" w:rsidRPr="007B1D0B">
              <w:rPr>
                <w:b/>
                <w:bCs/>
                <w:i/>
                <w:iCs/>
                <w:szCs w:val="24"/>
                <w:lang w:eastAsia="en-US"/>
              </w:rPr>
              <w:t xml:space="preserve"> </w:t>
            </w:r>
            <w:proofErr w:type="spellStart"/>
            <w:r w:rsidR="00A64640" w:rsidRPr="007B1D0B">
              <w:rPr>
                <w:b/>
                <w:bCs/>
                <w:i/>
                <w:iCs/>
                <w:szCs w:val="24"/>
                <w:lang w:eastAsia="en-US"/>
              </w:rPr>
              <w:t>Mediterranean</w:t>
            </w:r>
            <w:proofErr w:type="spellEnd"/>
            <w:r w:rsidR="00A64640" w:rsidRPr="007B1D0B">
              <w:rPr>
                <w:b/>
                <w:bCs/>
                <w:i/>
                <w:iCs/>
                <w:szCs w:val="24"/>
                <w:lang w:eastAsia="en-US"/>
              </w:rPr>
              <w:t xml:space="preserve"> Gas Forum som en plattform för positivt regionalt samarbete.</w:t>
            </w:r>
            <w:r w:rsidR="00A64640" w:rsidRPr="007B1D0B">
              <w:rPr>
                <w:szCs w:val="24"/>
                <w:lang w:eastAsia="en-US"/>
              </w:rPr>
              <w:t xml:space="preserve"> </w:t>
            </w:r>
            <w:r w:rsidRPr="007B1D0B">
              <w:rPr>
                <w:szCs w:val="24"/>
                <w:lang w:eastAsia="en-US"/>
              </w:rPr>
              <w:t xml:space="preserve">Därför har EU och Egypten ett gemensamt intresse av att stärka det samarbete som framhålls i </w:t>
            </w:r>
            <w:r w:rsidRPr="007B1D0B">
              <w:rPr>
                <w:szCs w:val="24"/>
                <w:lang w:eastAsia="en-US"/>
              </w:rPr>
              <w:lastRenderedPageBreak/>
              <w:t xml:space="preserve">prioriteringarna för partnerskapet i full överensstämmelse med internationell rätt, inbegripet </w:t>
            </w:r>
            <w:r w:rsidR="00F059B7" w:rsidRPr="007B1D0B">
              <w:rPr>
                <w:b/>
                <w:i/>
                <w:szCs w:val="24"/>
                <w:lang w:eastAsia="en-US"/>
              </w:rPr>
              <w:t>internationell havsrätt,</w:t>
            </w:r>
            <w:r w:rsidR="00F059B7" w:rsidRPr="007B1D0B">
              <w:rPr>
                <w:szCs w:val="24"/>
                <w:lang w:eastAsia="en-US"/>
              </w:rPr>
              <w:t xml:space="preserve"> </w:t>
            </w:r>
            <w:r w:rsidRPr="007B1D0B">
              <w:rPr>
                <w:szCs w:val="24"/>
                <w:lang w:eastAsia="en-US"/>
              </w:rPr>
              <w:t>mänskliga rättigheter och internationell humanitär rätt</w:t>
            </w:r>
            <w:r w:rsidRPr="007B1D0B">
              <w:rPr>
                <w:b/>
                <w:bCs/>
                <w:i/>
                <w:iCs/>
                <w:szCs w:val="24"/>
                <w:lang w:eastAsia="en-US"/>
              </w:rPr>
              <w:t>, och också av att främja gemensamma intressen och hantera gemensamma utmaningar</w:t>
            </w:r>
            <w:r w:rsidRPr="007B1D0B">
              <w:rPr>
                <w:szCs w:val="24"/>
                <w:lang w:eastAsia="en-US"/>
              </w:rPr>
              <w:t>.</w:t>
            </w:r>
          </w:p>
        </w:tc>
      </w:tr>
    </w:tbl>
    <w:p w14:paraId="000001F5" w14:textId="77777777" w:rsidR="0016277B" w:rsidRDefault="0016277B" w:rsidP="0097435D">
      <w:pPr>
        <w:pStyle w:val="AmNumberTabs"/>
      </w:pPr>
    </w:p>
    <w:p w14:paraId="1B57CC21" w14:textId="77777777" w:rsidR="0097435D" w:rsidRPr="007B1D0B" w:rsidRDefault="00AD5277" w:rsidP="0097435D">
      <w:pPr>
        <w:pStyle w:val="AmNumberTabs"/>
      </w:pPr>
      <w:r w:rsidRPr="007B1D0B">
        <w:t>Ändring</w:t>
      </w:r>
      <w:r w:rsidR="0097435D" w:rsidRPr="007B1D0B">
        <w:tab/>
      </w:r>
      <w:r w:rsidR="0097435D" w:rsidRPr="007B1D0B">
        <w:tab/>
        <w:t>6</w:t>
      </w:r>
    </w:p>
    <w:p w14:paraId="123EC357" w14:textId="77777777" w:rsidR="0097435D" w:rsidRPr="007B1D0B" w:rsidRDefault="0097435D" w:rsidP="0097435D"/>
    <w:p w14:paraId="0CD8AE76" w14:textId="77777777" w:rsidR="0097435D" w:rsidRPr="007B1D0B" w:rsidRDefault="0097435D" w:rsidP="0097435D">
      <w:pPr>
        <w:pStyle w:val="NormalBold"/>
        <w:keepNext/>
      </w:pPr>
      <w:r w:rsidRPr="007B1D0B">
        <w:t>Förslag till beslut</w:t>
      </w:r>
    </w:p>
    <w:p w14:paraId="6FA98DC7" w14:textId="77777777" w:rsidR="0097435D" w:rsidRPr="007B1D0B" w:rsidRDefault="0097435D" w:rsidP="0097435D">
      <w:pPr>
        <w:pStyle w:val="NormalBold"/>
      </w:pPr>
      <w:r w:rsidRPr="007B1D0B">
        <w:t>Skäl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5C55CF75" w14:textId="77777777" w:rsidTr="006A0ED8">
        <w:trPr>
          <w:jc w:val="center"/>
        </w:trPr>
        <w:tc>
          <w:tcPr>
            <w:tcW w:w="9752" w:type="dxa"/>
            <w:gridSpan w:val="2"/>
          </w:tcPr>
          <w:p w14:paraId="56B0EBE0" w14:textId="77777777" w:rsidR="0097435D" w:rsidRPr="007B1D0B" w:rsidRDefault="0097435D" w:rsidP="006A0ED8">
            <w:pPr>
              <w:keepNext/>
            </w:pPr>
          </w:p>
        </w:tc>
      </w:tr>
      <w:tr w:rsidR="0097435D" w:rsidRPr="007B1D0B" w14:paraId="500814DE" w14:textId="77777777" w:rsidTr="006A0ED8">
        <w:trPr>
          <w:jc w:val="center"/>
        </w:trPr>
        <w:tc>
          <w:tcPr>
            <w:tcW w:w="4876" w:type="dxa"/>
            <w:hideMark/>
          </w:tcPr>
          <w:p w14:paraId="6304A899" w14:textId="77777777" w:rsidR="0097435D" w:rsidRPr="007B1D0B" w:rsidRDefault="0097435D" w:rsidP="006A0ED8">
            <w:pPr>
              <w:pStyle w:val="ColumnHeading"/>
              <w:keepNext/>
            </w:pPr>
            <w:r w:rsidRPr="007B1D0B">
              <w:t>Kommissionens förslag</w:t>
            </w:r>
          </w:p>
        </w:tc>
        <w:tc>
          <w:tcPr>
            <w:tcW w:w="4876" w:type="dxa"/>
            <w:hideMark/>
          </w:tcPr>
          <w:p w14:paraId="44C4E167" w14:textId="77777777" w:rsidR="0097435D" w:rsidRPr="007B1D0B" w:rsidRDefault="00AD5277" w:rsidP="006A0ED8">
            <w:pPr>
              <w:pStyle w:val="ColumnHeading"/>
              <w:keepNext/>
            </w:pPr>
            <w:r w:rsidRPr="007B1D0B">
              <w:t>Ändring</w:t>
            </w:r>
          </w:p>
        </w:tc>
      </w:tr>
      <w:tr w:rsidR="0097435D" w:rsidRPr="007B1D0B" w14:paraId="6EC0026D" w14:textId="77777777" w:rsidTr="006A0ED8">
        <w:trPr>
          <w:jc w:val="center"/>
        </w:trPr>
        <w:tc>
          <w:tcPr>
            <w:tcW w:w="4876" w:type="dxa"/>
            <w:hideMark/>
          </w:tcPr>
          <w:p w14:paraId="61156A6E" w14:textId="77777777" w:rsidR="0097435D" w:rsidRPr="007B1D0B" w:rsidRDefault="0097435D" w:rsidP="006A0ED8">
            <w:pPr>
              <w:pStyle w:val="Normal6"/>
            </w:pPr>
            <w:r w:rsidRPr="007B1D0B">
              <w:t>(6)</w:t>
            </w:r>
            <w:r w:rsidRPr="007B1D0B">
              <w:tab/>
              <w:t xml:space="preserve">Med hänsyn till de geopolitiska utmaningarna, såsom </w:t>
            </w:r>
            <w:r w:rsidRPr="007B1D0B">
              <w:rPr>
                <w:b/>
                <w:bCs/>
                <w:i/>
                <w:iCs/>
              </w:rPr>
              <w:t>konsekvenserna av</w:t>
            </w:r>
            <w:r w:rsidRPr="007B1D0B">
              <w:t xml:space="preserve"> Hamas terroristattacker i Israel den 7 oktober 2023 och konflikten i Sudan, och Egyptens strategiska betydelse som det största landet i regionen och en pelare för stabilitet för hela Mellanöstern, </w:t>
            </w:r>
            <w:r w:rsidRPr="007B1D0B">
              <w:rPr>
                <w:b/>
                <w:bCs/>
                <w:i/>
                <w:iCs/>
              </w:rPr>
              <w:t>håller</w:t>
            </w:r>
            <w:r w:rsidRPr="007B1D0B">
              <w:t xml:space="preserve"> unionen </w:t>
            </w:r>
            <w:r w:rsidRPr="007B1D0B">
              <w:rPr>
                <w:b/>
                <w:bCs/>
                <w:i/>
                <w:iCs/>
              </w:rPr>
              <w:t>på att ingå</w:t>
            </w:r>
            <w:r w:rsidRPr="007B1D0B">
              <w:t xml:space="preserve"> det strategiska och övergripande partnerskap med Egypten som beskrevs i den gemensamma förklaringen.</w:t>
            </w:r>
          </w:p>
        </w:tc>
        <w:tc>
          <w:tcPr>
            <w:tcW w:w="4876" w:type="dxa"/>
            <w:hideMark/>
          </w:tcPr>
          <w:p w14:paraId="0DA0D960" w14:textId="77777777" w:rsidR="0097435D" w:rsidRPr="007B1D0B" w:rsidRDefault="0097435D" w:rsidP="006A0ED8">
            <w:pPr>
              <w:pStyle w:val="Normal6"/>
              <w:rPr>
                <w:szCs w:val="24"/>
              </w:rPr>
            </w:pPr>
            <w:r w:rsidRPr="007B1D0B">
              <w:t>(6)</w:t>
            </w:r>
            <w:r w:rsidRPr="007B1D0B">
              <w:tab/>
              <w:t xml:space="preserve">Med hänsyn till de </w:t>
            </w:r>
            <w:r w:rsidRPr="007B1D0B">
              <w:rPr>
                <w:b/>
                <w:bCs/>
                <w:i/>
                <w:iCs/>
              </w:rPr>
              <w:t>globala och regionala</w:t>
            </w:r>
            <w:r w:rsidRPr="007B1D0B">
              <w:t xml:space="preserve"> geopolitiska utmaningarna, såsom </w:t>
            </w:r>
            <w:r w:rsidRPr="007B1D0B">
              <w:rPr>
                <w:b/>
                <w:bCs/>
                <w:i/>
                <w:iCs/>
              </w:rPr>
              <w:t>den humanitära krisen i Gaza efter</w:t>
            </w:r>
            <w:r w:rsidRPr="007B1D0B">
              <w:t xml:space="preserve"> Hamas terroristattacker i Israel den 7 oktober 2023</w:t>
            </w:r>
            <w:r w:rsidRPr="007B1D0B">
              <w:rPr>
                <w:b/>
                <w:bCs/>
                <w:i/>
                <w:iCs/>
              </w:rPr>
              <w:t xml:space="preserve">, de ökade spänningarna på Afrikas horn </w:t>
            </w:r>
            <w:r w:rsidRPr="007B1D0B">
              <w:t>och</w:t>
            </w:r>
            <w:r w:rsidRPr="007B1D0B">
              <w:rPr>
                <w:b/>
                <w:bCs/>
                <w:i/>
                <w:iCs/>
              </w:rPr>
              <w:t xml:space="preserve"> navigationssäkerheten i Röda havet och Suezkanalen samt migrationstrycket från</w:t>
            </w:r>
            <w:r w:rsidRPr="007B1D0B">
              <w:t xml:space="preserve"> konflikten i Sudan, </w:t>
            </w:r>
            <w:r w:rsidRPr="007B1D0B">
              <w:rPr>
                <w:b/>
                <w:bCs/>
                <w:i/>
                <w:iCs/>
              </w:rPr>
              <w:t>den osäkra situationen i Syrien, instabiliteten i Libyen,</w:t>
            </w:r>
            <w:r w:rsidRPr="007B1D0B">
              <w:t xml:space="preserve"> </w:t>
            </w:r>
            <w:r w:rsidRPr="007B1D0B">
              <w:rPr>
                <w:b/>
                <w:bCs/>
                <w:i/>
                <w:iCs/>
              </w:rPr>
              <w:t>Egyptens ansvar som värdland för ett stort antal flyktingar och migranter,</w:t>
            </w:r>
            <w:r w:rsidRPr="007B1D0B">
              <w:t xml:space="preserve"> och Egyptens strategiska betydelse som det största landet i regionen och en pelare för stabilitet för hela Mellanöstern, </w:t>
            </w:r>
            <w:r w:rsidRPr="007B1D0B">
              <w:rPr>
                <w:b/>
                <w:bCs/>
                <w:i/>
                <w:iCs/>
              </w:rPr>
              <w:t>har</w:t>
            </w:r>
            <w:r w:rsidRPr="007B1D0B">
              <w:t xml:space="preserve"> unionen</w:t>
            </w:r>
            <w:r w:rsidRPr="007B1D0B">
              <w:rPr>
                <w:b/>
                <w:bCs/>
                <w:i/>
                <w:iCs/>
              </w:rPr>
              <w:t xml:space="preserve"> inlett</w:t>
            </w:r>
            <w:r w:rsidRPr="007B1D0B">
              <w:t xml:space="preserve"> det strategiska och övergripande partnerskap med Egypten som beskrevs i den gemensamma förklaringen.</w:t>
            </w:r>
          </w:p>
        </w:tc>
      </w:tr>
    </w:tbl>
    <w:p w14:paraId="572A0589" w14:textId="77777777" w:rsidR="0097435D" w:rsidRPr="007B1D0B" w:rsidRDefault="0097435D" w:rsidP="0097435D"/>
    <w:p w14:paraId="02232F04" w14:textId="77777777" w:rsidR="0097435D" w:rsidRPr="007B1D0B" w:rsidRDefault="00AD5277" w:rsidP="0097435D">
      <w:pPr>
        <w:pStyle w:val="AmNumberTabs"/>
      </w:pPr>
      <w:r w:rsidRPr="007B1D0B">
        <w:t>Ändring</w:t>
      </w:r>
      <w:r w:rsidR="0097435D" w:rsidRPr="007B1D0B">
        <w:tab/>
      </w:r>
      <w:r w:rsidR="0097435D" w:rsidRPr="007B1D0B">
        <w:tab/>
        <w:t>7</w:t>
      </w:r>
    </w:p>
    <w:p w14:paraId="1ACF628E" w14:textId="77777777" w:rsidR="0097435D" w:rsidRPr="007B1D0B" w:rsidRDefault="0097435D" w:rsidP="0097435D"/>
    <w:p w14:paraId="21049A9C" w14:textId="77777777" w:rsidR="0097435D" w:rsidRPr="007B1D0B" w:rsidRDefault="0097435D" w:rsidP="0097435D">
      <w:pPr>
        <w:pStyle w:val="NormalBold"/>
        <w:keepNext/>
      </w:pPr>
      <w:r w:rsidRPr="007B1D0B">
        <w:t>Förslag till beslut</w:t>
      </w:r>
    </w:p>
    <w:p w14:paraId="48AC25EB" w14:textId="77777777" w:rsidR="0097435D" w:rsidRPr="007B1D0B" w:rsidRDefault="0097435D" w:rsidP="0097435D">
      <w:pPr>
        <w:pStyle w:val="NormalBold"/>
      </w:pPr>
      <w:r w:rsidRPr="007B1D0B">
        <w:t>Skäl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5E68D059" w14:textId="77777777" w:rsidTr="006A0ED8">
        <w:trPr>
          <w:jc w:val="center"/>
        </w:trPr>
        <w:tc>
          <w:tcPr>
            <w:tcW w:w="9752" w:type="dxa"/>
            <w:gridSpan w:val="2"/>
          </w:tcPr>
          <w:p w14:paraId="0F377AA5" w14:textId="77777777" w:rsidR="0097435D" w:rsidRPr="007B1D0B" w:rsidRDefault="0097435D" w:rsidP="006A0ED8">
            <w:pPr>
              <w:keepNext/>
            </w:pPr>
          </w:p>
        </w:tc>
      </w:tr>
      <w:tr w:rsidR="0097435D" w:rsidRPr="007B1D0B" w14:paraId="36545E97" w14:textId="77777777" w:rsidTr="006A0ED8">
        <w:trPr>
          <w:jc w:val="center"/>
        </w:trPr>
        <w:tc>
          <w:tcPr>
            <w:tcW w:w="4876" w:type="dxa"/>
            <w:hideMark/>
          </w:tcPr>
          <w:p w14:paraId="760DE050" w14:textId="77777777" w:rsidR="0097435D" w:rsidRPr="007B1D0B" w:rsidRDefault="0097435D" w:rsidP="006A0ED8">
            <w:pPr>
              <w:pStyle w:val="ColumnHeading"/>
              <w:keepNext/>
            </w:pPr>
            <w:r w:rsidRPr="007B1D0B">
              <w:t>Kommissionens förslag</w:t>
            </w:r>
          </w:p>
        </w:tc>
        <w:tc>
          <w:tcPr>
            <w:tcW w:w="4876" w:type="dxa"/>
            <w:hideMark/>
          </w:tcPr>
          <w:p w14:paraId="0D63522E" w14:textId="77777777" w:rsidR="0097435D" w:rsidRPr="007B1D0B" w:rsidRDefault="00AD5277" w:rsidP="006A0ED8">
            <w:pPr>
              <w:pStyle w:val="ColumnHeading"/>
              <w:keepNext/>
            </w:pPr>
            <w:r w:rsidRPr="007B1D0B">
              <w:t>Ändring</w:t>
            </w:r>
          </w:p>
        </w:tc>
      </w:tr>
      <w:tr w:rsidR="0097435D" w:rsidRPr="007B1D0B" w14:paraId="61C99CCE" w14:textId="77777777" w:rsidTr="006A0ED8">
        <w:trPr>
          <w:jc w:val="center"/>
        </w:trPr>
        <w:tc>
          <w:tcPr>
            <w:tcW w:w="4876" w:type="dxa"/>
            <w:hideMark/>
          </w:tcPr>
          <w:p w14:paraId="5DBDA351" w14:textId="77777777" w:rsidR="0097435D" w:rsidRPr="007B1D0B" w:rsidRDefault="0097435D" w:rsidP="006A0ED8">
            <w:pPr>
              <w:pStyle w:val="Normal6"/>
            </w:pPr>
            <w:r w:rsidRPr="007B1D0B">
              <w:t>(7)</w:t>
            </w:r>
            <w:r w:rsidRPr="007B1D0B">
              <w:tab/>
              <w:t xml:space="preserve">Målet för det strategiska och övergripande partnerskapet med Egypten är att upphöja de politiska förbindelserna mellan EU och Egypten till ett strategiskt partnerskap och göra det möjligt för Egypten att fullgöra sin nyckelroll när det </w:t>
            </w:r>
            <w:r w:rsidRPr="007B1D0B">
              <w:lastRenderedPageBreak/>
              <w:t>gäller att skapa stabilitet i regionen. Partnerskapet syftar till att bidra till att stödja Egyptens makroekonomiska resiliens och möjliggöra genomförandet av ambitiösa socioekonomiska reformer på ett sätt som kompletterar och förstärker den reformprocess som planeras inom ramen för IMF-programmet för Egypten. Partnerskapet kommer i enlighet med beskrivningen i den gemensamma förklaringen att omfatta ett stort antal politiska åtgärder indelade i sex insatsområden: politiska förbindelser, ekonomisk stabilitet, investeringar och handel, migration, säkerhets- och brottsbekämpningssamarbete, samt demografi och humankapital.</w:t>
            </w:r>
          </w:p>
        </w:tc>
        <w:tc>
          <w:tcPr>
            <w:tcW w:w="4876" w:type="dxa"/>
            <w:hideMark/>
          </w:tcPr>
          <w:p w14:paraId="4F2F39CF" w14:textId="77777777" w:rsidR="0097435D" w:rsidRPr="007B1D0B" w:rsidRDefault="0097435D" w:rsidP="006A0ED8">
            <w:pPr>
              <w:pStyle w:val="Normal6"/>
              <w:rPr>
                <w:szCs w:val="24"/>
              </w:rPr>
            </w:pPr>
            <w:r w:rsidRPr="007B1D0B">
              <w:lastRenderedPageBreak/>
              <w:t>(7)</w:t>
            </w:r>
            <w:r w:rsidRPr="007B1D0B">
              <w:tab/>
              <w:t xml:space="preserve">Målet för det strategiska och övergripande partnerskapet med Egypten är att upphöja de politiska förbindelserna mellan EU och Egypten till ett strategiskt partnerskap och göra det möjligt för Egypten att fullgöra sin nyckelroll när det </w:t>
            </w:r>
            <w:r w:rsidRPr="007B1D0B">
              <w:lastRenderedPageBreak/>
              <w:t>gäller att skapa stabilitet i regionen</w:t>
            </w:r>
            <w:r w:rsidRPr="007B1D0B">
              <w:rPr>
                <w:b/>
                <w:bCs/>
                <w:i/>
                <w:iCs/>
              </w:rPr>
              <w:t>, Mellanöstern och Nordafrika</w:t>
            </w:r>
            <w:r w:rsidRPr="007B1D0B">
              <w:t xml:space="preserve">. Partnerskapet syftar till att bidra till att stödja Egyptens makroekonomiska resiliens och möjliggöra genomförandet av ambitiösa socioekonomiska reformer på ett sätt som kompletterar och förstärker den reformprocess som planeras inom ramen för IMF-programmet för Egypten. Partnerskapet kommer i enlighet med beskrivningen i den gemensamma förklaringen att omfatta ett stort antal politiska åtgärder indelade i sex insatsområden: politiska förbindelser, ekonomisk stabilitet, investeringar och handel, </w:t>
            </w:r>
            <w:r w:rsidRPr="007B1D0B">
              <w:rPr>
                <w:b/>
                <w:bCs/>
                <w:i/>
                <w:iCs/>
              </w:rPr>
              <w:t>irreguljär</w:t>
            </w:r>
            <w:r w:rsidRPr="007B1D0B">
              <w:t xml:space="preserve"> migration </w:t>
            </w:r>
            <w:r w:rsidRPr="007B1D0B">
              <w:rPr>
                <w:b/>
                <w:bCs/>
                <w:i/>
                <w:iCs/>
              </w:rPr>
              <w:t>och rörlighet med avseende på mänskliga rättigheter</w:t>
            </w:r>
            <w:r w:rsidRPr="007B1D0B">
              <w:t xml:space="preserve">, säkerhets- och brottsbekämpningssamarbete, samt demografi och humankapital. </w:t>
            </w:r>
            <w:r w:rsidRPr="007B1D0B">
              <w:rPr>
                <w:b/>
                <w:i/>
              </w:rPr>
              <w:t>Ett sådant strategiskt och omfattande partnerskap bör utvecklas i linje med initiativ på unionsnivå och medlemsstatsnivå, såsom Global Gateway och Mattei-planen för Afrika.</w:t>
            </w:r>
          </w:p>
        </w:tc>
      </w:tr>
    </w:tbl>
    <w:p w14:paraId="0E91662D" w14:textId="77777777" w:rsidR="0097435D" w:rsidRPr="007B1D0B" w:rsidRDefault="0097435D" w:rsidP="0097435D"/>
    <w:p w14:paraId="7B098FEE" w14:textId="77777777" w:rsidR="0097435D" w:rsidRPr="007B1D0B" w:rsidRDefault="00AD5277" w:rsidP="0097435D">
      <w:pPr>
        <w:pStyle w:val="AmNumberTabs"/>
      </w:pPr>
      <w:r w:rsidRPr="007B1D0B">
        <w:t>Ändring</w:t>
      </w:r>
      <w:r w:rsidR="0097435D" w:rsidRPr="007B1D0B">
        <w:tab/>
      </w:r>
      <w:r w:rsidR="0097435D" w:rsidRPr="007B1D0B">
        <w:tab/>
        <w:t>8</w:t>
      </w:r>
    </w:p>
    <w:p w14:paraId="38E39785" w14:textId="77777777" w:rsidR="0097435D" w:rsidRPr="007B1D0B" w:rsidRDefault="0097435D" w:rsidP="0097435D"/>
    <w:p w14:paraId="0E389F1D" w14:textId="77777777" w:rsidR="0097435D" w:rsidRPr="007B1D0B" w:rsidRDefault="0097435D" w:rsidP="0097435D">
      <w:pPr>
        <w:pStyle w:val="NormalBold"/>
        <w:keepNext/>
      </w:pPr>
      <w:r w:rsidRPr="007B1D0B">
        <w:t>Förslag till beslut</w:t>
      </w:r>
    </w:p>
    <w:p w14:paraId="2D3CCE30" w14:textId="77777777" w:rsidR="0097435D" w:rsidRPr="007B1D0B" w:rsidRDefault="0097435D" w:rsidP="0097435D">
      <w:pPr>
        <w:pStyle w:val="NormalBold"/>
      </w:pPr>
      <w:r w:rsidRPr="007B1D0B">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049EC070" w14:textId="77777777" w:rsidTr="006A0ED8">
        <w:trPr>
          <w:jc w:val="center"/>
        </w:trPr>
        <w:tc>
          <w:tcPr>
            <w:tcW w:w="9752" w:type="dxa"/>
            <w:gridSpan w:val="2"/>
          </w:tcPr>
          <w:p w14:paraId="10BED930" w14:textId="77777777" w:rsidR="0097435D" w:rsidRPr="007B1D0B" w:rsidRDefault="0097435D" w:rsidP="006A0ED8">
            <w:pPr>
              <w:keepNext/>
            </w:pPr>
          </w:p>
        </w:tc>
      </w:tr>
      <w:tr w:rsidR="0097435D" w:rsidRPr="007B1D0B" w14:paraId="4152EED0" w14:textId="77777777" w:rsidTr="006A0ED8">
        <w:trPr>
          <w:jc w:val="center"/>
        </w:trPr>
        <w:tc>
          <w:tcPr>
            <w:tcW w:w="4876" w:type="dxa"/>
            <w:hideMark/>
          </w:tcPr>
          <w:p w14:paraId="59492C6D" w14:textId="77777777" w:rsidR="0097435D" w:rsidRPr="007B1D0B" w:rsidRDefault="0097435D" w:rsidP="006A0ED8">
            <w:pPr>
              <w:pStyle w:val="ColumnHeading"/>
              <w:keepNext/>
            </w:pPr>
            <w:r w:rsidRPr="007B1D0B">
              <w:t>Kommissionens förslag</w:t>
            </w:r>
          </w:p>
        </w:tc>
        <w:tc>
          <w:tcPr>
            <w:tcW w:w="4876" w:type="dxa"/>
            <w:hideMark/>
          </w:tcPr>
          <w:p w14:paraId="673A4416" w14:textId="77777777" w:rsidR="0097435D" w:rsidRPr="007B1D0B" w:rsidRDefault="00AD5277" w:rsidP="006A0ED8">
            <w:pPr>
              <w:pStyle w:val="ColumnHeading"/>
              <w:keepNext/>
            </w:pPr>
            <w:r w:rsidRPr="007B1D0B">
              <w:t>Ändring</w:t>
            </w:r>
          </w:p>
        </w:tc>
      </w:tr>
      <w:tr w:rsidR="0097435D" w:rsidRPr="007B1D0B" w14:paraId="79009D88" w14:textId="77777777" w:rsidTr="006A0ED8">
        <w:trPr>
          <w:jc w:val="center"/>
        </w:trPr>
        <w:tc>
          <w:tcPr>
            <w:tcW w:w="4876" w:type="dxa"/>
            <w:hideMark/>
          </w:tcPr>
          <w:p w14:paraId="25A06DD7" w14:textId="77777777" w:rsidR="0097435D" w:rsidRPr="007B1D0B" w:rsidRDefault="0097435D" w:rsidP="006A0ED8">
            <w:pPr>
              <w:pStyle w:val="Normal6"/>
            </w:pPr>
            <w:r w:rsidRPr="007B1D0B">
              <w:t>(8)</w:t>
            </w:r>
            <w:r w:rsidRPr="007B1D0B">
              <w:tab/>
              <w:t xml:space="preserve">Partnerskapet </w:t>
            </w:r>
            <w:r w:rsidRPr="007B1D0B">
              <w:rPr>
                <w:b/>
                <w:bCs/>
                <w:i/>
                <w:iCs/>
              </w:rPr>
              <w:t>kommer att bygga</w:t>
            </w:r>
            <w:r w:rsidRPr="007B1D0B">
              <w:t xml:space="preserve"> på ett finansiellt paket på 7,4 miljarder euro som består av kort- och långsiktigt stöd till den nödvändiga makrofinansiella och socioekonomiska reformagendan samt ökade belopp för att stödja investeringar i Egypten och riktat stöd för genomförandet av de olika strategiska prioriteringarna. En del av stödpaketet är EU:s makroekonomiska stödpaket på upp till 5 miljarder euro i lån, som består av två makroekonomiska stödinsatser, en kortfristig åtgärd på upp till 1 miljard euro och en vanlig, mer medelfristig insats på upp till 4 miljarder euro, och finansieringsinstrument, såsom garantier </w:t>
            </w:r>
            <w:r w:rsidRPr="007B1D0B">
              <w:lastRenderedPageBreak/>
              <w:t>och blandfinansieringsinstrument, som syftar till att mobilisera offentliga och privata investeringar i syfte att generera betydande nya investeringar. Detta kommer att kompletteras med program för att stödja särskilda prioriteringar inom ramen för det strategiska och övergripande partnerskapet genom enskilda projekt och tekniskt stöd som genomförs inom ramen för instrumentet för grannskapet, utvecklingssamarbete och internationellt samarbete – Europa i världen</w:t>
            </w:r>
            <w:r w:rsidRPr="007B1D0B">
              <w:rPr>
                <w:vertAlign w:val="superscript"/>
              </w:rPr>
              <w:t>2</w:t>
            </w:r>
            <w:r w:rsidRPr="007B1D0B">
              <w:t>.</w:t>
            </w:r>
          </w:p>
        </w:tc>
        <w:tc>
          <w:tcPr>
            <w:tcW w:w="4876" w:type="dxa"/>
            <w:hideMark/>
          </w:tcPr>
          <w:p w14:paraId="16A2A780" w14:textId="77777777" w:rsidR="0097435D" w:rsidRPr="007B1D0B" w:rsidRDefault="0097435D" w:rsidP="006A0ED8">
            <w:pPr>
              <w:pStyle w:val="Normal6"/>
              <w:rPr>
                <w:szCs w:val="24"/>
              </w:rPr>
            </w:pPr>
            <w:r w:rsidRPr="007B1D0B">
              <w:lastRenderedPageBreak/>
              <w:t>(8)</w:t>
            </w:r>
            <w:r w:rsidRPr="007B1D0B">
              <w:tab/>
              <w:t xml:space="preserve">Partnerskapet </w:t>
            </w:r>
            <w:r w:rsidRPr="007B1D0B">
              <w:rPr>
                <w:b/>
                <w:bCs/>
                <w:i/>
                <w:iCs/>
              </w:rPr>
              <w:t>bygger</w:t>
            </w:r>
            <w:r w:rsidRPr="007B1D0B">
              <w:t xml:space="preserve"> på ett finansiellt paket på 7,4 miljarder euro som består av kort- och långsiktigt stöd till den nödvändiga makrofinansiella och socioekonomiska reformagendan samt ökade belopp för att stödja investeringar i Egypten och riktat stöd för genomförandet av de olika strategiska prioriteringarna</w:t>
            </w:r>
            <w:r w:rsidRPr="007B1D0B">
              <w:rPr>
                <w:b/>
                <w:bCs/>
                <w:i/>
                <w:iCs/>
              </w:rPr>
              <w:t>, särskilt när det gäller irreguljär migration och förnybar energi</w:t>
            </w:r>
            <w:r w:rsidRPr="007B1D0B">
              <w:t xml:space="preserve">. En del av stödpaketet är EU:s makroekonomiska stödpaket på upp till 5 miljarder euro i </w:t>
            </w:r>
            <w:r w:rsidRPr="007B1D0B">
              <w:rPr>
                <w:b/>
                <w:bCs/>
                <w:i/>
                <w:iCs/>
              </w:rPr>
              <w:t>subventionerade</w:t>
            </w:r>
            <w:r w:rsidRPr="007B1D0B">
              <w:t xml:space="preserve"> lån, som består av två makroekonomiska stödinsatser, en kortfristig åtgärd på upp till 1 miljard euro och en vanlig, mer medelfristig insats på upp till 4 miljarder </w:t>
            </w:r>
            <w:r w:rsidRPr="007B1D0B">
              <w:lastRenderedPageBreak/>
              <w:t xml:space="preserve">euro, och finansieringsinstrument, såsom garantier och blandfinansieringsinstrument, som syftar till att mobilisera offentliga och privata investeringar </w:t>
            </w:r>
            <w:r w:rsidRPr="007B1D0B">
              <w:rPr>
                <w:b/>
                <w:bCs/>
                <w:i/>
                <w:iCs/>
              </w:rPr>
              <w:t>som gynnar flertalet egyptier</w:t>
            </w:r>
            <w:r w:rsidRPr="007B1D0B">
              <w:t xml:space="preserve"> i syfte att generera betydande nya investeringar. Detta kommer att kompletteras med program för att stödja särskilda prioriteringar inom ramen för det strategiska och övergripande partnerskapet genom enskilda projekt och tekniskt stöd som genomförs inom ramen för instrumentet för grannskapet, utvecklingssamarbete och internationellt samarbete – Europa i världen</w:t>
            </w:r>
            <w:r w:rsidRPr="007B1D0B">
              <w:rPr>
                <w:vertAlign w:val="superscript"/>
              </w:rPr>
              <w:t>2</w:t>
            </w:r>
            <w:r w:rsidRPr="007B1D0B">
              <w:t>.</w:t>
            </w:r>
          </w:p>
        </w:tc>
      </w:tr>
      <w:tr w:rsidR="0097435D" w:rsidRPr="007B1D0B" w14:paraId="6445692A" w14:textId="77777777" w:rsidTr="006A0ED8">
        <w:trPr>
          <w:jc w:val="center"/>
        </w:trPr>
        <w:tc>
          <w:tcPr>
            <w:tcW w:w="4876" w:type="dxa"/>
            <w:hideMark/>
          </w:tcPr>
          <w:p w14:paraId="27A867EA" w14:textId="77777777" w:rsidR="0097435D" w:rsidRPr="007B1D0B" w:rsidRDefault="0097435D" w:rsidP="006A0ED8">
            <w:pPr>
              <w:pStyle w:val="Normal6"/>
            </w:pPr>
            <w:r w:rsidRPr="007B1D0B">
              <w:lastRenderedPageBreak/>
              <w:t>__________________</w:t>
            </w:r>
          </w:p>
        </w:tc>
        <w:tc>
          <w:tcPr>
            <w:tcW w:w="4876" w:type="dxa"/>
            <w:hideMark/>
          </w:tcPr>
          <w:p w14:paraId="02A73914" w14:textId="77777777" w:rsidR="0097435D" w:rsidRPr="007B1D0B" w:rsidRDefault="0097435D" w:rsidP="006A0ED8">
            <w:pPr>
              <w:pStyle w:val="Normal6"/>
              <w:rPr>
                <w:szCs w:val="24"/>
              </w:rPr>
            </w:pPr>
            <w:r w:rsidRPr="007B1D0B">
              <w:t>__________________</w:t>
            </w:r>
          </w:p>
        </w:tc>
      </w:tr>
      <w:tr w:rsidR="0097435D" w:rsidRPr="007B1D0B" w14:paraId="304B1E76" w14:textId="77777777" w:rsidTr="006A0ED8">
        <w:trPr>
          <w:jc w:val="center"/>
        </w:trPr>
        <w:tc>
          <w:tcPr>
            <w:tcW w:w="4876" w:type="dxa"/>
            <w:hideMark/>
          </w:tcPr>
          <w:p w14:paraId="55E0533D" w14:textId="77777777" w:rsidR="0097435D" w:rsidRPr="007B1D0B" w:rsidRDefault="0097435D" w:rsidP="006A0ED8">
            <w:pPr>
              <w:pStyle w:val="Normal6"/>
            </w:pPr>
            <w:r w:rsidRPr="007B1D0B">
              <w:rPr>
                <w:vertAlign w:val="superscript"/>
              </w:rPr>
              <w:t xml:space="preserve">2 </w:t>
            </w:r>
            <w:r w:rsidRPr="007B1D0B">
              <w:t>Europaparlamentets och rådets förordning (EU) 2021/947 av den 9 juni 2021 om inrättande av instrumentet för grannskapet, utvecklingssamarbete och internationellt samarbete – Europa i världen – om ändring och upphävande av beslut nr 466/2014/EU och om upphävande av förordning (EU) 2017/1601 och rådets förordning (EG, Euratom) nr 480/2009 (EUT L 209, 14.6.2021, s. 1).</w:t>
            </w:r>
          </w:p>
        </w:tc>
        <w:tc>
          <w:tcPr>
            <w:tcW w:w="4876" w:type="dxa"/>
            <w:hideMark/>
          </w:tcPr>
          <w:p w14:paraId="19E639FB" w14:textId="77777777" w:rsidR="0097435D" w:rsidRPr="007B1D0B" w:rsidRDefault="0097435D" w:rsidP="006A0ED8">
            <w:pPr>
              <w:pStyle w:val="Normal6"/>
              <w:rPr>
                <w:szCs w:val="24"/>
              </w:rPr>
            </w:pPr>
            <w:r w:rsidRPr="007B1D0B">
              <w:rPr>
                <w:vertAlign w:val="superscript"/>
              </w:rPr>
              <w:t xml:space="preserve">2 </w:t>
            </w:r>
            <w:r w:rsidRPr="007B1D0B">
              <w:t>Europaparlamentets och rådets förordning (EU) 2021/947 av den 9 juni 2021 om inrättande av instrumentet för grannskapet, utvecklingssamarbete och internationellt samarbete – Europa i världen – om ändring och upphävande av beslut nr 466/2014/EU och om upphävande av förordning (EU) 2017/1601 och rådets förordning (EG, Euratom) nr 480/2009 (EUT L 209, 14.6.2021, s. 1).</w:t>
            </w:r>
          </w:p>
        </w:tc>
      </w:tr>
    </w:tbl>
    <w:p w14:paraId="4CDC6B42" w14:textId="77777777" w:rsidR="0097435D" w:rsidRPr="007B1D0B" w:rsidRDefault="0097435D" w:rsidP="0097435D"/>
    <w:p w14:paraId="3F0BAD60" w14:textId="77777777" w:rsidR="0097435D" w:rsidRPr="007B1D0B" w:rsidRDefault="00AD5277" w:rsidP="0097435D">
      <w:pPr>
        <w:pStyle w:val="AmNumberTabs"/>
      </w:pPr>
      <w:r w:rsidRPr="007B1D0B">
        <w:t>Ändring</w:t>
      </w:r>
      <w:r w:rsidR="0097435D" w:rsidRPr="007B1D0B">
        <w:tab/>
      </w:r>
      <w:r w:rsidR="0097435D" w:rsidRPr="007B1D0B">
        <w:tab/>
        <w:t>9</w:t>
      </w:r>
    </w:p>
    <w:p w14:paraId="3E071304" w14:textId="77777777" w:rsidR="0097435D" w:rsidRPr="007B1D0B" w:rsidRDefault="0097435D" w:rsidP="0097435D"/>
    <w:p w14:paraId="307163CF" w14:textId="77777777" w:rsidR="0097435D" w:rsidRPr="007B1D0B" w:rsidRDefault="0097435D" w:rsidP="0097435D">
      <w:pPr>
        <w:pStyle w:val="NormalBold"/>
        <w:keepNext/>
      </w:pPr>
      <w:r w:rsidRPr="007B1D0B">
        <w:t>Förslag till beslut</w:t>
      </w:r>
    </w:p>
    <w:p w14:paraId="090ED07F" w14:textId="77777777" w:rsidR="0097435D" w:rsidRPr="007B1D0B" w:rsidRDefault="0097435D" w:rsidP="0097435D">
      <w:pPr>
        <w:pStyle w:val="NormalBold"/>
      </w:pPr>
      <w:r w:rsidRPr="007B1D0B">
        <w:t>Skäl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699B60D0" w14:textId="77777777" w:rsidTr="006A0ED8">
        <w:trPr>
          <w:jc w:val="center"/>
        </w:trPr>
        <w:tc>
          <w:tcPr>
            <w:tcW w:w="9752" w:type="dxa"/>
            <w:gridSpan w:val="2"/>
          </w:tcPr>
          <w:p w14:paraId="186158E1" w14:textId="77777777" w:rsidR="0097435D" w:rsidRPr="007B1D0B" w:rsidRDefault="0097435D" w:rsidP="006A0ED8">
            <w:pPr>
              <w:keepNext/>
            </w:pPr>
          </w:p>
        </w:tc>
      </w:tr>
      <w:tr w:rsidR="0097435D" w:rsidRPr="007B1D0B" w14:paraId="3C841D30" w14:textId="77777777" w:rsidTr="006A0ED8">
        <w:trPr>
          <w:jc w:val="center"/>
        </w:trPr>
        <w:tc>
          <w:tcPr>
            <w:tcW w:w="4876" w:type="dxa"/>
            <w:hideMark/>
          </w:tcPr>
          <w:p w14:paraId="08DE0ACB" w14:textId="77777777" w:rsidR="0097435D" w:rsidRPr="007B1D0B" w:rsidRDefault="0097435D" w:rsidP="006A0ED8">
            <w:pPr>
              <w:pStyle w:val="ColumnHeading"/>
              <w:keepNext/>
            </w:pPr>
            <w:r w:rsidRPr="007B1D0B">
              <w:t>Kommissionens förslag</w:t>
            </w:r>
          </w:p>
        </w:tc>
        <w:tc>
          <w:tcPr>
            <w:tcW w:w="4876" w:type="dxa"/>
            <w:hideMark/>
          </w:tcPr>
          <w:p w14:paraId="4950D18E" w14:textId="77777777" w:rsidR="0097435D" w:rsidRPr="007B1D0B" w:rsidRDefault="00AD5277" w:rsidP="006A0ED8">
            <w:pPr>
              <w:pStyle w:val="ColumnHeading"/>
              <w:keepNext/>
            </w:pPr>
            <w:r w:rsidRPr="007B1D0B">
              <w:t>Ändring</w:t>
            </w:r>
          </w:p>
        </w:tc>
      </w:tr>
      <w:tr w:rsidR="0097435D" w:rsidRPr="007B1D0B" w14:paraId="399763AD" w14:textId="77777777" w:rsidTr="006A0ED8">
        <w:trPr>
          <w:jc w:val="center"/>
        </w:trPr>
        <w:tc>
          <w:tcPr>
            <w:tcW w:w="4876" w:type="dxa"/>
            <w:hideMark/>
          </w:tcPr>
          <w:p w14:paraId="336083CB" w14:textId="77777777" w:rsidR="0097435D" w:rsidRPr="007B1D0B" w:rsidRDefault="0097435D" w:rsidP="006A0ED8">
            <w:pPr>
              <w:pStyle w:val="Normal6"/>
            </w:pPr>
            <w:r w:rsidRPr="007B1D0B">
              <w:t>(9)</w:t>
            </w:r>
            <w:r w:rsidRPr="007B1D0B">
              <w:tab/>
              <w:t xml:space="preserve">Egyptens makroekonomiska situation har ställts inför stora utmaningar och försämrats avsevärt under de senaste månaderna i takt med att det externa trycket har intensifierats och statsskulden ökat ytterligare, med fortsatta betydande nedåtrisker för de ekonomiska utsikterna. Återverkningarna av Rysslands krig mot Ukraina </w:t>
            </w:r>
            <w:r w:rsidRPr="007B1D0B">
              <w:rPr>
                <w:b/>
                <w:bCs/>
                <w:i/>
                <w:iCs/>
              </w:rPr>
              <w:t>och Hamas terroristattacker mot Israel</w:t>
            </w:r>
            <w:r w:rsidRPr="007B1D0B">
              <w:t xml:space="preserve"> har lett till utdragna kapitalutflöden och minskade inkomster i utländsk valuta, särskilt på grund av kraftigt minskade inkomster från turismen </w:t>
            </w:r>
            <w:r w:rsidRPr="007B1D0B">
              <w:rPr>
                <w:b/>
                <w:bCs/>
                <w:i/>
                <w:iCs/>
              </w:rPr>
              <w:t>och</w:t>
            </w:r>
            <w:r w:rsidRPr="007B1D0B">
              <w:t xml:space="preserve"> Suezkanalen. Detta är särskilt besvärligt mot bakgrund av Egyptens svåra offentligfinansiella </w:t>
            </w:r>
            <w:r w:rsidRPr="007B1D0B">
              <w:lastRenderedPageBreak/>
              <w:t>situation, som kännetecknas av konstanta budgetunderskott och höga och ökande skuldkvoter.</w:t>
            </w:r>
          </w:p>
        </w:tc>
        <w:tc>
          <w:tcPr>
            <w:tcW w:w="4876" w:type="dxa"/>
            <w:hideMark/>
          </w:tcPr>
          <w:p w14:paraId="18ACD5EB" w14:textId="77777777" w:rsidR="0097435D" w:rsidRPr="007B1D0B" w:rsidRDefault="0097435D" w:rsidP="006A0ED8">
            <w:pPr>
              <w:pStyle w:val="Normal6"/>
              <w:rPr>
                <w:szCs w:val="24"/>
              </w:rPr>
            </w:pPr>
            <w:r w:rsidRPr="007B1D0B">
              <w:lastRenderedPageBreak/>
              <w:t>(9)</w:t>
            </w:r>
            <w:r w:rsidRPr="007B1D0B">
              <w:tab/>
              <w:t xml:space="preserve">Egyptens makroekonomiska situation har ställts inför stora utmaningar och försämrats avsevärt under de senaste månaderna i takt med att det externa trycket har intensifierats och statsskulden ökat ytterligare, med fortsatta betydande nedåtrisker för de ekonomiska utsikterna. Återverkningarna av Rysslands krig mot Ukraina </w:t>
            </w:r>
            <w:r w:rsidRPr="007B1D0B">
              <w:rPr>
                <w:b/>
                <w:bCs/>
                <w:i/>
                <w:iCs/>
              </w:rPr>
              <w:t>och de geopolitiska spänningarna och konflikterna i Mellanöstern</w:t>
            </w:r>
            <w:r w:rsidRPr="007B1D0B">
              <w:t xml:space="preserve"> har lett till utdragna kapitalutflöden och minskade inkomster i utländsk valuta, särskilt på grund av kraftigt minskade inkomster från turismen</w:t>
            </w:r>
            <w:r w:rsidRPr="007B1D0B">
              <w:rPr>
                <w:b/>
                <w:bCs/>
                <w:i/>
                <w:iCs/>
              </w:rPr>
              <w:t>,</w:t>
            </w:r>
            <w:r w:rsidRPr="007B1D0B">
              <w:t xml:space="preserve"> Suezkanalen </w:t>
            </w:r>
            <w:r w:rsidRPr="007B1D0B">
              <w:rPr>
                <w:b/>
                <w:bCs/>
                <w:i/>
                <w:iCs/>
              </w:rPr>
              <w:t xml:space="preserve">och gasproduktionen och ett förlorat </w:t>
            </w:r>
            <w:r w:rsidRPr="007B1D0B">
              <w:rPr>
                <w:b/>
                <w:bCs/>
                <w:i/>
                <w:iCs/>
              </w:rPr>
              <w:lastRenderedPageBreak/>
              <w:t>förtroende bland utländska investerare</w:t>
            </w:r>
            <w:r w:rsidRPr="007B1D0B">
              <w:t xml:space="preserve">. Detta är särskilt besvärligt mot bakgrund av Egyptens svåra offentligfinansiella situation, som kännetecknas av konstanta budgetunderskott och höga och ökande skuldkvoter. </w:t>
            </w:r>
            <w:r w:rsidRPr="007B1D0B">
              <w:rPr>
                <w:b/>
                <w:bCs/>
                <w:i/>
                <w:iCs/>
              </w:rPr>
              <w:t>Trots dessa besvärliga yttre omständigheter kunde Egypten under 2024 genomföra reformer, såsom enhetliga växelkurser och åtstramning av penningpolitiken, för att bidra till att bevara den makroekonomiska stabiliteten.</w:t>
            </w:r>
            <w:r w:rsidRPr="007B1D0B">
              <w:t xml:space="preserve"> </w:t>
            </w:r>
          </w:p>
        </w:tc>
      </w:tr>
    </w:tbl>
    <w:p w14:paraId="7FD7AC60" w14:textId="77777777" w:rsidR="0097435D" w:rsidRPr="007B1D0B" w:rsidRDefault="0097435D" w:rsidP="0097435D"/>
    <w:p w14:paraId="0FFCD87D" w14:textId="77777777" w:rsidR="0097435D" w:rsidRPr="007B1D0B" w:rsidRDefault="00AD5277" w:rsidP="0097435D">
      <w:pPr>
        <w:pStyle w:val="AmNumberTabs"/>
      </w:pPr>
      <w:r w:rsidRPr="007B1D0B">
        <w:t>Ändring</w:t>
      </w:r>
      <w:r w:rsidR="0097435D" w:rsidRPr="007B1D0B">
        <w:tab/>
      </w:r>
      <w:r w:rsidR="0097435D" w:rsidRPr="007B1D0B">
        <w:tab/>
        <w:t>10</w:t>
      </w:r>
    </w:p>
    <w:p w14:paraId="7209DF64" w14:textId="77777777" w:rsidR="0097435D" w:rsidRPr="007B1D0B" w:rsidRDefault="0097435D" w:rsidP="0097435D">
      <w:pPr>
        <w:pStyle w:val="NormalBold12b"/>
      </w:pPr>
      <w:r w:rsidRPr="007B1D0B">
        <w:t>Förslag till beslut</w:t>
      </w:r>
    </w:p>
    <w:p w14:paraId="7FCBF111" w14:textId="77777777" w:rsidR="0097435D" w:rsidRPr="007B1D0B" w:rsidRDefault="0097435D" w:rsidP="0097435D">
      <w:pPr>
        <w:pStyle w:val="NormalBold"/>
      </w:pPr>
      <w:r w:rsidRPr="007B1D0B">
        <w:t>Skäl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740F8192" w14:textId="77777777" w:rsidTr="006A0ED8">
        <w:trPr>
          <w:trHeight w:hRule="exact" w:val="240"/>
          <w:jc w:val="center"/>
        </w:trPr>
        <w:tc>
          <w:tcPr>
            <w:tcW w:w="9752" w:type="dxa"/>
            <w:gridSpan w:val="2"/>
            <w:tcBorders>
              <w:top w:val="nil"/>
              <w:left w:val="nil"/>
              <w:bottom w:val="nil"/>
              <w:right w:val="nil"/>
            </w:tcBorders>
          </w:tcPr>
          <w:p w14:paraId="4DEC0F30" w14:textId="77777777" w:rsidR="0097435D" w:rsidRPr="007B1D0B" w:rsidRDefault="0097435D" w:rsidP="006A0ED8"/>
        </w:tc>
      </w:tr>
      <w:tr w:rsidR="0097435D" w:rsidRPr="007B1D0B" w14:paraId="2ECAB3A7" w14:textId="77777777" w:rsidTr="006A0ED8">
        <w:trPr>
          <w:trHeight w:val="240"/>
          <w:jc w:val="center"/>
        </w:trPr>
        <w:tc>
          <w:tcPr>
            <w:tcW w:w="4876" w:type="dxa"/>
            <w:tcBorders>
              <w:top w:val="nil"/>
              <w:left w:val="nil"/>
              <w:bottom w:val="nil"/>
              <w:right w:val="nil"/>
            </w:tcBorders>
          </w:tcPr>
          <w:p w14:paraId="11EAB5C7"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tcPr>
          <w:p w14:paraId="744C50F5" w14:textId="77777777" w:rsidR="0097435D" w:rsidRPr="007B1D0B" w:rsidRDefault="00AD5277" w:rsidP="006A0ED8">
            <w:pPr>
              <w:pStyle w:val="AmColumnHeading"/>
            </w:pPr>
            <w:r w:rsidRPr="007B1D0B">
              <w:t>Ändring</w:t>
            </w:r>
          </w:p>
        </w:tc>
      </w:tr>
      <w:tr w:rsidR="0097435D" w:rsidRPr="007B1D0B" w14:paraId="5832967E" w14:textId="77777777" w:rsidTr="006A0ED8">
        <w:trPr>
          <w:jc w:val="center"/>
        </w:trPr>
        <w:tc>
          <w:tcPr>
            <w:tcW w:w="4876" w:type="dxa"/>
            <w:tcBorders>
              <w:top w:val="nil"/>
              <w:left w:val="nil"/>
              <w:bottom w:val="nil"/>
              <w:right w:val="nil"/>
            </w:tcBorders>
          </w:tcPr>
          <w:p w14:paraId="315ACFD5" w14:textId="77777777" w:rsidR="0097435D" w:rsidRPr="007B1D0B" w:rsidRDefault="0097435D" w:rsidP="006A0ED8">
            <w:pPr>
              <w:pStyle w:val="Normal6a"/>
            </w:pPr>
            <w:r w:rsidRPr="007B1D0B">
              <w:t>(12)</w:t>
            </w:r>
            <w:r w:rsidRPr="007B1D0B">
              <w:tab/>
              <w:t xml:space="preserve">Egypten återupptog sin dialog med IMF i början av 2024 och nådde den 6 mars 2024 en överenskommelse på tjänstemannanivå om ett moderniserat program för en utvidgad lånemöjlighet som utökades till 8 miljarder USD. Det nya programmet </w:t>
            </w:r>
            <w:r w:rsidRPr="007B1D0B">
              <w:rPr>
                <w:b/>
                <w:bCs/>
                <w:i/>
                <w:iCs/>
              </w:rPr>
              <w:t>kommer sannolikt att antas genom beslut av IMF:s exekutivstyrelse i mars 2024 och</w:t>
            </w:r>
            <w:r w:rsidRPr="007B1D0B">
              <w:t xml:space="preserve"> är inriktat på: en trovärdigt rörlig växelkurs, 2) hållbar åtstramning av penningpolitiken, 3) konsolidering av de offentliga finanserna för att bevara en hållbar skuldsättning, 4) en ny ram för att hålla tillbaka infrastrukturutgifterna, 5) sociala utgifter på lämplig nivå för att skydda sårbara grupper, och 6) genomförande av strategin för statligt ägande och reformer för att skapa lika villkor. Tillsammans med undertecknandet av överenskommelsen på tjänstemannanivå införde Egypten också en flexibel växelkurs och höjde centralbankens viktigaste styrränta med 600 punkter, i linje med IMF-programmets prioriteringar.</w:t>
            </w:r>
          </w:p>
        </w:tc>
        <w:tc>
          <w:tcPr>
            <w:tcW w:w="4876" w:type="dxa"/>
            <w:tcBorders>
              <w:top w:val="nil"/>
              <w:left w:val="nil"/>
              <w:bottom w:val="nil"/>
              <w:right w:val="nil"/>
            </w:tcBorders>
          </w:tcPr>
          <w:p w14:paraId="03E3E0C5" w14:textId="77777777" w:rsidR="0097435D" w:rsidRPr="007B1D0B" w:rsidRDefault="0097435D" w:rsidP="00DA1BCA">
            <w:pPr>
              <w:pStyle w:val="Normal6a"/>
            </w:pPr>
            <w:r w:rsidRPr="007B1D0B">
              <w:t>(12)</w:t>
            </w:r>
            <w:r w:rsidRPr="007B1D0B">
              <w:tab/>
              <w:t xml:space="preserve">Egypten återupptog sin dialog med IMF i början av 2024 och nådde den 6 mars 2024 en överenskommelse på tjänstemannanivå om ett moderniserat program för en utvidgad lånemöjlighet som utökades till 8 miljarder USD. </w:t>
            </w:r>
            <w:r w:rsidRPr="007B1D0B">
              <w:rPr>
                <w:b/>
                <w:i/>
              </w:rPr>
              <w:t>Förhandlingarna på expertnivå om den fjärde översynen av Egyptens ekonomiska reformprogram slutfördes i december 2024.</w:t>
            </w:r>
            <w:r w:rsidRPr="007B1D0B">
              <w:t xml:space="preserve"> Det nya programmet är inriktat på: 1) en trovärdigt rörlig växelkurs, 2) hållbar åtstramning av penningpolitiken, 3) konsolidering av de offentliga finanserna för att bevara en hållbar skuldsättning, 4) en ny ram för att hålla tillbaka infrastrukturutgifterna, 5) sociala utgifter på lämplig nivå för att skydda sårbara grupper </w:t>
            </w:r>
            <w:r w:rsidRPr="007B1D0B">
              <w:rPr>
                <w:b/>
                <w:bCs/>
                <w:i/>
                <w:iCs/>
              </w:rPr>
              <w:t>mot högre levnadskostnader och energipriser</w:t>
            </w:r>
            <w:r w:rsidRPr="007B1D0B">
              <w:t xml:space="preserve">, och 6) genomförande av strategin för statligt ägande och reformer för att skapa lika villkor </w:t>
            </w:r>
            <w:r w:rsidRPr="007B1D0B">
              <w:rPr>
                <w:b/>
                <w:bCs/>
                <w:i/>
                <w:iCs/>
              </w:rPr>
              <w:t xml:space="preserve">genom </w:t>
            </w:r>
            <w:r w:rsidR="00DA1BCA" w:rsidRPr="007B1D0B">
              <w:rPr>
                <w:b/>
                <w:bCs/>
                <w:i/>
                <w:iCs/>
              </w:rPr>
              <w:t xml:space="preserve">att främja </w:t>
            </w:r>
            <w:r w:rsidRPr="007B1D0B">
              <w:rPr>
                <w:b/>
                <w:bCs/>
                <w:i/>
                <w:iCs/>
              </w:rPr>
              <w:t>utveckling</w:t>
            </w:r>
            <w:r w:rsidR="00DA1BCA" w:rsidRPr="007B1D0B">
              <w:rPr>
                <w:b/>
                <w:bCs/>
                <w:i/>
                <w:iCs/>
              </w:rPr>
              <w:t>en</w:t>
            </w:r>
            <w:r w:rsidRPr="007B1D0B">
              <w:rPr>
                <w:b/>
                <w:bCs/>
                <w:i/>
                <w:iCs/>
              </w:rPr>
              <w:t xml:space="preserve"> av den privata sektorn i ekonomin</w:t>
            </w:r>
            <w:r w:rsidRPr="007B1D0B">
              <w:t>. Tillsammans med undertecknandet av överenskommelsen på tjänstemannanivå införde Egypten också en flexibel växelkurs och höjde centralbankens viktigaste styrränta med 600 punkter, i linje med IMF-programmets prioriteringar.</w:t>
            </w:r>
          </w:p>
        </w:tc>
      </w:tr>
    </w:tbl>
    <w:p w14:paraId="27C45111" w14:textId="77777777" w:rsidR="0097435D" w:rsidRPr="007B1D0B" w:rsidRDefault="0097435D" w:rsidP="0097435D"/>
    <w:p w14:paraId="3166C53B" w14:textId="77777777" w:rsidR="0097435D" w:rsidRPr="007B1D0B" w:rsidRDefault="00AD5277" w:rsidP="0097435D">
      <w:pPr>
        <w:pStyle w:val="AmNumberTabs"/>
      </w:pPr>
      <w:r w:rsidRPr="007B1D0B">
        <w:lastRenderedPageBreak/>
        <w:t>Ändring</w:t>
      </w:r>
      <w:r w:rsidR="0097435D" w:rsidRPr="007B1D0B">
        <w:tab/>
      </w:r>
      <w:r w:rsidR="0097435D" w:rsidRPr="007B1D0B">
        <w:tab/>
        <w:t>11</w:t>
      </w:r>
    </w:p>
    <w:p w14:paraId="4EA929EC" w14:textId="77777777" w:rsidR="0097435D" w:rsidRPr="007B1D0B" w:rsidRDefault="0097435D" w:rsidP="0097435D">
      <w:pPr>
        <w:pStyle w:val="NormalBold12b"/>
      </w:pPr>
      <w:r w:rsidRPr="007B1D0B">
        <w:t>Förslag till beslut</w:t>
      </w:r>
    </w:p>
    <w:p w14:paraId="4ABA1322" w14:textId="77777777" w:rsidR="0097435D" w:rsidRPr="007B1D0B" w:rsidRDefault="0097435D" w:rsidP="0097435D">
      <w:pPr>
        <w:pStyle w:val="NormalBold"/>
      </w:pPr>
      <w:r w:rsidRPr="007B1D0B">
        <w:t>Skäl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53126511" w14:textId="77777777" w:rsidTr="006A0ED8">
        <w:trPr>
          <w:trHeight w:hRule="exact" w:val="240"/>
          <w:jc w:val="center"/>
        </w:trPr>
        <w:tc>
          <w:tcPr>
            <w:tcW w:w="9752" w:type="dxa"/>
            <w:gridSpan w:val="2"/>
            <w:tcBorders>
              <w:top w:val="nil"/>
              <w:left w:val="nil"/>
              <w:bottom w:val="nil"/>
              <w:right w:val="nil"/>
            </w:tcBorders>
          </w:tcPr>
          <w:p w14:paraId="5F7CD55E" w14:textId="77777777" w:rsidR="0097435D" w:rsidRPr="007B1D0B" w:rsidRDefault="0097435D" w:rsidP="006A0ED8"/>
        </w:tc>
      </w:tr>
      <w:tr w:rsidR="0097435D" w:rsidRPr="007B1D0B" w14:paraId="55396EE2" w14:textId="77777777" w:rsidTr="006A0ED8">
        <w:trPr>
          <w:trHeight w:val="240"/>
          <w:jc w:val="center"/>
        </w:trPr>
        <w:tc>
          <w:tcPr>
            <w:tcW w:w="4876" w:type="dxa"/>
            <w:tcBorders>
              <w:top w:val="nil"/>
              <w:left w:val="nil"/>
              <w:bottom w:val="nil"/>
              <w:right w:val="nil"/>
            </w:tcBorders>
          </w:tcPr>
          <w:p w14:paraId="03BC28ED"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tcPr>
          <w:p w14:paraId="647AC737" w14:textId="77777777" w:rsidR="0097435D" w:rsidRPr="007B1D0B" w:rsidRDefault="00AD5277" w:rsidP="006A0ED8">
            <w:pPr>
              <w:pStyle w:val="AmColumnHeading"/>
            </w:pPr>
            <w:r w:rsidRPr="007B1D0B">
              <w:t>Ändring</w:t>
            </w:r>
          </w:p>
        </w:tc>
      </w:tr>
      <w:tr w:rsidR="0097435D" w:rsidRPr="007B1D0B" w14:paraId="3394AA59" w14:textId="77777777" w:rsidTr="006A0ED8">
        <w:trPr>
          <w:jc w:val="center"/>
        </w:trPr>
        <w:tc>
          <w:tcPr>
            <w:tcW w:w="4876" w:type="dxa"/>
            <w:tcBorders>
              <w:top w:val="nil"/>
              <w:left w:val="nil"/>
              <w:bottom w:val="nil"/>
              <w:right w:val="nil"/>
            </w:tcBorders>
          </w:tcPr>
          <w:p w14:paraId="175FAF24" w14:textId="77777777" w:rsidR="0097435D" w:rsidRPr="007B1D0B" w:rsidRDefault="0097435D" w:rsidP="006A0ED8">
            <w:pPr>
              <w:pStyle w:val="Normal6a"/>
            </w:pPr>
            <w:r w:rsidRPr="007B1D0B">
              <w:t>(16)</w:t>
            </w:r>
            <w:r w:rsidRPr="007B1D0B">
              <w:tab/>
              <w:t>Med hänsyn till att det fortfarande finns ett resterande externt finansieringsgap i Egyptens betalningsbalans, trots de medel som tillhandahålls av IMF och andra multilaterala institutioner, anses unionens makroekonomiska stöd som ska ges till Egypten under nuvarande exceptionella omständigheter, och i förening med IMF-programmet, vara ett lämpligt svar på Egyptens ansökan om stöd för stabilisering av ekonomin. Unionens makroekonomiska stödpaket, inbegripet det makroekonomiska stöd på 4 miljarder euro som omfattas av detta förslag, skulle stödja Egyptens stabilisering av ekonomin och strukturreformagenda samt utgöra ett komplement till de resurser som gjorts tillgängliga inom ramen för IMF:s finansiella engagemang.</w:t>
            </w:r>
          </w:p>
        </w:tc>
        <w:tc>
          <w:tcPr>
            <w:tcW w:w="4876" w:type="dxa"/>
            <w:tcBorders>
              <w:top w:val="nil"/>
              <w:left w:val="nil"/>
              <w:bottom w:val="nil"/>
              <w:right w:val="nil"/>
            </w:tcBorders>
          </w:tcPr>
          <w:p w14:paraId="4CCEC627" w14:textId="77777777" w:rsidR="0097435D" w:rsidRPr="007B1D0B" w:rsidRDefault="0097435D" w:rsidP="006A0ED8">
            <w:pPr>
              <w:pStyle w:val="Normal6a"/>
            </w:pPr>
            <w:r w:rsidRPr="007B1D0B">
              <w:t>(16)</w:t>
            </w:r>
            <w:r w:rsidRPr="007B1D0B">
              <w:tab/>
              <w:t>Med hänsyn till att det fortfarande finns ett resterande externt finansieringsgap i Egyptens betalningsbalans, trots de medel som tillhandahålls av IMF och andra multilaterala institutioner</w:t>
            </w:r>
            <w:r w:rsidRPr="007B1D0B">
              <w:rPr>
                <w:b/>
                <w:bCs/>
                <w:i/>
                <w:iCs/>
              </w:rPr>
              <w:t xml:space="preserve"> och regionala partner</w:t>
            </w:r>
            <w:r w:rsidRPr="007B1D0B">
              <w:t>, anses unionens makroekonomiska stöd som ska ges till Egypten under nuvarande exceptionella omständigheter, och i förening med IMF-programmet, vara ett lämpligt svar på Egyptens ansökan om stöd för stabilisering av ekonomin. Unionens makroekonomiska stödpaket, inbegripet det makroekonomiska stöd på 4 miljarder euro som omfattas av detta förslag, skulle stödja Egyptens stabilisering av ekonomin och strukturreformagenda samt utgöra ett komplement till de resurser som gjorts tillgängliga inom ramen för IMF:s finansiella engagemang.</w:t>
            </w:r>
          </w:p>
        </w:tc>
      </w:tr>
    </w:tbl>
    <w:p w14:paraId="6957EC8D" w14:textId="77777777" w:rsidR="0097435D" w:rsidRPr="007B1D0B" w:rsidRDefault="0097435D" w:rsidP="0097435D"/>
    <w:p w14:paraId="6D1ABD5A" w14:textId="77777777" w:rsidR="0097435D" w:rsidRPr="007B1D0B" w:rsidRDefault="00AD5277" w:rsidP="0097435D">
      <w:pPr>
        <w:pStyle w:val="AmNumberTabs"/>
      </w:pPr>
      <w:r w:rsidRPr="007B1D0B">
        <w:t>Ändring</w:t>
      </w:r>
      <w:r w:rsidR="0097435D" w:rsidRPr="007B1D0B">
        <w:tab/>
      </w:r>
      <w:r w:rsidR="0097435D" w:rsidRPr="007B1D0B">
        <w:tab/>
        <w:t>12</w:t>
      </w:r>
    </w:p>
    <w:p w14:paraId="35DF279F" w14:textId="77777777" w:rsidR="0097435D" w:rsidRPr="007B1D0B" w:rsidRDefault="0097435D" w:rsidP="0097435D"/>
    <w:p w14:paraId="4CFFD767" w14:textId="77777777" w:rsidR="0097435D" w:rsidRPr="007B1D0B" w:rsidRDefault="0097435D" w:rsidP="0097435D">
      <w:pPr>
        <w:pStyle w:val="NormalBold"/>
        <w:keepNext/>
      </w:pPr>
      <w:r w:rsidRPr="007B1D0B">
        <w:t>Förslag till beslut</w:t>
      </w:r>
    </w:p>
    <w:p w14:paraId="0DF75FB1" w14:textId="77777777" w:rsidR="0097435D" w:rsidRPr="007B1D0B" w:rsidRDefault="0097435D" w:rsidP="0097435D">
      <w:pPr>
        <w:pStyle w:val="NormalBold"/>
      </w:pPr>
      <w:r w:rsidRPr="007B1D0B">
        <w:t>Skäl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428DC35D" w14:textId="77777777" w:rsidTr="006A0ED8">
        <w:trPr>
          <w:jc w:val="center"/>
        </w:trPr>
        <w:tc>
          <w:tcPr>
            <w:tcW w:w="9752" w:type="dxa"/>
            <w:gridSpan w:val="2"/>
          </w:tcPr>
          <w:p w14:paraId="661EB189" w14:textId="77777777" w:rsidR="0097435D" w:rsidRPr="007B1D0B" w:rsidRDefault="0097435D" w:rsidP="006A0ED8">
            <w:pPr>
              <w:keepNext/>
            </w:pPr>
          </w:p>
        </w:tc>
      </w:tr>
      <w:tr w:rsidR="0097435D" w:rsidRPr="007B1D0B" w14:paraId="1F824CD1" w14:textId="77777777" w:rsidTr="006A0ED8">
        <w:trPr>
          <w:jc w:val="center"/>
        </w:trPr>
        <w:tc>
          <w:tcPr>
            <w:tcW w:w="4876" w:type="dxa"/>
            <w:hideMark/>
          </w:tcPr>
          <w:p w14:paraId="538CA485" w14:textId="77777777" w:rsidR="0097435D" w:rsidRPr="007B1D0B" w:rsidRDefault="0097435D" w:rsidP="006A0ED8">
            <w:pPr>
              <w:pStyle w:val="ColumnHeading"/>
              <w:keepNext/>
            </w:pPr>
            <w:r w:rsidRPr="007B1D0B">
              <w:t>Kommissionens förslag</w:t>
            </w:r>
          </w:p>
        </w:tc>
        <w:tc>
          <w:tcPr>
            <w:tcW w:w="4876" w:type="dxa"/>
            <w:hideMark/>
          </w:tcPr>
          <w:p w14:paraId="55906512" w14:textId="77777777" w:rsidR="0097435D" w:rsidRPr="007B1D0B" w:rsidRDefault="00AD5277" w:rsidP="006A0ED8">
            <w:pPr>
              <w:pStyle w:val="ColumnHeading"/>
              <w:keepNext/>
            </w:pPr>
            <w:r w:rsidRPr="007B1D0B">
              <w:t>Ändring</w:t>
            </w:r>
          </w:p>
        </w:tc>
      </w:tr>
      <w:tr w:rsidR="0097435D" w:rsidRPr="007B1D0B" w14:paraId="7E07C043" w14:textId="77777777" w:rsidTr="006A0ED8">
        <w:trPr>
          <w:jc w:val="center"/>
        </w:trPr>
        <w:tc>
          <w:tcPr>
            <w:tcW w:w="4876" w:type="dxa"/>
            <w:hideMark/>
          </w:tcPr>
          <w:p w14:paraId="64C9A944" w14:textId="77777777" w:rsidR="0097435D" w:rsidRPr="007B1D0B" w:rsidRDefault="0097435D" w:rsidP="006A0ED8">
            <w:pPr>
              <w:pStyle w:val="Normal6"/>
            </w:pPr>
            <w:r w:rsidRPr="007B1D0B">
              <w:t>(19)</w:t>
            </w:r>
            <w:r w:rsidRPr="007B1D0B">
              <w:tab/>
              <w:t>Kommissionen bör säkerställa att unionens makroekonomiska stöd är rättsligt och innehållsmässigt förenligt med viktiga principer, mål och åtgärder inom ramen för unionens yttre åtgärder och med andra relevanta politikområden.</w:t>
            </w:r>
          </w:p>
        </w:tc>
        <w:tc>
          <w:tcPr>
            <w:tcW w:w="4876" w:type="dxa"/>
            <w:hideMark/>
          </w:tcPr>
          <w:p w14:paraId="276F9083" w14:textId="77777777" w:rsidR="0097435D" w:rsidRPr="007B1D0B" w:rsidRDefault="0097435D" w:rsidP="00DA1BCA">
            <w:pPr>
              <w:pStyle w:val="Normal6"/>
              <w:rPr>
                <w:szCs w:val="24"/>
              </w:rPr>
            </w:pPr>
            <w:r w:rsidRPr="007B1D0B">
              <w:t>(19)</w:t>
            </w:r>
            <w:r w:rsidRPr="007B1D0B">
              <w:tab/>
              <w:t>Kommissionen bör säkerställa att unionens makroekonomiska stöd är rättsligt och innehållsmässigt förenligt med viktiga principer, mål och åtgärder inom ramen för unionens yttre åtgärder och med andra relevanta politikområden</w:t>
            </w:r>
            <w:r w:rsidRPr="007B1D0B">
              <w:rPr>
                <w:b/>
                <w:bCs/>
                <w:i/>
                <w:iCs/>
              </w:rPr>
              <w:t>, inbegripet rörande demokrati, mänskliga rättigheter och rättsstat</w:t>
            </w:r>
            <w:r w:rsidR="00DA1BCA" w:rsidRPr="007B1D0B">
              <w:rPr>
                <w:b/>
                <w:bCs/>
                <w:i/>
                <w:iCs/>
              </w:rPr>
              <w:t>en</w:t>
            </w:r>
            <w:r w:rsidRPr="007B1D0B">
              <w:rPr>
                <w:b/>
                <w:bCs/>
                <w:i/>
                <w:iCs/>
              </w:rPr>
              <w:t>s</w:t>
            </w:r>
            <w:r w:rsidR="00DA1BCA" w:rsidRPr="007B1D0B">
              <w:rPr>
                <w:b/>
                <w:bCs/>
                <w:i/>
                <w:iCs/>
              </w:rPr>
              <w:t xml:space="preserve"> </w:t>
            </w:r>
            <w:r w:rsidRPr="007B1D0B">
              <w:rPr>
                <w:b/>
                <w:bCs/>
                <w:i/>
                <w:iCs/>
              </w:rPr>
              <w:t>principe</w:t>
            </w:r>
            <w:r w:rsidR="00DA1BCA" w:rsidRPr="007B1D0B">
              <w:rPr>
                <w:b/>
                <w:bCs/>
                <w:i/>
                <w:iCs/>
              </w:rPr>
              <w:t>r</w:t>
            </w:r>
            <w:r w:rsidRPr="007B1D0B">
              <w:rPr>
                <w:b/>
                <w:bCs/>
                <w:i/>
                <w:iCs/>
              </w:rPr>
              <w:t>, i linje med artikel 2 i associeringsavtalet mellan EU och Egypten</w:t>
            </w:r>
            <w:r w:rsidRPr="007B1D0B">
              <w:t>.</w:t>
            </w:r>
          </w:p>
        </w:tc>
      </w:tr>
    </w:tbl>
    <w:p w14:paraId="0A67BFE8" w14:textId="77777777" w:rsidR="0097435D" w:rsidRPr="007B1D0B" w:rsidRDefault="0097435D" w:rsidP="0097435D"/>
    <w:p w14:paraId="4939DA9B" w14:textId="77777777" w:rsidR="0097435D" w:rsidRPr="007B1D0B" w:rsidRDefault="00AD5277" w:rsidP="0097435D">
      <w:pPr>
        <w:pStyle w:val="AmNumberTabs"/>
      </w:pPr>
      <w:r w:rsidRPr="007B1D0B">
        <w:t>Ändring</w:t>
      </w:r>
      <w:r w:rsidR="0097435D" w:rsidRPr="007B1D0B">
        <w:tab/>
      </w:r>
      <w:r w:rsidR="0097435D" w:rsidRPr="007B1D0B">
        <w:tab/>
        <w:t>13</w:t>
      </w:r>
    </w:p>
    <w:p w14:paraId="4B845668" w14:textId="77777777" w:rsidR="0097435D" w:rsidRPr="007B1D0B" w:rsidRDefault="0097435D" w:rsidP="0097435D"/>
    <w:p w14:paraId="2EF3B56A" w14:textId="77777777" w:rsidR="0097435D" w:rsidRPr="007B1D0B" w:rsidRDefault="0097435D" w:rsidP="0097435D">
      <w:pPr>
        <w:pStyle w:val="NormalBold"/>
        <w:keepNext/>
      </w:pPr>
      <w:r w:rsidRPr="007B1D0B">
        <w:lastRenderedPageBreak/>
        <w:t>Förslag till beslut</w:t>
      </w:r>
    </w:p>
    <w:p w14:paraId="568370FC" w14:textId="77777777" w:rsidR="0097435D" w:rsidRPr="007B1D0B" w:rsidRDefault="0097435D" w:rsidP="0097435D">
      <w:pPr>
        <w:pStyle w:val="NormalBold"/>
      </w:pPr>
      <w:r w:rsidRPr="007B1D0B">
        <w:t>Skäl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05A16CCC" w14:textId="77777777" w:rsidTr="006A0ED8">
        <w:trPr>
          <w:jc w:val="center"/>
        </w:trPr>
        <w:tc>
          <w:tcPr>
            <w:tcW w:w="9752" w:type="dxa"/>
            <w:gridSpan w:val="2"/>
          </w:tcPr>
          <w:p w14:paraId="0B924659" w14:textId="77777777" w:rsidR="0097435D" w:rsidRPr="007B1D0B" w:rsidRDefault="0097435D" w:rsidP="006A0ED8">
            <w:pPr>
              <w:keepNext/>
            </w:pPr>
          </w:p>
        </w:tc>
      </w:tr>
      <w:tr w:rsidR="0097435D" w:rsidRPr="007B1D0B" w14:paraId="26B93CD7" w14:textId="77777777" w:rsidTr="006A0ED8">
        <w:trPr>
          <w:jc w:val="center"/>
        </w:trPr>
        <w:tc>
          <w:tcPr>
            <w:tcW w:w="4876" w:type="dxa"/>
            <w:hideMark/>
          </w:tcPr>
          <w:p w14:paraId="1CD784E2" w14:textId="77777777" w:rsidR="0097435D" w:rsidRPr="007B1D0B" w:rsidRDefault="0097435D" w:rsidP="006A0ED8">
            <w:pPr>
              <w:pStyle w:val="ColumnHeading"/>
              <w:keepNext/>
            </w:pPr>
            <w:r w:rsidRPr="007B1D0B">
              <w:t>Kommissionens förslag</w:t>
            </w:r>
          </w:p>
        </w:tc>
        <w:tc>
          <w:tcPr>
            <w:tcW w:w="4876" w:type="dxa"/>
            <w:hideMark/>
          </w:tcPr>
          <w:p w14:paraId="1311A37A" w14:textId="77777777" w:rsidR="0097435D" w:rsidRPr="007B1D0B" w:rsidRDefault="00AD5277" w:rsidP="006A0ED8">
            <w:pPr>
              <w:pStyle w:val="ColumnHeading"/>
              <w:keepNext/>
            </w:pPr>
            <w:r w:rsidRPr="007B1D0B">
              <w:t>Ändring</w:t>
            </w:r>
          </w:p>
        </w:tc>
      </w:tr>
      <w:tr w:rsidR="0097435D" w:rsidRPr="007B1D0B" w14:paraId="6F9094C1" w14:textId="77777777" w:rsidTr="006A0ED8">
        <w:trPr>
          <w:jc w:val="center"/>
        </w:trPr>
        <w:tc>
          <w:tcPr>
            <w:tcW w:w="4876" w:type="dxa"/>
            <w:hideMark/>
          </w:tcPr>
          <w:p w14:paraId="2B5FBC74" w14:textId="77777777" w:rsidR="0097435D" w:rsidRPr="007B1D0B" w:rsidRDefault="0097435D" w:rsidP="006A0ED8">
            <w:pPr>
              <w:pStyle w:val="Normal6"/>
            </w:pPr>
            <w:r w:rsidRPr="007B1D0B">
              <w:t>(22)</w:t>
            </w:r>
            <w:r w:rsidRPr="007B1D0B">
              <w:tab/>
              <w:t xml:space="preserve">Ett förhandsvillkor för beviljande av unionens makroekonomiska stöd till Egypten bör vara att landet fortsätter att göra konkreta </w:t>
            </w:r>
            <w:r w:rsidRPr="007B1D0B">
              <w:rPr>
                <w:b/>
                <w:bCs/>
                <w:i/>
                <w:iCs/>
              </w:rPr>
              <w:t>och</w:t>
            </w:r>
            <w:r w:rsidRPr="007B1D0B">
              <w:t xml:space="preserve"> trovärdiga framsteg när det gäller respekt för demokratiska mekanismer – däribland ett parlamentariskt flerpartisystem – och rättsstatsprincipen, samt garanterar respekt för mänskliga rättigheter. De särskilda målen för unionens makroekonomiska stöd bör dessutom stärka effektivitet, transparens och möjligheterna att utkräva ansvar inom den statliga finansförvaltningen, samhällsstyrning och tillsyn inom Egyptens finansiella sektor, samt bidra till strukturreformer som främjar en hållbar och inkluderande tillväxt, skapandet av anständiga arbetstillfällen och konsolidering av de offentliga finanserna. Uppfyllandet av förhandsvillkoren och uppnåendet av de särskilda målen bör regelbundet övervakas av kommissionen och av Europeiska utrikestjänsten.</w:t>
            </w:r>
          </w:p>
        </w:tc>
        <w:tc>
          <w:tcPr>
            <w:tcW w:w="4876" w:type="dxa"/>
            <w:hideMark/>
          </w:tcPr>
          <w:p w14:paraId="12CD7866" w14:textId="77777777" w:rsidR="0097435D" w:rsidRPr="007B1D0B" w:rsidRDefault="0097435D" w:rsidP="006A0ED8">
            <w:pPr>
              <w:pStyle w:val="Normal6"/>
              <w:rPr>
                <w:szCs w:val="24"/>
              </w:rPr>
            </w:pPr>
            <w:r w:rsidRPr="007B1D0B">
              <w:t>(22)</w:t>
            </w:r>
            <w:r w:rsidRPr="007B1D0B">
              <w:tab/>
            </w:r>
            <w:r w:rsidRPr="007B1D0B">
              <w:rPr>
                <w:b/>
                <w:i/>
              </w:rPr>
              <w:t xml:space="preserve">Makroekonomiskt stöd bör förbli ett ekonomiskt instrument. </w:t>
            </w:r>
            <w:r w:rsidRPr="007B1D0B">
              <w:t xml:space="preserve">Ett förhandsvillkor för beviljande av unionens makroekonomiska stöd till Egypten bör </w:t>
            </w:r>
            <w:r w:rsidRPr="007B1D0B">
              <w:rPr>
                <w:b/>
                <w:bCs/>
                <w:i/>
                <w:iCs/>
              </w:rPr>
              <w:t>dock</w:t>
            </w:r>
            <w:r w:rsidRPr="007B1D0B">
              <w:t xml:space="preserve"> vara att landet fortsätter att göra konkreta</w:t>
            </w:r>
            <w:r w:rsidRPr="007B1D0B">
              <w:rPr>
                <w:b/>
                <w:bCs/>
                <w:i/>
                <w:iCs/>
              </w:rPr>
              <w:t>,</w:t>
            </w:r>
            <w:r w:rsidRPr="007B1D0B">
              <w:t xml:space="preserve"> trovärdiga </w:t>
            </w:r>
            <w:r w:rsidRPr="007B1D0B">
              <w:rPr>
                <w:b/>
                <w:bCs/>
                <w:i/>
                <w:iCs/>
              </w:rPr>
              <w:t>och påtagliga</w:t>
            </w:r>
            <w:r w:rsidRPr="007B1D0B">
              <w:t xml:space="preserve"> framsteg när det gäller respekt för </w:t>
            </w:r>
            <w:r w:rsidRPr="007B1D0B">
              <w:rPr>
                <w:b/>
                <w:bCs/>
                <w:i/>
                <w:iCs/>
              </w:rPr>
              <w:t>och stärkande av</w:t>
            </w:r>
            <w:r w:rsidRPr="007B1D0B">
              <w:t xml:space="preserve"> demokratiska mekanismer – däribland ett parlamentariskt flerpartisystem – och rättsstatsprincipen, samt garanterar respekt för mänskliga rättigheter. De särskilda målen för unionens makroekonomiska stöd bör dessutom stärka effektivitet, transparens och möjligheterna att utkräva ansvar inom den statliga finansförvaltningen, samhällsstyrning och tillsyn inom Egyptens finansiella sektor, samt bidra till strukturreformer som främjar en hållbar och inkluderande tillväxt, skapandet av anständiga arbetstillfällen och konsolidering av de offentliga finanserna. Uppfyllandet av förhandsvillkoren och uppnåendet av de särskilda målen bör regelbundet övervakas av kommissionen och av Europeiska utrikestjänsten.</w:t>
            </w:r>
          </w:p>
        </w:tc>
      </w:tr>
    </w:tbl>
    <w:p w14:paraId="18A796B1" w14:textId="77777777" w:rsidR="0097435D" w:rsidRPr="007B1D0B" w:rsidRDefault="0097435D" w:rsidP="0097435D"/>
    <w:p w14:paraId="704CD166" w14:textId="77777777" w:rsidR="0097435D" w:rsidRPr="007B1D0B" w:rsidRDefault="00AD5277" w:rsidP="0097435D">
      <w:pPr>
        <w:pStyle w:val="AMNumberTabs0"/>
        <w:keepNext/>
      </w:pPr>
      <w:r w:rsidRPr="007B1D0B">
        <w:t>Ändring</w:t>
      </w:r>
      <w:r w:rsidR="0097435D" w:rsidRPr="007B1D0B">
        <w:tab/>
      </w:r>
      <w:r w:rsidR="0097435D" w:rsidRPr="007B1D0B">
        <w:tab/>
        <w:t>14</w:t>
      </w:r>
    </w:p>
    <w:p w14:paraId="4E0A32BC" w14:textId="77777777" w:rsidR="0097435D" w:rsidRPr="007B1D0B" w:rsidRDefault="0097435D" w:rsidP="0097435D">
      <w:pPr>
        <w:pStyle w:val="NormalBold12b"/>
        <w:keepNext/>
      </w:pPr>
      <w:r w:rsidRPr="007B1D0B">
        <w:t>Förslag till beslut</w:t>
      </w:r>
    </w:p>
    <w:p w14:paraId="784939B9" w14:textId="77777777" w:rsidR="0097435D" w:rsidRPr="007B1D0B" w:rsidRDefault="0097435D" w:rsidP="0097435D">
      <w:pPr>
        <w:pStyle w:val="NormalBold"/>
      </w:pPr>
      <w:r w:rsidRPr="007B1D0B">
        <w:t>Skäl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0C272183" w14:textId="77777777" w:rsidTr="006A0ED8">
        <w:trPr>
          <w:jc w:val="center"/>
        </w:trPr>
        <w:tc>
          <w:tcPr>
            <w:tcW w:w="9752" w:type="dxa"/>
            <w:gridSpan w:val="2"/>
          </w:tcPr>
          <w:p w14:paraId="2C386FD6" w14:textId="77777777" w:rsidR="0097435D" w:rsidRPr="007B1D0B" w:rsidRDefault="0097435D" w:rsidP="006A0ED8">
            <w:pPr>
              <w:keepNext/>
            </w:pPr>
          </w:p>
        </w:tc>
      </w:tr>
      <w:tr w:rsidR="0097435D" w:rsidRPr="007B1D0B" w14:paraId="4CFB4DD6" w14:textId="77777777" w:rsidTr="006A0ED8">
        <w:trPr>
          <w:jc w:val="center"/>
        </w:trPr>
        <w:tc>
          <w:tcPr>
            <w:tcW w:w="4876" w:type="dxa"/>
            <w:hideMark/>
          </w:tcPr>
          <w:p w14:paraId="543D5DFA" w14:textId="77777777" w:rsidR="0097435D" w:rsidRPr="007B1D0B" w:rsidRDefault="0097435D" w:rsidP="006A0ED8">
            <w:pPr>
              <w:pStyle w:val="ColumnHeading"/>
              <w:keepNext/>
            </w:pPr>
            <w:r w:rsidRPr="007B1D0B">
              <w:t>Kommissionens förslag</w:t>
            </w:r>
          </w:p>
        </w:tc>
        <w:tc>
          <w:tcPr>
            <w:tcW w:w="4876" w:type="dxa"/>
            <w:hideMark/>
          </w:tcPr>
          <w:p w14:paraId="514B3349" w14:textId="77777777" w:rsidR="0097435D" w:rsidRPr="007B1D0B" w:rsidRDefault="00AD5277" w:rsidP="006A0ED8">
            <w:pPr>
              <w:pStyle w:val="ColumnHeading"/>
              <w:keepNext/>
            </w:pPr>
            <w:r w:rsidRPr="007B1D0B">
              <w:t>Ändring</w:t>
            </w:r>
          </w:p>
        </w:tc>
      </w:tr>
      <w:tr w:rsidR="0097435D" w:rsidRPr="007B1D0B" w14:paraId="7276F8DD" w14:textId="77777777" w:rsidTr="006A0ED8">
        <w:trPr>
          <w:jc w:val="center"/>
        </w:trPr>
        <w:tc>
          <w:tcPr>
            <w:tcW w:w="4876" w:type="dxa"/>
            <w:hideMark/>
          </w:tcPr>
          <w:p w14:paraId="5FE5EE2C" w14:textId="77777777" w:rsidR="0097435D" w:rsidRPr="007B1D0B" w:rsidRDefault="0097435D" w:rsidP="006A0ED8">
            <w:pPr>
              <w:pStyle w:val="Normal6"/>
            </w:pPr>
            <w:r w:rsidRPr="007B1D0B">
              <w:t>(23)</w:t>
            </w:r>
            <w:r w:rsidRPr="007B1D0B">
              <w:tab/>
              <w:t xml:space="preserve">För att säkerställa ett effektivt skydd av unionens finansiella intressen i samband med det makroekonomiska stödet bör Egypten vidta lämpliga åtgärder för att förhindra och bekämpa bedrägerier, korruption och andra oriktigheter i samband med stödet. Dessutom bör ett låneavtal som ingås mellan kommissionen och de egyptiska myndigheterna innehålla bestämmelser som tillåter att Europeiska </w:t>
            </w:r>
            <w:r w:rsidRPr="007B1D0B">
              <w:lastRenderedPageBreak/>
              <w:t>byrån för bedrägeribekämpning (Olaf) gör utredningar, däribland kontroller och inspektioner på plats, i enlighet med de bestämmelser och förfaranden som fastställs i Europaparlamentets och rådets förordning (EU, Euratom) nr 883/2013</w:t>
            </w:r>
            <w:r w:rsidRPr="007B1D0B">
              <w:rPr>
                <w:vertAlign w:val="superscript"/>
              </w:rPr>
              <w:t>3</w:t>
            </w:r>
            <w:r w:rsidRPr="007B1D0B">
              <w:t xml:space="preserve"> och rådets förordning (Euratom, EG) nr 2185/96</w:t>
            </w:r>
            <w:r w:rsidRPr="007B1D0B">
              <w:rPr>
                <w:vertAlign w:val="superscript"/>
              </w:rPr>
              <w:t>4</w:t>
            </w:r>
            <w:r w:rsidRPr="007B1D0B">
              <w:t xml:space="preserve"> samt att kommissionen och revisionsrätten genomför revisioner och att Europeiska åklagarmyndigheten utövar sina befogenheter med avseende på tillhandahållandet av unionens makroekonomiska stöd under och efter tillgänglighetsperioden.</w:t>
            </w:r>
          </w:p>
        </w:tc>
        <w:tc>
          <w:tcPr>
            <w:tcW w:w="4876" w:type="dxa"/>
            <w:hideMark/>
          </w:tcPr>
          <w:p w14:paraId="12EEE940" w14:textId="77777777" w:rsidR="0097435D" w:rsidRPr="007B1D0B" w:rsidRDefault="0097435D" w:rsidP="006A0ED8">
            <w:pPr>
              <w:pStyle w:val="Normal6"/>
              <w:rPr>
                <w:szCs w:val="24"/>
              </w:rPr>
            </w:pPr>
            <w:r w:rsidRPr="007B1D0B">
              <w:lastRenderedPageBreak/>
              <w:t>(23)</w:t>
            </w:r>
            <w:r w:rsidRPr="007B1D0B">
              <w:tab/>
            </w:r>
            <w:r w:rsidRPr="007B1D0B">
              <w:rPr>
                <w:b/>
                <w:i/>
              </w:rPr>
              <w:t xml:space="preserve">Det är mycket viktigt att understryka att Egypten måste uppfylla de nödvändiga ekonomiska förutsättningarna för stödberättigande. Egypten har visat sin solvens och finansiella stabilitet, vilket har kontrollerats av kommissionen. </w:t>
            </w:r>
            <w:r w:rsidRPr="007B1D0B">
              <w:t xml:space="preserve">För att säkerställa ett effektivt skydd av unionens finansiella intressen i samband med det makroekonomiska stödet bör Egypten </w:t>
            </w:r>
            <w:r w:rsidRPr="007B1D0B">
              <w:rPr>
                <w:b/>
                <w:i/>
              </w:rPr>
              <w:t>dock</w:t>
            </w:r>
            <w:r w:rsidRPr="007B1D0B">
              <w:t xml:space="preserve"> </w:t>
            </w:r>
            <w:r w:rsidRPr="007B1D0B">
              <w:lastRenderedPageBreak/>
              <w:t>vidta lämpliga åtgärder för att förhindra och bekämpa bedrägerier, korruption och andra oriktigheter i samband med stödet. Dessutom bör ett låneavtal som ingås mellan kommissionen och de egyptiska myndigheterna innehålla bestämmelser som tillåter att Europeiska byrån för bedrägeribekämpning (Olaf) gör utredningar, däribland kontroller och inspektioner på plats, i enlighet med de bestämmelser och förfaranden som fastställs i Europaparlamentets och rådets förordning (EU, Euratom) nr 883/2013</w:t>
            </w:r>
            <w:r w:rsidRPr="007B1D0B">
              <w:rPr>
                <w:vertAlign w:val="superscript"/>
              </w:rPr>
              <w:t>3</w:t>
            </w:r>
            <w:r w:rsidRPr="007B1D0B">
              <w:t xml:space="preserve"> och rådets förordning (Euratom, EG) nr 2185/96</w:t>
            </w:r>
            <w:r w:rsidRPr="007B1D0B">
              <w:rPr>
                <w:vertAlign w:val="superscript"/>
              </w:rPr>
              <w:t>4</w:t>
            </w:r>
            <w:r w:rsidRPr="007B1D0B">
              <w:t xml:space="preserve"> samt att kommissionen och revisionsrätten genomför revisioner och att Europeiska åklagarmyndigheten utövar sina befogenheter med avseende på tillhandahållandet av unionens makroekonomiska stöd under och efter tillgänglighetsperioden.</w:t>
            </w:r>
          </w:p>
        </w:tc>
      </w:tr>
      <w:tr w:rsidR="0097435D" w:rsidRPr="007B1D0B" w14:paraId="5E7572F8" w14:textId="77777777" w:rsidTr="006A0ED8">
        <w:trPr>
          <w:jc w:val="center"/>
        </w:trPr>
        <w:tc>
          <w:tcPr>
            <w:tcW w:w="4876" w:type="dxa"/>
            <w:hideMark/>
          </w:tcPr>
          <w:p w14:paraId="59363477" w14:textId="77777777" w:rsidR="0097435D" w:rsidRPr="007B1D0B" w:rsidRDefault="0097435D" w:rsidP="006A0ED8">
            <w:pPr>
              <w:pStyle w:val="Normal6"/>
            </w:pPr>
            <w:r w:rsidRPr="007B1D0B">
              <w:lastRenderedPageBreak/>
              <w:t>__________________</w:t>
            </w:r>
          </w:p>
        </w:tc>
        <w:tc>
          <w:tcPr>
            <w:tcW w:w="4876" w:type="dxa"/>
            <w:hideMark/>
          </w:tcPr>
          <w:p w14:paraId="0F878E94" w14:textId="77777777" w:rsidR="0097435D" w:rsidRPr="007B1D0B" w:rsidRDefault="0097435D" w:rsidP="006A0ED8">
            <w:pPr>
              <w:pStyle w:val="Normal6"/>
              <w:rPr>
                <w:szCs w:val="24"/>
              </w:rPr>
            </w:pPr>
            <w:r w:rsidRPr="007B1D0B">
              <w:t>__________________</w:t>
            </w:r>
          </w:p>
        </w:tc>
      </w:tr>
      <w:tr w:rsidR="0097435D" w:rsidRPr="007B1D0B" w14:paraId="67BD2440" w14:textId="77777777" w:rsidTr="006A0ED8">
        <w:trPr>
          <w:jc w:val="center"/>
        </w:trPr>
        <w:tc>
          <w:tcPr>
            <w:tcW w:w="4876" w:type="dxa"/>
            <w:hideMark/>
          </w:tcPr>
          <w:p w14:paraId="5AC87E91" w14:textId="77777777" w:rsidR="0097435D" w:rsidRPr="007B1D0B" w:rsidRDefault="0097435D" w:rsidP="006A0ED8">
            <w:pPr>
              <w:pStyle w:val="Normal6"/>
            </w:pPr>
            <w:r w:rsidRPr="007B1D0B">
              <w:rPr>
                <w:vertAlign w:val="superscript"/>
              </w:rPr>
              <w:t xml:space="preserve">3 </w:t>
            </w:r>
            <w:r w:rsidRPr="007B1D0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w:t>
            </w:r>
          </w:p>
        </w:tc>
        <w:tc>
          <w:tcPr>
            <w:tcW w:w="4876" w:type="dxa"/>
            <w:hideMark/>
          </w:tcPr>
          <w:p w14:paraId="58AC5EC9" w14:textId="77777777" w:rsidR="0097435D" w:rsidRPr="007B1D0B" w:rsidRDefault="0097435D" w:rsidP="006A0ED8">
            <w:pPr>
              <w:pStyle w:val="Normal6"/>
              <w:rPr>
                <w:szCs w:val="24"/>
              </w:rPr>
            </w:pPr>
            <w:r w:rsidRPr="007B1D0B">
              <w:rPr>
                <w:vertAlign w:val="superscript"/>
              </w:rPr>
              <w:t xml:space="preserve">3 </w:t>
            </w:r>
            <w:r w:rsidRPr="007B1D0B">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w:t>
            </w:r>
          </w:p>
        </w:tc>
      </w:tr>
      <w:tr w:rsidR="0097435D" w:rsidRPr="007B1D0B" w14:paraId="49C5447F" w14:textId="77777777" w:rsidTr="006A0ED8">
        <w:trPr>
          <w:jc w:val="center"/>
        </w:trPr>
        <w:tc>
          <w:tcPr>
            <w:tcW w:w="4876" w:type="dxa"/>
            <w:hideMark/>
          </w:tcPr>
          <w:p w14:paraId="5E24A648" w14:textId="77777777" w:rsidR="0097435D" w:rsidRPr="007B1D0B" w:rsidRDefault="0097435D" w:rsidP="006A0ED8">
            <w:pPr>
              <w:pStyle w:val="Normal6"/>
            </w:pPr>
            <w:r w:rsidRPr="007B1D0B">
              <w:rPr>
                <w:vertAlign w:val="superscript"/>
              </w:rPr>
              <w:t xml:space="preserve">4 </w:t>
            </w:r>
            <w:r w:rsidRPr="007B1D0B">
              <w:t>Rådets förordning (Euratom, EG) nr 2185/96 av den 11 november 1996 om de kontroller och inspektioner på platsen som kommissionen utför för att skydda Europeiska gemenskapernas finansiella intressen mot bedrägerier och andra oegentligheter (EGT L 292, 15.11.1996, s. 2).</w:t>
            </w:r>
          </w:p>
        </w:tc>
        <w:tc>
          <w:tcPr>
            <w:tcW w:w="4876" w:type="dxa"/>
            <w:hideMark/>
          </w:tcPr>
          <w:p w14:paraId="3F0BFBBD" w14:textId="77777777" w:rsidR="0097435D" w:rsidRPr="007B1D0B" w:rsidRDefault="0097435D" w:rsidP="006A0ED8">
            <w:pPr>
              <w:pStyle w:val="Normal6"/>
              <w:rPr>
                <w:szCs w:val="24"/>
              </w:rPr>
            </w:pPr>
            <w:r w:rsidRPr="007B1D0B">
              <w:rPr>
                <w:vertAlign w:val="superscript"/>
              </w:rPr>
              <w:t xml:space="preserve">4 </w:t>
            </w:r>
            <w:r w:rsidRPr="007B1D0B">
              <w:t>Rådets förordning (Euratom, EG) nr 2185/96 av den 11 november 1996 om de kontroller och inspektioner på platsen som kommissionen utför för att skydda Europeiska gemenskapernas finansiella intressen mot bedrägerier och andra oegentligheter (EGT L 292, 15.11.1996, s. 2).</w:t>
            </w:r>
          </w:p>
        </w:tc>
      </w:tr>
    </w:tbl>
    <w:p w14:paraId="2FE196E0" w14:textId="77777777" w:rsidR="0097435D" w:rsidRPr="007B1D0B" w:rsidRDefault="0097435D" w:rsidP="0097435D"/>
    <w:p w14:paraId="7C65E7F0" w14:textId="77777777" w:rsidR="0097435D" w:rsidRPr="007B1D0B" w:rsidRDefault="00AD5277" w:rsidP="0097435D">
      <w:pPr>
        <w:pStyle w:val="AmNumberTabs"/>
      </w:pPr>
      <w:r w:rsidRPr="007B1D0B">
        <w:t>Ändring</w:t>
      </w:r>
      <w:r w:rsidR="0097435D" w:rsidRPr="007B1D0B">
        <w:tab/>
      </w:r>
      <w:r w:rsidR="0097435D" w:rsidRPr="007B1D0B">
        <w:tab/>
        <w:t>15</w:t>
      </w:r>
    </w:p>
    <w:p w14:paraId="6C7FD6D9" w14:textId="77777777" w:rsidR="0097435D" w:rsidRPr="007B1D0B" w:rsidRDefault="0097435D" w:rsidP="0097435D"/>
    <w:p w14:paraId="7F623BFD" w14:textId="77777777" w:rsidR="0097435D" w:rsidRPr="007B1D0B" w:rsidRDefault="0097435D" w:rsidP="0097435D">
      <w:pPr>
        <w:pStyle w:val="NormalBold"/>
        <w:keepNext/>
      </w:pPr>
      <w:r w:rsidRPr="007B1D0B">
        <w:t>Förslag till beslut</w:t>
      </w:r>
    </w:p>
    <w:p w14:paraId="76A44E2C" w14:textId="77777777" w:rsidR="0097435D" w:rsidRPr="007B1D0B" w:rsidRDefault="0097435D" w:rsidP="0097435D">
      <w:pPr>
        <w:pStyle w:val="NormalBold"/>
      </w:pPr>
      <w:r w:rsidRPr="007B1D0B">
        <w:t>Skäl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97435D" w:rsidRPr="007B1D0B" w14:paraId="7C26698C" w14:textId="77777777" w:rsidTr="006A0ED8">
        <w:trPr>
          <w:jc w:val="center"/>
        </w:trPr>
        <w:tc>
          <w:tcPr>
            <w:tcW w:w="9752" w:type="dxa"/>
            <w:gridSpan w:val="2"/>
          </w:tcPr>
          <w:p w14:paraId="1857D22B" w14:textId="77777777" w:rsidR="0097435D" w:rsidRPr="007B1D0B" w:rsidRDefault="0097435D" w:rsidP="006A0ED8">
            <w:pPr>
              <w:keepNext/>
            </w:pPr>
          </w:p>
        </w:tc>
      </w:tr>
      <w:tr w:rsidR="0097435D" w:rsidRPr="007B1D0B" w14:paraId="1344C016" w14:textId="77777777" w:rsidTr="006A0ED8">
        <w:trPr>
          <w:jc w:val="center"/>
        </w:trPr>
        <w:tc>
          <w:tcPr>
            <w:tcW w:w="4876" w:type="dxa"/>
          </w:tcPr>
          <w:p w14:paraId="68AC2D52" w14:textId="77777777" w:rsidR="0097435D" w:rsidRPr="007B1D0B" w:rsidRDefault="0097435D" w:rsidP="006A0ED8">
            <w:pPr>
              <w:pStyle w:val="ColumnHeading"/>
              <w:keepNext/>
            </w:pPr>
            <w:r w:rsidRPr="007B1D0B">
              <w:t>Kommissionens förslag</w:t>
            </w:r>
          </w:p>
        </w:tc>
        <w:tc>
          <w:tcPr>
            <w:tcW w:w="4876" w:type="dxa"/>
          </w:tcPr>
          <w:p w14:paraId="3053A098" w14:textId="77777777" w:rsidR="0097435D" w:rsidRPr="007B1D0B" w:rsidRDefault="00AD5277" w:rsidP="006A0ED8">
            <w:pPr>
              <w:pStyle w:val="ColumnHeading"/>
              <w:keepNext/>
            </w:pPr>
            <w:r w:rsidRPr="007B1D0B">
              <w:t>Ändring</w:t>
            </w:r>
          </w:p>
        </w:tc>
      </w:tr>
      <w:tr w:rsidR="0097435D" w:rsidRPr="007B1D0B" w14:paraId="15D5A643" w14:textId="77777777" w:rsidTr="006A0ED8">
        <w:trPr>
          <w:jc w:val="center"/>
        </w:trPr>
        <w:tc>
          <w:tcPr>
            <w:tcW w:w="4876" w:type="dxa"/>
          </w:tcPr>
          <w:p w14:paraId="4F89CFCD" w14:textId="77777777" w:rsidR="0097435D" w:rsidRPr="007B1D0B" w:rsidRDefault="0097435D" w:rsidP="006A0ED8">
            <w:pPr>
              <w:pStyle w:val="Normal6"/>
            </w:pPr>
            <w:r w:rsidRPr="007B1D0B">
              <w:t>(26)</w:t>
            </w:r>
            <w:r w:rsidRPr="007B1D0B">
              <w:tab/>
              <w:t xml:space="preserve">Unionens makroekonomiska stöd </w:t>
            </w:r>
            <w:r w:rsidRPr="007B1D0B">
              <w:lastRenderedPageBreak/>
              <w:t>bör förvaltas av kommissionen. För att säkerställa att Europaparlamentet och rådet kan följa genomförandet av detta beslut bör kommissionen regelbundet informera dem om stödets utveckling och tillhandahålla relevant dokumentation.</w:t>
            </w:r>
          </w:p>
        </w:tc>
        <w:tc>
          <w:tcPr>
            <w:tcW w:w="4876" w:type="dxa"/>
          </w:tcPr>
          <w:p w14:paraId="74F5D412" w14:textId="77777777" w:rsidR="0097435D" w:rsidRPr="007B1D0B" w:rsidRDefault="0097435D" w:rsidP="006A0ED8">
            <w:pPr>
              <w:pStyle w:val="Normal6"/>
              <w:rPr>
                <w:szCs w:val="24"/>
              </w:rPr>
            </w:pPr>
            <w:r w:rsidRPr="007B1D0B">
              <w:lastRenderedPageBreak/>
              <w:t>(26)</w:t>
            </w:r>
            <w:r w:rsidRPr="007B1D0B">
              <w:tab/>
              <w:t xml:space="preserve">Unionens makroekonomiska stöd </w:t>
            </w:r>
            <w:r w:rsidRPr="007B1D0B">
              <w:lastRenderedPageBreak/>
              <w:t xml:space="preserve">bör förvaltas av kommissionen. För att säkerställa att Europaparlamentet och rådet kan följa genomförandet av detta beslut bör kommissionen </w:t>
            </w:r>
            <w:r w:rsidRPr="007B1D0B">
              <w:rPr>
                <w:b/>
                <w:bCs/>
                <w:i/>
                <w:iCs/>
              </w:rPr>
              <w:t>i en årlig rapport</w:t>
            </w:r>
            <w:r w:rsidRPr="007B1D0B">
              <w:t xml:space="preserve"> regelbundet informera dem om stödets utveckling och </w:t>
            </w:r>
            <w:r w:rsidRPr="007B1D0B">
              <w:rPr>
                <w:b/>
                <w:bCs/>
                <w:i/>
                <w:iCs/>
              </w:rPr>
              <w:t>om respekten för gällande demokratiska mekanismer enligt de förhandsvillkor som avses i detta beslut,</w:t>
            </w:r>
            <w:r w:rsidRPr="007B1D0B">
              <w:t xml:space="preserve"> och tillhandahålla relevant dokumentation.</w:t>
            </w:r>
          </w:p>
        </w:tc>
      </w:tr>
    </w:tbl>
    <w:p w14:paraId="40580539" w14:textId="77777777" w:rsidR="0097435D" w:rsidRPr="007B1D0B" w:rsidRDefault="0097435D" w:rsidP="0097435D"/>
    <w:p w14:paraId="0BCD2DFB" w14:textId="77777777" w:rsidR="004D183D" w:rsidRPr="007B1D0B" w:rsidRDefault="00AD5277" w:rsidP="004D183D">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B1D0B">
        <w:rPr>
          <w:b/>
          <w:szCs w:val="24"/>
          <w:lang w:eastAsia="en-US"/>
        </w:rPr>
        <w:t>Ändring</w:t>
      </w:r>
      <w:r w:rsidR="00A64640" w:rsidRPr="007B1D0B">
        <w:rPr>
          <w:b/>
          <w:szCs w:val="24"/>
          <w:lang w:eastAsia="en-US"/>
        </w:rPr>
        <w:t>ar</w:t>
      </w:r>
      <w:r w:rsidR="004D183D" w:rsidRPr="007B1D0B">
        <w:rPr>
          <w:b/>
          <w:szCs w:val="24"/>
          <w:lang w:eastAsia="en-US"/>
        </w:rPr>
        <w:tab/>
      </w:r>
      <w:r w:rsidR="004D183D" w:rsidRPr="007B1D0B">
        <w:rPr>
          <w:b/>
          <w:szCs w:val="24"/>
          <w:lang w:eastAsia="en-US"/>
        </w:rPr>
        <w:tab/>
      </w:r>
      <w:r w:rsidR="00983598" w:rsidRPr="007B1D0B">
        <w:rPr>
          <w:b/>
          <w:szCs w:val="24"/>
          <w:lang w:eastAsia="en-US"/>
        </w:rPr>
        <w:t xml:space="preserve">16 och </w:t>
      </w:r>
      <w:r w:rsidR="004D183D" w:rsidRPr="007B1D0B">
        <w:rPr>
          <w:b/>
          <w:szCs w:val="24"/>
          <w:lang w:eastAsia="en-US"/>
        </w:rPr>
        <w:t>42</w:t>
      </w:r>
    </w:p>
    <w:p w14:paraId="5969BA98" w14:textId="77777777" w:rsidR="004D183D" w:rsidRPr="007B1D0B" w:rsidRDefault="004D183D" w:rsidP="004D183D">
      <w:pPr>
        <w:rPr>
          <w:b/>
          <w:szCs w:val="24"/>
          <w:lang w:eastAsia="en-US"/>
        </w:rPr>
      </w:pPr>
      <w:r w:rsidRPr="007B1D0B">
        <w:rPr>
          <w:b/>
          <w:szCs w:val="24"/>
          <w:lang w:eastAsia="en-US"/>
        </w:rPr>
        <w:t>Förslag till beslut</w:t>
      </w:r>
    </w:p>
    <w:p w14:paraId="48282CD7" w14:textId="77777777" w:rsidR="004D183D" w:rsidRPr="007B1D0B" w:rsidRDefault="004D183D" w:rsidP="004D183D">
      <w:pPr>
        <w:rPr>
          <w:b/>
          <w:szCs w:val="24"/>
          <w:lang w:eastAsia="en-US"/>
        </w:rPr>
      </w:pPr>
      <w:r w:rsidRPr="007B1D0B">
        <w:rPr>
          <w:b/>
          <w:szCs w:val="24"/>
          <w:lang w:eastAsia="en-US"/>
        </w:rPr>
        <w:t>Skäl 28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D183D" w:rsidRPr="007B1D0B" w14:paraId="4D7361BA" w14:textId="77777777" w:rsidTr="00980082">
        <w:trPr>
          <w:trHeight w:hRule="exact" w:val="240"/>
          <w:jc w:val="center"/>
        </w:trPr>
        <w:tc>
          <w:tcPr>
            <w:tcW w:w="9752" w:type="dxa"/>
            <w:gridSpan w:val="2"/>
            <w:tcBorders>
              <w:top w:val="nil"/>
              <w:left w:val="nil"/>
              <w:bottom w:val="nil"/>
              <w:right w:val="nil"/>
            </w:tcBorders>
          </w:tcPr>
          <w:p w14:paraId="484D02DB" w14:textId="77777777" w:rsidR="004D183D" w:rsidRPr="007B1D0B" w:rsidRDefault="004D183D" w:rsidP="004D183D">
            <w:pPr>
              <w:rPr>
                <w:szCs w:val="24"/>
                <w:lang w:eastAsia="en-US"/>
              </w:rPr>
            </w:pPr>
          </w:p>
        </w:tc>
      </w:tr>
      <w:tr w:rsidR="004D183D" w:rsidRPr="007B1D0B" w14:paraId="3A1C8CA8" w14:textId="77777777" w:rsidTr="00980082">
        <w:trPr>
          <w:trHeight w:val="240"/>
          <w:jc w:val="center"/>
        </w:trPr>
        <w:tc>
          <w:tcPr>
            <w:tcW w:w="4876" w:type="dxa"/>
            <w:tcBorders>
              <w:top w:val="nil"/>
              <w:left w:val="nil"/>
              <w:bottom w:val="nil"/>
              <w:right w:val="nil"/>
            </w:tcBorders>
          </w:tcPr>
          <w:p w14:paraId="5E78F210" w14:textId="77777777" w:rsidR="004D183D" w:rsidRPr="007B1D0B" w:rsidRDefault="004D183D" w:rsidP="004D183D">
            <w:pPr>
              <w:spacing w:after="240"/>
              <w:jc w:val="center"/>
              <w:rPr>
                <w:i/>
                <w:szCs w:val="24"/>
                <w:lang w:eastAsia="en-US"/>
              </w:rPr>
            </w:pPr>
            <w:r w:rsidRPr="007B1D0B">
              <w:rPr>
                <w:i/>
                <w:szCs w:val="24"/>
                <w:lang w:eastAsia="en-US"/>
              </w:rPr>
              <w:t>Kommissionens förslag</w:t>
            </w:r>
          </w:p>
        </w:tc>
        <w:tc>
          <w:tcPr>
            <w:tcW w:w="4876" w:type="dxa"/>
            <w:tcBorders>
              <w:top w:val="nil"/>
              <w:left w:val="nil"/>
              <w:bottom w:val="nil"/>
              <w:right w:val="nil"/>
            </w:tcBorders>
          </w:tcPr>
          <w:p w14:paraId="60EB3351" w14:textId="77777777" w:rsidR="004D183D" w:rsidRPr="007B1D0B" w:rsidRDefault="00AD5277" w:rsidP="004D183D">
            <w:pPr>
              <w:spacing w:after="240"/>
              <w:jc w:val="center"/>
              <w:rPr>
                <w:i/>
                <w:szCs w:val="24"/>
                <w:lang w:eastAsia="en-US"/>
              </w:rPr>
            </w:pPr>
            <w:r w:rsidRPr="007B1D0B">
              <w:rPr>
                <w:i/>
                <w:szCs w:val="24"/>
                <w:lang w:eastAsia="en-US"/>
              </w:rPr>
              <w:t>Ändring</w:t>
            </w:r>
          </w:p>
        </w:tc>
      </w:tr>
      <w:tr w:rsidR="004D183D" w:rsidRPr="007B1D0B" w14:paraId="658007B6" w14:textId="77777777" w:rsidTr="00980082">
        <w:trPr>
          <w:jc w:val="center"/>
        </w:trPr>
        <w:tc>
          <w:tcPr>
            <w:tcW w:w="4876" w:type="dxa"/>
            <w:tcBorders>
              <w:top w:val="nil"/>
              <w:left w:val="nil"/>
              <w:bottom w:val="nil"/>
              <w:right w:val="nil"/>
            </w:tcBorders>
          </w:tcPr>
          <w:p w14:paraId="744CE7E3" w14:textId="77777777" w:rsidR="004D183D" w:rsidRPr="007B1D0B" w:rsidRDefault="004D183D" w:rsidP="004D183D">
            <w:pPr>
              <w:spacing w:after="120"/>
              <w:rPr>
                <w:szCs w:val="24"/>
                <w:lang w:eastAsia="en-US"/>
              </w:rPr>
            </w:pPr>
            <w:r w:rsidRPr="007B1D0B">
              <w:rPr>
                <w:szCs w:val="24"/>
                <w:lang w:eastAsia="en-US"/>
              </w:rPr>
              <w:t>(28)</w:t>
            </w:r>
            <w:r w:rsidRPr="007B1D0B">
              <w:rPr>
                <w:szCs w:val="24"/>
                <w:lang w:eastAsia="en-US"/>
              </w:rPr>
              <w:tab/>
              <w:t xml:space="preserve">Unionens makroekonomiska stöd bör omfattas av </w:t>
            </w:r>
            <w:r w:rsidRPr="007B1D0B">
              <w:rPr>
                <w:b/>
                <w:bCs/>
                <w:i/>
                <w:iCs/>
                <w:szCs w:val="24"/>
                <w:lang w:eastAsia="en-US"/>
              </w:rPr>
              <w:t>ekonomiskpolitiska</w:t>
            </w:r>
            <w:r w:rsidRPr="007B1D0B">
              <w:rPr>
                <w:szCs w:val="24"/>
                <w:lang w:eastAsia="en-US"/>
              </w:rPr>
              <w:t xml:space="preserve"> villkor </w:t>
            </w:r>
            <w:r w:rsidRPr="007B1D0B">
              <w:rPr>
                <w:b/>
                <w:bCs/>
                <w:i/>
                <w:iCs/>
                <w:szCs w:val="24"/>
                <w:lang w:eastAsia="en-US"/>
              </w:rPr>
              <w:t>som</w:t>
            </w:r>
            <w:r w:rsidRPr="007B1D0B">
              <w:rPr>
                <w:szCs w:val="24"/>
                <w:lang w:eastAsia="en-US"/>
              </w:rPr>
              <w:t xml:space="preserve"> ska fastställas i ett samförståndsavtal. För att säkerställa enhetliga villkor för genomförandet, och av effektivitetsskäl, bör kommissionen ges befogenhet att förhandla om sådana villkor med de egyptiska myndigheterna under överinseende av kommittén med företrädare för medlemsstaterna i enlighet med förordning (EU) nr 182/2011. Enligt den förordningen bör det rådgivande förfarandet som allmän regel tillämpas i alla andra fall än de som föreskrivs i den förordningen. Med hänsyn till den potentiellt stora inverkan som stöd på över 90 miljoner EUR kan ha är det lämpligt att tillämpa granskningsförfarandet för insatser som överstiger detta tröskelvärde. Med hänsyn till storleken på unionens makroekonomiska stöd till Egypten bör granskningsförfarandet tillämpas i samband med antagandet av samförståndsavtalet samt om stödet minskas, tillfälligt avbryts eller upphävs.</w:t>
            </w:r>
          </w:p>
        </w:tc>
        <w:tc>
          <w:tcPr>
            <w:tcW w:w="4876" w:type="dxa"/>
            <w:tcBorders>
              <w:top w:val="nil"/>
              <w:left w:val="nil"/>
              <w:bottom w:val="nil"/>
              <w:right w:val="nil"/>
            </w:tcBorders>
          </w:tcPr>
          <w:p w14:paraId="4568EE05" w14:textId="77777777" w:rsidR="004D183D" w:rsidRPr="007B1D0B" w:rsidRDefault="004D183D" w:rsidP="00C13CCF">
            <w:pPr>
              <w:spacing w:after="120"/>
              <w:rPr>
                <w:szCs w:val="24"/>
                <w:lang w:eastAsia="en-US"/>
              </w:rPr>
            </w:pPr>
            <w:r w:rsidRPr="007B1D0B">
              <w:rPr>
                <w:szCs w:val="24"/>
                <w:lang w:eastAsia="en-US"/>
              </w:rPr>
              <w:t>(28)</w:t>
            </w:r>
            <w:r w:rsidRPr="007B1D0B">
              <w:rPr>
                <w:szCs w:val="24"/>
                <w:lang w:eastAsia="en-US"/>
              </w:rPr>
              <w:tab/>
              <w:t xml:space="preserve">Unionens makroekonomiska stöd bör omfattas av </w:t>
            </w:r>
            <w:r w:rsidR="00C13CCF" w:rsidRPr="007B1D0B">
              <w:rPr>
                <w:b/>
                <w:i/>
                <w:szCs w:val="24"/>
                <w:lang w:eastAsia="en-US"/>
              </w:rPr>
              <w:t>hållbara</w:t>
            </w:r>
            <w:r w:rsidR="00C13CCF" w:rsidRPr="007B1D0B">
              <w:rPr>
                <w:szCs w:val="24"/>
                <w:lang w:eastAsia="en-US"/>
              </w:rPr>
              <w:t xml:space="preserve"> ekonomiskpolitiska </w:t>
            </w:r>
            <w:r w:rsidR="00C13CCF" w:rsidRPr="007B1D0B">
              <w:rPr>
                <w:b/>
                <w:i/>
                <w:szCs w:val="24"/>
                <w:lang w:eastAsia="en-US"/>
              </w:rPr>
              <w:t>reformer</w:t>
            </w:r>
            <w:r w:rsidR="00C13CCF" w:rsidRPr="007B1D0B">
              <w:rPr>
                <w:szCs w:val="24"/>
                <w:lang w:eastAsia="en-US"/>
              </w:rPr>
              <w:t xml:space="preserve"> och </w:t>
            </w:r>
            <w:r w:rsidR="00C13CCF" w:rsidRPr="007B1D0B">
              <w:rPr>
                <w:b/>
                <w:bCs/>
                <w:i/>
                <w:iCs/>
                <w:szCs w:val="24"/>
                <w:lang w:eastAsia="en-US"/>
              </w:rPr>
              <w:t>villkor för</w:t>
            </w:r>
            <w:r w:rsidRPr="007B1D0B">
              <w:rPr>
                <w:b/>
                <w:bCs/>
                <w:i/>
                <w:iCs/>
                <w:szCs w:val="24"/>
                <w:lang w:eastAsia="en-US"/>
              </w:rPr>
              <w:t xml:space="preserve"> demokrati, rättsstatsprincipen och mänskliga rättigheter, vilka</w:t>
            </w:r>
            <w:r w:rsidRPr="007B1D0B">
              <w:rPr>
                <w:szCs w:val="24"/>
                <w:lang w:eastAsia="en-US"/>
              </w:rPr>
              <w:t xml:space="preserve"> ska fastställas i ett samförståndsavtal. För att säkerställa enhetliga villkor för genomförandet, och av effektivitetsskäl, bör kommissionen ges befogenhet att förhandla om sådana villkor med de egyptiska myndigheterna under överinseende av kommittén med företrädare för medlemsstaterna i enlighet med förordning (EU) nr 182/2011. Enligt den förordningen bör det rådgivande förfarandet som allmän regel tillämpas i alla andra fall än de som föreskrivs i den förordningen. Med hänsyn till den potentiellt stora inverkan som stöd på över 90 miljoner EUR kan ha är det lämpligt att tillämpa granskningsförfarandet för insatser som överstiger detta tröskelvärde. Med hänsyn till storleken på unionens makroekonomiska stöd till Egypten bör granskningsförfarandet tillämpas i samband med antagandet av samförståndsavtalet samt om stödet minskas, tillfälligt avbryts eller upphävs.</w:t>
            </w:r>
          </w:p>
        </w:tc>
      </w:tr>
    </w:tbl>
    <w:p w14:paraId="7BB4BF69" w14:textId="77777777" w:rsidR="0097435D" w:rsidRPr="007B1D0B" w:rsidRDefault="0097435D" w:rsidP="0097435D"/>
    <w:p w14:paraId="6020075E" w14:textId="77777777" w:rsidR="0097435D" w:rsidRPr="007B1D0B" w:rsidRDefault="00AD5277" w:rsidP="0097435D">
      <w:pPr>
        <w:pStyle w:val="AmNumberTabs"/>
      </w:pPr>
      <w:r w:rsidRPr="007B1D0B">
        <w:t>Ändring</w:t>
      </w:r>
      <w:r w:rsidR="0097435D" w:rsidRPr="007B1D0B">
        <w:tab/>
      </w:r>
      <w:r w:rsidR="0097435D" w:rsidRPr="007B1D0B">
        <w:tab/>
        <w:t>17</w:t>
      </w:r>
    </w:p>
    <w:p w14:paraId="47C79477" w14:textId="77777777" w:rsidR="0097435D" w:rsidRPr="007B1D0B" w:rsidRDefault="0097435D" w:rsidP="0097435D"/>
    <w:p w14:paraId="4E97619C" w14:textId="77777777" w:rsidR="0097435D" w:rsidRPr="007B1D0B" w:rsidRDefault="0097435D" w:rsidP="0097435D">
      <w:pPr>
        <w:pStyle w:val="NormalBold"/>
        <w:keepNext/>
      </w:pPr>
      <w:r w:rsidRPr="007B1D0B">
        <w:t>Förslag till beslut</w:t>
      </w:r>
    </w:p>
    <w:p w14:paraId="20888959" w14:textId="77777777" w:rsidR="0097435D" w:rsidRPr="007B1D0B" w:rsidRDefault="0097435D" w:rsidP="0097435D">
      <w:pPr>
        <w:pStyle w:val="NormalBold"/>
      </w:pPr>
      <w:r w:rsidRPr="007B1D0B">
        <w:t>Artikel 1 – punkt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60698BB5" w14:textId="77777777" w:rsidTr="00983598">
        <w:trPr>
          <w:jc w:val="center"/>
        </w:trPr>
        <w:tc>
          <w:tcPr>
            <w:tcW w:w="9752" w:type="dxa"/>
            <w:gridSpan w:val="2"/>
          </w:tcPr>
          <w:p w14:paraId="3109CF7C" w14:textId="77777777" w:rsidR="0097435D" w:rsidRPr="007B1D0B" w:rsidRDefault="0097435D" w:rsidP="006A0ED8">
            <w:pPr>
              <w:keepNext/>
            </w:pPr>
          </w:p>
        </w:tc>
      </w:tr>
      <w:tr w:rsidR="0097435D" w:rsidRPr="007B1D0B" w14:paraId="00930105" w14:textId="77777777" w:rsidTr="00983598">
        <w:trPr>
          <w:jc w:val="center"/>
        </w:trPr>
        <w:tc>
          <w:tcPr>
            <w:tcW w:w="4876" w:type="dxa"/>
            <w:hideMark/>
          </w:tcPr>
          <w:p w14:paraId="4C21796B" w14:textId="77777777" w:rsidR="0097435D" w:rsidRPr="007B1D0B" w:rsidRDefault="0097435D" w:rsidP="006A0ED8">
            <w:pPr>
              <w:pStyle w:val="ColumnHeading"/>
              <w:keepNext/>
            </w:pPr>
            <w:r w:rsidRPr="007B1D0B">
              <w:t>Kommissionens förslag</w:t>
            </w:r>
          </w:p>
        </w:tc>
        <w:tc>
          <w:tcPr>
            <w:tcW w:w="4876" w:type="dxa"/>
            <w:hideMark/>
          </w:tcPr>
          <w:p w14:paraId="3B3BCF78" w14:textId="77777777" w:rsidR="0097435D" w:rsidRPr="007B1D0B" w:rsidRDefault="00AD5277" w:rsidP="006A0ED8">
            <w:pPr>
              <w:pStyle w:val="ColumnHeading"/>
              <w:keepNext/>
            </w:pPr>
            <w:r w:rsidRPr="007B1D0B">
              <w:t>Ändring</w:t>
            </w:r>
          </w:p>
        </w:tc>
      </w:tr>
      <w:tr w:rsidR="0097435D" w:rsidRPr="007B1D0B" w14:paraId="189D2533" w14:textId="77777777" w:rsidTr="00983598">
        <w:trPr>
          <w:jc w:val="center"/>
        </w:trPr>
        <w:tc>
          <w:tcPr>
            <w:tcW w:w="4876" w:type="dxa"/>
            <w:hideMark/>
          </w:tcPr>
          <w:p w14:paraId="229AC8CD" w14:textId="77777777" w:rsidR="0097435D" w:rsidRPr="007B1D0B" w:rsidRDefault="0097435D" w:rsidP="006A0ED8">
            <w:pPr>
              <w:pStyle w:val="Normal6"/>
            </w:pPr>
            <w:r w:rsidRPr="007B1D0B">
              <w:t>1.</w:t>
            </w:r>
            <w:r w:rsidRPr="007B1D0B">
              <w:tab/>
              <w:t xml:space="preserve">Unionen ska göra makroekonomiskt stöd till ett belopp av högst 4 miljarder EUR (unionens makroekonomiska stöd) tillgängligt för Egypten i syfte att stödja landets stabilisering </w:t>
            </w:r>
            <w:r w:rsidRPr="007B1D0B">
              <w:rPr>
                <w:b/>
                <w:bCs/>
                <w:i/>
                <w:iCs/>
              </w:rPr>
              <w:t>av ekonomin</w:t>
            </w:r>
            <w:r w:rsidRPr="007B1D0B">
              <w:t xml:space="preserve"> och en omfattande </w:t>
            </w:r>
            <w:r w:rsidRPr="007B1D0B">
              <w:rPr>
                <w:b/>
                <w:bCs/>
                <w:i/>
                <w:iCs/>
              </w:rPr>
              <w:t>reformagenda</w:t>
            </w:r>
            <w:r w:rsidRPr="007B1D0B">
              <w:t>. Utbetalningen av unionens makroekonomiska stöd förutsätter att Europaparlamentet och rådet godkänner unionens budget för det relevanta året. Stödet ska bidra till att täcka de betalningsbalansbehov som Egypten har enligt IMF-programmet.</w:t>
            </w:r>
          </w:p>
        </w:tc>
        <w:tc>
          <w:tcPr>
            <w:tcW w:w="4876" w:type="dxa"/>
            <w:hideMark/>
          </w:tcPr>
          <w:p w14:paraId="27162BDB" w14:textId="77777777" w:rsidR="0097435D" w:rsidRPr="007B1D0B" w:rsidRDefault="0097435D" w:rsidP="006A0ED8">
            <w:pPr>
              <w:pStyle w:val="Normal6"/>
              <w:rPr>
                <w:szCs w:val="24"/>
              </w:rPr>
            </w:pPr>
            <w:r w:rsidRPr="007B1D0B">
              <w:t>1.</w:t>
            </w:r>
            <w:r w:rsidRPr="007B1D0B">
              <w:tab/>
              <w:t xml:space="preserve">Unionen ska göra makroekonomiskt stöd </w:t>
            </w:r>
            <w:r w:rsidRPr="007B1D0B">
              <w:rPr>
                <w:b/>
                <w:bCs/>
                <w:i/>
                <w:iCs/>
              </w:rPr>
              <w:t>i form av subventionerade lån</w:t>
            </w:r>
            <w:r w:rsidRPr="007B1D0B">
              <w:t xml:space="preserve"> till ett belopp av högst 4 miljarder EUR (unionens makroekonomiska stöd) tillgängligt för Egypten i syfte att stödja landets </w:t>
            </w:r>
            <w:r w:rsidRPr="007B1D0B">
              <w:rPr>
                <w:b/>
                <w:bCs/>
                <w:i/>
                <w:iCs/>
              </w:rPr>
              <w:t>socioekonomiska</w:t>
            </w:r>
            <w:r w:rsidRPr="007B1D0B">
              <w:t xml:space="preserve"> stabilisering och en omfattande </w:t>
            </w:r>
            <w:r w:rsidRPr="007B1D0B">
              <w:rPr>
                <w:b/>
                <w:bCs/>
                <w:i/>
                <w:iCs/>
              </w:rPr>
              <w:t>strukturreformagenda samt dess insatser för att begränsa effekterna av irreguljär migration och hantera migrationsströmmar</w:t>
            </w:r>
            <w:r w:rsidRPr="007B1D0B">
              <w:t>. Utbetalningen av unionens makroekonomiska stöd förutsätter att Europaparlamentet och rådet godkänner unionens budget för det relevanta året. Stödet ska bidra till att täcka de betalningsbalansbehov som Egypten har enligt IMF-programmet.</w:t>
            </w:r>
          </w:p>
        </w:tc>
      </w:tr>
    </w:tbl>
    <w:p w14:paraId="5FA8CCEF" w14:textId="77777777" w:rsidR="00983598" w:rsidRPr="007B1D0B" w:rsidRDefault="00AD5277" w:rsidP="00983598">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B1D0B">
        <w:rPr>
          <w:b/>
          <w:szCs w:val="24"/>
          <w:lang w:eastAsia="en-US"/>
        </w:rPr>
        <w:t>Ändring</w:t>
      </w:r>
      <w:r w:rsidR="00983598" w:rsidRPr="007B1D0B">
        <w:rPr>
          <w:b/>
          <w:szCs w:val="24"/>
          <w:lang w:eastAsia="en-US"/>
        </w:rPr>
        <w:tab/>
      </w:r>
      <w:r w:rsidR="00983598" w:rsidRPr="007B1D0B">
        <w:rPr>
          <w:b/>
          <w:szCs w:val="24"/>
          <w:lang w:eastAsia="en-US"/>
        </w:rPr>
        <w:tab/>
        <w:t>44</w:t>
      </w:r>
    </w:p>
    <w:p w14:paraId="69CAE63E" w14:textId="77777777" w:rsidR="00983598" w:rsidRPr="007B1D0B" w:rsidRDefault="00983598" w:rsidP="00983598">
      <w:pPr>
        <w:rPr>
          <w:b/>
          <w:szCs w:val="24"/>
          <w:lang w:eastAsia="en-US"/>
        </w:rPr>
      </w:pPr>
      <w:r w:rsidRPr="007B1D0B">
        <w:rPr>
          <w:b/>
          <w:szCs w:val="24"/>
          <w:lang w:eastAsia="en-US"/>
        </w:rPr>
        <w:t>Förslag till beslut</w:t>
      </w:r>
    </w:p>
    <w:p w14:paraId="27EFD2F5" w14:textId="77777777" w:rsidR="00983598" w:rsidRPr="007B1D0B" w:rsidRDefault="00983598" w:rsidP="00983598">
      <w:pPr>
        <w:rPr>
          <w:b/>
          <w:szCs w:val="24"/>
          <w:lang w:eastAsia="en-US"/>
        </w:rPr>
      </w:pPr>
      <w:r w:rsidRPr="007B1D0B">
        <w:rPr>
          <w:b/>
          <w:szCs w:val="24"/>
          <w:lang w:eastAsia="en-US"/>
        </w:rPr>
        <w:t>Artikel 1 – punkt 3 – stycke 2a (nytt)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83598" w:rsidRPr="007B1D0B" w14:paraId="6DBF2F54" w14:textId="77777777" w:rsidTr="00980082">
        <w:trPr>
          <w:trHeight w:hRule="exact" w:val="240"/>
          <w:jc w:val="center"/>
        </w:trPr>
        <w:tc>
          <w:tcPr>
            <w:tcW w:w="9752" w:type="dxa"/>
            <w:gridSpan w:val="2"/>
            <w:tcBorders>
              <w:top w:val="nil"/>
              <w:left w:val="nil"/>
              <w:bottom w:val="nil"/>
              <w:right w:val="nil"/>
            </w:tcBorders>
          </w:tcPr>
          <w:p w14:paraId="367CD333" w14:textId="77777777" w:rsidR="00983598" w:rsidRPr="007B1D0B" w:rsidRDefault="00983598" w:rsidP="00980082">
            <w:pPr>
              <w:rPr>
                <w:szCs w:val="24"/>
                <w:lang w:eastAsia="en-US"/>
              </w:rPr>
            </w:pPr>
          </w:p>
        </w:tc>
      </w:tr>
      <w:tr w:rsidR="00983598" w:rsidRPr="007B1D0B" w14:paraId="3B3CF146" w14:textId="77777777" w:rsidTr="00980082">
        <w:trPr>
          <w:trHeight w:val="240"/>
          <w:jc w:val="center"/>
        </w:trPr>
        <w:tc>
          <w:tcPr>
            <w:tcW w:w="4876" w:type="dxa"/>
            <w:tcBorders>
              <w:top w:val="nil"/>
              <w:left w:val="nil"/>
              <w:bottom w:val="nil"/>
              <w:right w:val="nil"/>
            </w:tcBorders>
          </w:tcPr>
          <w:p w14:paraId="5A87A79E" w14:textId="77777777" w:rsidR="00983598" w:rsidRPr="007B1D0B" w:rsidRDefault="00983598" w:rsidP="00980082">
            <w:pPr>
              <w:spacing w:after="240"/>
              <w:jc w:val="center"/>
              <w:rPr>
                <w:i/>
                <w:szCs w:val="24"/>
                <w:lang w:eastAsia="en-US"/>
              </w:rPr>
            </w:pPr>
            <w:r w:rsidRPr="007B1D0B">
              <w:rPr>
                <w:i/>
                <w:szCs w:val="24"/>
                <w:lang w:eastAsia="en-US"/>
              </w:rPr>
              <w:t>Kommissionens förslag</w:t>
            </w:r>
          </w:p>
        </w:tc>
        <w:tc>
          <w:tcPr>
            <w:tcW w:w="4876" w:type="dxa"/>
            <w:tcBorders>
              <w:top w:val="nil"/>
              <w:left w:val="nil"/>
              <w:bottom w:val="nil"/>
              <w:right w:val="nil"/>
            </w:tcBorders>
          </w:tcPr>
          <w:p w14:paraId="21364D37" w14:textId="77777777" w:rsidR="00983598" w:rsidRPr="007B1D0B" w:rsidRDefault="00AD5277" w:rsidP="00980082">
            <w:pPr>
              <w:spacing w:after="240"/>
              <w:jc w:val="center"/>
              <w:rPr>
                <w:i/>
                <w:szCs w:val="24"/>
                <w:lang w:eastAsia="en-US"/>
              </w:rPr>
            </w:pPr>
            <w:r w:rsidRPr="007B1D0B">
              <w:rPr>
                <w:i/>
                <w:szCs w:val="24"/>
                <w:lang w:eastAsia="en-US"/>
              </w:rPr>
              <w:t>Ändring</w:t>
            </w:r>
          </w:p>
        </w:tc>
      </w:tr>
      <w:tr w:rsidR="00983598" w:rsidRPr="007B1D0B" w14:paraId="7C18BA55" w14:textId="77777777" w:rsidTr="00980082">
        <w:trPr>
          <w:jc w:val="center"/>
        </w:trPr>
        <w:tc>
          <w:tcPr>
            <w:tcW w:w="4876" w:type="dxa"/>
            <w:tcBorders>
              <w:top w:val="nil"/>
              <w:left w:val="nil"/>
              <w:bottom w:val="nil"/>
              <w:right w:val="nil"/>
            </w:tcBorders>
          </w:tcPr>
          <w:p w14:paraId="2C00F069" w14:textId="77777777" w:rsidR="00983598" w:rsidRPr="007B1D0B" w:rsidRDefault="00983598" w:rsidP="00980082">
            <w:pPr>
              <w:spacing w:after="120"/>
              <w:rPr>
                <w:szCs w:val="24"/>
                <w:lang w:eastAsia="en-US"/>
              </w:rPr>
            </w:pPr>
          </w:p>
        </w:tc>
        <w:tc>
          <w:tcPr>
            <w:tcW w:w="4876" w:type="dxa"/>
            <w:tcBorders>
              <w:top w:val="nil"/>
              <w:left w:val="nil"/>
              <w:bottom w:val="nil"/>
              <w:right w:val="nil"/>
            </w:tcBorders>
          </w:tcPr>
          <w:p w14:paraId="3B13A7CA" w14:textId="77777777" w:rsidR="00983598" w:rsidRPr="007B1D0B" w:rsidRDefault="00983598" w:rsidP="00980082">
            <w:pPr>
              <w:spacing w:after="120"/>
              <w:rPr>
                <w:szCs w:val="24"/>
                <w:lang w:eastAsia="en-US"/>
              </w:rPr>
            </w:pPr>
            <w:r w:rsidRPr="007B1D0B">
              <w:rPr>
                <w:b/>
                <w:i/>
                <w:szCs w:val="24"/>
                <w:lang w:eastAsia="en-US"/>
              </w:rPr>
              <w:t>Det är avgörande att förvaltningen av medel som anslås inom ramen för detta makroekonomiska stöd är transparent för att säkerställa att medlen används på ett klokt sätt, i linje med de fastställda målen. Unionen ska se till att det inrättas effektiva och oberoende kontroll- och revisionsmekanismer för att förhindra missbruk.</w:t>
            </w:r>
          </w:p>
        </w:tc>
      </w:tr>
    </w:tbl>
    <w:p w14:paraId="5BB159CB" w14:textId="77777777" w:rsidR="0097435D" w:rsidRPr="007B1D0B" w:rsidRDefault="0097435D" w:rsidP="0097435D"/>
    <w:p w14:paraId="3DCEB7F5" w14:textId="77777777" w:rsidR="0097435D" w:rsidRPr="007B1D0B" w:rsidRDefault="00AD5277" w:rsidP="0097435D">
      <w:pPr>
        <w:pStyle w:val="AmNumberTabs"/>
      </w:pPr>
      <w:r w:rsidRPr="007B1D0B">
        <w:t>Ändring</w:t>
      </w:r>
      <w:r w:rsidR="0097435D" w:rsidRPr="007B1D0B">
        <w:tab/>
      </w:r>
      <w:r w:rsidR="0097435D" w:rsidRPr="007B1D0B">
        <w:tab/>
        <w:t>18</w:t>
      </w:r>
    </w:p>
    <w:p w14:paraId="3E740B78" w14:textId="77777777" w:rsidR="0097435D" w:rsidRPr="007B1D0B" w:rsidRDefault="0097435D" w:rsidP="0097435D">
      <w:pPr>
        <w:pStyle w:val="NormalBold12b"/>
      </w:pPr>
      <w:r w:rsidRPr="007B1D0B">
        <w:t>Förslag till beslut</w:t>
      </w:r>
    </w:p>
    <w:p w14:paraId="04E8CFCB" w14:textId="77777777" w:rsidR="0097435D" w:rsidRPr="007B1D0B" w:rsidRDefault="0097435D" w:rsidP="0097435D">
      <w:pPr>
        <w:pStyle w:val="NormalBold"/>
      </w:pPr>
      <w:r w:rsidRPr="007B1D0B">
        <w:t>Artikel 1 – punkt 3a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0A3CA5CF" w14:textId="77777777" w:rsidTr="007F37B2">
        <w:trPr>
          <w:trHeight w:hRule="exact" w:val="240"/>
          <w:jc w:val="center"/>
        </w:trPr>
        <w:tc>
          <w:tcPr>
            <w:tcW w:w="9752" w:type="dxa"/>
            <w:gridSpan w:val="2"/>
            <w:tcBorders>
              <w:top w:val="nil"/>
              <w:left w:val="nil"/>
              <w:bottom w:val="nil"/>
              <w:right w:val="nil"/>
            </w:tcBorders>
          </w:tcPr>
          <w:p w14:paraId="72784003" w14:textId="77777777" w:rsidR="0097435D" w:rsidRPr="007B1D0B" w:rsidRDefault="0097435D" w:rsidP="006A0ED8"/>
        </w:tc>
      </w:tr>
      <w:tr w:rsidR="0097435D" w:rsidRPr="007B1D0B" w14:paraId="5CDE5975" w14:textId="77777777" w:rsidTr="007F37B2">
        <w:trPr>
          <w:trHeight w:val="240"/>
          <w:jc w:val="center"/>
        </w:trPr>
        <w:tc>
          <w:tcPr>
            <w:tcW w:w="4876" w:type="dxa"/>
            <w:tcBorders>
              <w:top w:val="nil"/>
              <w:left w:val="nil"/>
              <w:bottom w:val="nil"/>
              <w:right w:val="nil"/>
            </w:tcBorders>
          </w:tcPr>
          <w:p w14:paraId="53B1AD45"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tcPr>
          <w:p w14:paraId="62511D4F" w14:textId="77777777" w:rsidR="0097435D" w:rsidRPr="007B1D0B" w:rsidRDefault="00AD5277" w:rsidP="006A0ED8">
            <w:pPr>
              <w:pStyle w:val="AmColumnHeading"/>
            </w:pPr>
            <w:r w:rsidRPr="007B1D0B">
              <w:t>Ändring</w:t>
            </w:r>
          </w:p>
        </w:tc>
      </w:tr>
      <w:tr w:rsidR="0097435D" w:rsidRPr="007B1D0B" w14:paraId="2533A1AD" w14:textId="77777777" w:rsidTr="007F37B2">
        <w:trPr>
          <w:jc w:val="center"/>
        </w:trPr>
        <w:tc>
          <w:tcPr>
            <w:tcW w:w="4876" w:type="dxa"/>
            <w:tcBorders>
              <w:top w:val="nil"/>
              <w:left w:val="nil"/>
              <w:bottom w:val="nil"/>
              <w:right w:val="nil"/>
            </w:tcBorders>
          </w:tcPr>
          <w:p w14:paraId="591ABDB6" w14:textId="77777777" w:rsidR="0097435D" w:rsidRPr="007B1D0B" w:rsidRDefault="0097435D" w:rsidP="006A0ED8">
            <w:pPr>
              <w:pStyle w:val="Normal6a"/>
            </w:pPr>
          </w:p>
        </w:tc>
        <w:tc>
          <w:tcPr>
            <w:tcW w:w="4876" w:type="dxa"/>
            <w:tcBorders>
              <w:top w:val="nil"/>
              <w:left w:val="nil"/>
              <w:bottom w:val="nil"/>
              <w:right w:val="nil"/>
            </w:tcBorders>
          </w:tcPr>
          <w:p w14:paraId="71ECD1A5" w14:textId="77777777" w:rsidR="0097435D" w:rsidRPr="007B1D0B" w:rsidRDefault="0097435D" w:rsidP="006A0ED8">
            <w:pPr>
              <w:pStyle w:val="Normal6a"/>
            </w:pPr>
            <w:r w:rsidRPr="007B1D0B">
              <w:rPr>
                <w:b/>
                <w:i/>
              </w:rPr>
              <w:t>3a.</w:t>
            </w:r>
            <w:r w:rsidRPr="007B1D0B">
              <w:tab/>
            </w:r>
            <w:r w:rsidRPr="007B1D0B">
              <w:rPr>
                <w:b/>
                <w:i/>
              </w:rPr>
              <w:t>Makroekonomiskt stöd kan i möjligaste mån bidra till EU:s tillväxt och ekonomiska resiliens.</w:t>
            </w:r>
          </w:p>
        </w:tc>
      </w:tr>
    </w:tbl>
    <w:p w14:paraId="48CE31B4" w14:textId="77777777" w:rsidR="0097435D" w:rsidRPr="007B1D0B" w:rsidRDefault="0097435D" w:rsidP="0097435D"/>
    <w:p w14:paraId="2955A7A6" w14:textId="77777777" w:rsidR="0097435D" w:rsidRPr="007B1D0B" w:rsidRDefault="00AD5277" w:rsidP="0097435D">
      <w:pPr>
        <w:pStyle w:val="AmNumberTabs"/>
      </w:pPr>
      <w:r w:rsidRPr="007B1D0B">
        <w:lastRenderedPageBreak/>
        <w:t>Ändring</w:t>
      </w:r>
      <w:r w:rsidR="0097435D" w:rsidRPr="007B1D0B">
        <w:tab/>
      </w:r>
      <w:r w:rsidR="0097435D" w:rsidRPr="007B1D0B">
        <w:tab/>
        <w:t>19</w:t>
      </w:r>
    </w:p>
    <w:p w14:paraId="560D5C4D" w14:textId="77777777" w:rsidR="0097435D" w:rsidRPr="007B1D0B" w:rsidRDefault="0097435D" w:rsidP="0097435D"/>
    <w:p w14:paraId="599ADD5F" w14:textId="77777777" w:rsidR="0097435D" w:rsidRPr="007B1D0B" w:rsidRDefault="0097435D" w:rsidP="0097435D">
      <w:pPr>
        <w:pStyle w:val="NormalBold"/>
        <w:keepNext/>
      </w:pPr>
      <w:r w:rsidRPr="007B1D0B">
        <w:t>Förslag till beslut</w:t>
      </w:r>
    </w:p>
    <w:p w14:paraId="252B78D4" w14:textId="77777777" w:rsidR="0097435D" w:rsidRPr="007B1D0B" w:rsidRDefault="0097435D" w:rsidP="0097435D">
      <w:pPr>
        <w:pStyle w:val="NormalBold"/>
      </w:pPr>
      <w:r w:rsidRPr="007B1D0B">
        <w:t>Artikel 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65F27F5D" w14:textId="77777777" w:rsidTr="006A0ED8">
        <w:trPr>
          <w:jc w:val="center"/>
        </w:trPr>
        <w:tc>
          <w:tcPr>
            <w:tcW w:w="9752" w:type="dxa"/>
            <w:gridSpan w:val="2"/>
          </w:tcPr>
          <w:p w14:paraId="0FC72566" w14:textId="77777777" w:rsidR="0097435D" w:rsidRPr="007B1D0B" w:rsidRDefault="0097435D" w:rsidP="006A0ED8">
            <w:pPr>
              <w:keepNext/>
            </w:pPr>
          </w:p>
        </w:tc>
      </w:tr>
      <w:tr w:rsidR="0097435D" w:rsidRPr="007B1D0B" w14:paraId="71862F83" w14:textId="77777777" w:rsidTr="006A0ED8">
        <w:trPr>
          <w:jc w:val="center"/>
        </w:trPr>
        <w:tc>
          <w:tcPr>
            <w:tcW w:w="4876" w:type="dxa"/>
            <w:hideMark/>
          </w:tcPr>
          <w:p w14:paraId="230CED4D" w14:textId="77777777" w:rsidR="0097435D" w:rsidRPr="007B1D0B" w:rsidRDefault="0097435D" w:rsidP="006A0ED8">
            <w:pPr>
              <w:pStyle w:val="ColumnHeading"/>
              <w:keepNext/>
            </w:pPr>
            <w:r w:rsidRPr="007B1D0B">
              <w:t>Kommissionens förslag</w:t>
            </w:r>
          </w:p>
        </w:tc>
        <w:tc>
          <w:tcPr>
            <w:tcW w:w="4876" w:type="dxa"/>
            <w:hideMark/>
          </w:tcPr>
          <w:p w14:paraId="41F866A2" w14:textId="77777777" w:rsidR="0097435D" w:rsidRPr="007B1D0B" w:rsidRDefault="00AD5277" w:rsidP="006A0ED8">
            <w:pPr>
              <w:pStyle w:val="ColumnHeading"/>
              <w:keepNext/>
            </w:pPr>
            <w:r w:rsidRPr="007B1D0B">
              <w:t>Ändring</w:t>
            </w:r>
          </w:p>
        </w:tc>
      </w:tr>
      <w:tr w:rsidR="0097435D" w:rsidRPr="007B1D0B" w14:paraId="4E73BF28" w14:textId="77777777" w:rsidTr="006A0ED8">
        <w:trPr>
          <w:jc w:val="center"/>
        </w:trPr>
        <w:tc>
          <w:tcPr>
            <w:tcW w:w="4876" w:type="dxa"/>
            <w:hideMark/>
          </w:tcPr>
          <w:p w14:paraId="43D9AC8D" w14:textId="77777777" w:rsidR="0097435D" w:rsidRPr="007B1D0B" w:rsidRDefault="0097435D" w:rsidP="006A0ED8">
            <w:pPr>
              <w:pStyle w:val="Normal6"/>
            </w:pPr>
            <w:r w:rsidRPr="007B1D0B">
              <w:t>1.</w:t>
            </w:r>
            <w:r w:rsidRPr="007B1D0B">
              <w:tab/>
              <w:t xml:space="preserve">Ett förhandsvillkor för beviljande av unionens makroekonomiska stöd ska vara att Egypten fortsätter att göra konkreta och trovärdiga framsteg när det gäller respekt för gällande demokratiska mekanismer – däribland ett parlamentariskt flerpartisystem – och rättsstatsprincipen, samt </w:t>
            </w:r>
            <w:r w:rsidRPr="007B1D0B">
              <w:rPr>
                <w:b/>
                <w:bCs/>
                <w:i/>
                <w:iCs/>
              </w:rPr>
              <w:t>garanterar</w:t>
            </w:r>
            <w:r w:rsidRPr="007B1D0B">
              <w:t xml:space="preserve"> respekt för mänskliga rättigheter.</w:t>
            </w:r>
          </w:p>
        </w:tc>
        <w:tc>
          <w:tcPr>
            <w:tcW w:w="4876" w:type="dxa"/>
            <w:hideMark/>
          </w:tcPr>
          <w:p w14:paraId="10BD6FB9" w14:textId="77777777" w:rsidR="0097435D" w:rsidRPr="007B1D0B" w:rsidRDefault="0097435D" w:rsidP="006A0ED8">
            <w:pPr>
              <w:pStyle w:val="Normal6"/>
              <w:rPr>
                <w:szCs w:val="24"/>
              </w:rPr>
            </w:pPr>
            <w:r w:rsidRPr="007B1D0B">
              <w:t>1.</w:t>
            </w:r>
            <w:r w:rsidRPr="007B1D0B">
              <w:tab/>
              <w:t xml:space="preserve">Ett förhandsvillkor för beviljande av unionens makroekonomiska stöd ska vara att Egypten fortsätter att göra konkreta och trovärdiga framsteg när det gäller respekt för </w:t>
            </w:r>
            <w:r w:rsidRPr="007B1D0B">
              <w:rPr>
                <w:b/>
                <w:bCs/>
                <w:i/>
                <w:iCs/>
              </w:rPr>
              <w:t>och stärkande av</w:t>
            </w:r>
            <w:r w:rsidRPr="007B1D0B">
              <w:t xml:space="preserve"> gällande demokratiska mekanismer – däribland ett parlamentariskt flerpartisystem – och rättsstatsprincipen, samt </w:t>
            </w:r>
            <w:r w:rsidRPr="007B1D0B">
              <w:rPr>
                <w:b/>
                <w:bCs/>
                <w:i/>
                <w:iCs/>
              </w:rPr>
              <w:t>fortsätter sina ansträngningar att garantera</w:t>
            </w:r>
            <w:r w:rsidRPr="007B1D0B">
              <w:t xml:space="preserve"> respekt för mänskliga rättigheter.</w:t>
            </w:r>
          </w:p>
        </w:tc>
      </w:tr>
    </w:tbl>
    <w:p w14:paraId="49794F27" w14:textId="77777777" w:rsidR="0097435D" w:rsidRPr="007B1D0B" w:rsidRDefault="0097435D" w:rsidP="0097435D"/>
    <w:p w14:paraId="4DDE5B0A" w14:textId="77777777" w:rsidR="0097435D" w:rsidRPr="007B1D0B" w:rsidRDefault="00AD5277" w:rsidP="0097435D">
      <w:pPr>
        <w:pStyle w:val="AmNumberTabs"/>
      </w:pPr>
      <w:r w:rsidRPr="007B1D0B">
        <w:t>Ändring</w:t>
      </w:r>
      <w:r w:rsidR="0097435D" w:rsidRPr="007B1D0B">
        <w:tab/>
      </w:r>
      <w:r w:rsidR="0097435D" w:rsidRPr="007B1D0B">
        <w:tab/>
        <w:t>20</w:t>
      </w:r>
    </w:p>
    <w:p w14:paraId="66578099" w14:textId="77777777" w:rsidR="0097435D" w:rsidRPr="007B1D0B" w:rsidRDefault="0097435D" w:rsidP="0097435D"/>
    <w:p w14:paraId="45ED51FC" w14:textId="77777777" w:rsidR="0097435D" w:rsidRPr="007B1D0B" w:rsidRDefault="0097435D" w:rsidP="0097435D">
      <w:pPr>
        <w:pStyle w:val="NormalBold"/>
        <w:keepNext/>
      </w:pPr>
      <w:r w:rsidRPr="007B1D0B">
        <w:t>Förslag till beslut</w:t>
      </w:r>
    </w:p>
    <w:p w14:paraId="3C6F19AC" w14:textId="77777777" w:rsidR="0097435D" w:rsidRPr="007B1D0B" w:rsidRDefault="0097435D" w:rsidP="0097435D">
      <w:pPr>
        <w:pStyle w:val="NormalBold"/>
      </w:pPr>
      <w:r w:rsidRPr="007B1D0B">
        <w:t>Artikel 2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52A82D4C" w14:textId="77777777" w:rsidTr="006A0ED8">
        <w:trPr>
          <w:jc w:val="center"/>
        </w:trPr>
        <w:tc>
          <w:tcPr>
            <w:tcW w:w="9752" w:type="dxa"/>
            <w:gridSpan w:val="2"/>
          </w:tcPr>
          <w:p w14:paraId="0D38AF42" w14:textId="77777777" w:rsidR="0097435D" w:rsidRPr="007B1D0B" w:rsidRDefault="0097435D" w:rsidP="006A0ED8">
            <w:pPr>
              <w:keepNext/>
            </w:pPr>
          </w:p>
        </w:tc>
      </w:tr>
      <w:tr w:rsidR="0097435D" w:rsidRPr="007B1D0B" w14:paraId="3F909792" w14:textId="77777777" w:rsidTr="006A0ED8">
        <w:trPr>
          <w:jc w:val="center"/>
        </w:trPr>
        <w:tc>
          <w:tcPr>
            <w:tcW w:w="4876" w:type="dxa"/>
            <w:hideMark/>
          </w:tcPr>
          <w:p w14:paraId="18DEB0E7" w14:textId="77777777" w:rsidR="0097435D" w:rsidRPr="007B1D0B" w:rsidRDefault="0097435D" w:rsidP="006A0ED8">
            <w:pPr>
              <w:pStyle w:val="ColumnHeading"/>
              <w:keepNext/>
            </w:pPr>
            <w:r w:rsidRPr="007B1D0B">
              <w:t>Kommissionens förslag</w:t>
            </w:r>
          </w:p>
        </w:tc>
        <w:tc>
          <w:tcPr>
            <w:tcW w:w="4876" w:type="dxa"/>
            <w:hideMark/>
          </w:tcPr>
          <w:p w14:paraId="32353DCC" w14:textId="77777777" w:rsidR="0097435D" w:rsidRPr="007B1D0B" w:rsidRDefault="00AD5277" w:rsidP="006A0ED8">
            <w:pPr>
              <w:pStyle w:val="ColumnHeading"/>
              <w:keepNext/>
            </w:pPr>
            <w:r w:rsidRPr="007B1D0B">
              <w:t>Ändring</w:t>
            </w:r>
          </w:p>
        </w:tc>
      </w:tr>
      <w:tr w:rsidR="0097435D" w:rsidRPr="007B1D0B" w14:paraId="2415F372" w14:textId="77777777" w:rsidTr="006A0ED8">
        <w:trPr>
          <w:jc w:val="center"/>
        </w:trPr>
        <w:tc>
          <w:tcPr>
            <w:tcW w:w="4876" w:type="dxa"/>
            <w:hideMark/>
          </w:tcPr>
          <w:p w14:paraId="29139B6D" w14:textId="77777777" w:rsidR="0097435D" w:rsidRPr="007B1D0B" w:rsidRDefault="0097435D" w:rsidP="006A0ED8">
            <w:pPr>
              <w:pStyle w:val="Normal6"/>
            </w:pPr>
            <w:r w:rsidRPr="007B1D0B">
              <w:t>2.</w:t>
            </w:r>
            <w:r w:rsidRPr="007B1D0B">
              <w:tab/>
              <w:t>Kommissionen och Europeiska utrikestjänsten ska övervaka att detta förhandsvillkor uppfylls under det makroekonomiska stödets hela livscykel.</w:t>
            </w:r>
          </w:p>
        </w:tc>
        <w:tc>
          <w:tcPr>
            <w:tcW w:w="4876" w:type="dxa"/>
            <w:hideMark/>
          </w:tcPr>
          <w:p w14:paraId="703E60D6" w14:textId="77777777" w:rsidR="0097435D" w:rsidRPr="007B1D0B" w:rsidRDefault="0097435D" w:rsidP="006A0ED8">
            <w:pPr>
              <w:pStyle w:val="Normal6"/>
              <w:rPr>
                <w:szCs w:val="24"/>
              </w:rPr>
            </w:pPr>
            <w:r w:rsidRPr="007B1D0B">
              <w:t>2.</w:t>
            </w:r>
            <w:r w:rsidRPr="007B1D0B">
              <w:tab/>
              <w:t xml:space="preserve">Kommissionen och Europeiska utrikestjänsten ska övervaka att detta förhandsvillkor uppfylls under det makroekonomiska stödets hela livscykel </w:t>
            </w:r>
            <w:r w:rsidRPr="007B1D0B">
              <w:rPr>
                <w:b/>
                <w:bCs/>
                <w:i/>
                <w:iCs/>
              </w:rPr>
              <w:t>och regelbundet och skriftligen rapportera till Europaparlamentet och rådet om uppfyllandet av de ekonomiskpolitiska och finansiella villkoren i samförståndsavtalet</w:t>
            </w:r>
            <w:r w:rsidRPr="007B1D0B">
              <w:t>.</w:t>
            </w:r>
          </w:p>
        </w:tc>
      </w:tr>
    </w:tbl>
    <w:p w14:paraId="79292012" w14:textId="77777777" w:rsidR="0097435D" w:rsidRPr="007B1D0B" w:rsidRDefault="0097435D" w:rsidP="0097435D"/>
    <w:p w14:paraId="39C05391" w14:textId="77777777" w:rsidR="0097435D" w:rsidRPr="007B1D0B" w:rsidRDefault="00AD5277" w:rsidP="0097435D">
      <w:pPr>
        <w:pStyle w:val="AMNumberTabs0"/>
        <w:keepNext/>
      </w:pPr>
      <w:r w:rsidRPr="007B1D0B">
        <w:t>Ändring</w:t>
      </w:r>
      <w:r w:rsidR="0097435D" w:rsidRPr="007B1D0B">
        <w:tab/>
      </w:r>
      <w:r w:rsidR="0097435D" w:rsidRPr="007B1D0B">
        <w:tab/>
        <w:t>21</w:t>
      </w:r>
    </w:p>
    <w:p w14:paraId="2252B36D" w14:textId="77777777" w:rsidR="0097435D" w:rsidRPr="007B1D0B" w:rsidRDefault="0097435D" w:rsidP="0097435D">
      <w:pPr>
        <w:pStyle w:val="NormalBold12b"/>
        <w:keepNext/>
      </w:pPr>
      <w:r w:rsidRPr="007B1D0B">
        <w:t>Förslag till beslut</w:t>
      </w:r>
    </w:p>
    <w:p w14:paraId="59BA1697" w14:textId="77777777" w:rsidR="0097435D" w:rsidRPr="007B1D0B" w:rsidRDefault="0097435D" w:rsidP="0097435D">
      <w:pPr>
        <w:pStyle w:val="NormalBold"/>
      </w:pPr>
      <w:r w:rsidRPr="007B1D0B">
        <w:t>Artikel 3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7DE42F47" w14:textId="77777777" w:rsidTr="006A0ED8">
        <w:trPr>
          <w:jc w:val="center"/>
        </w:trPr>
        <w:tc>
          <w:tcPr>
            <w:tcW w:w="9752" w:type="dxa"/>
            <w:gridSpan w:val="2"/>
          </w:tcPr>
          <w:p w14:paraId="53018F52" w14:textId="77777777" w:rsidR="0097435D" w:rsidRPr="007B1D0B" w:rsidRDefault="0097435D" w:rsidP="006A0ED8">
            <w:pPr>
              <w:keepNext/>
            </w:pPr>
          </w:p>
        </w:tc>
      </w:tr>
      <w:tr w:rsidR="0097435D" w:rsidRPr="007B1D0B" w14:paraId="6D186753" w14:textId="77777777" w:rsidTr="006A0ED8">
        <w:trPr>
          <w:jc w:val="center"/>
        </w:trPr>
        <w:tc>
          <w:tcPr>
            <w:tcW w:w="4876" w:type="dxa"/>
            <w:hideMark/>
          </w:tcPr>
          <w:p w14:paraId="35F6A59D" w14:textId="77777777" w:rsidR="0097435D" w:rsidRPr="007B1D0B" w:rsidRDefault="0097435D" w:rsidP="006A0ED8">
            <w:pPr>
              <w:pStyle w:val="ColumnHeading"/>
              <w:keepNext/>
            </w:pPr>
            <w:r w:rsidRPr="007B1D0B">
              <w:t>Kommissionens förslag</w:t>
            </w:r>
          </w:p>
        </w:tc>
        <w:tc>
          <w:tcPr>
            <w:tcW w:w="4876" w:type="dxa"/>
            <w:hideMark/>
          </w:tcPr>
          <w:p w14:paraId="523C4463" w14:textId="77777777" w:rsidR="0097435D" w:rsidRPr="007B1D0B" w:rsidRDefault="00AD5277" w:rsidP="006A0ED8">
            <w:pPr>
              <w:pStyle w:val="ColumnHeading"/>
              <w:keepNext/>
            </w:pPr>
            <w:r w:rsidRPr="007B1D0B">
              <w:t>Ändring</w:t>
            </w:r>
          </w:p>
        </w:tc>
      </w:tr>
      <w:tr w:rsidR="0097435D" w:rsidRPr="007B1D0B" w14:paraId="0B6FB807" w14:textId="77777777" w:rsidTr="006A0ED8">
        <w:trPr>
          <w:jc w:val="center"/>
        </w:trPr>
        <w:tc>
          <w:tcPr>
            <w:tcW w:w="4876" w:type="dxa"/>
            <w:hideMark/>
          </w:tcPr>
          <w:p w14:paraId="5C40C16E" w14:textId="77777777" w:rsidR="0097435D" w:rsidRPr="007B1D0B" w:rsidRDefault="0097435D" w:rsidP="006A0ED8">
            <w:pPr>
              <w:pStyle w:val="Normal6"/>
            </w:pPr>
            <w:r w:rsidRPr="007B1D0B">
              <w:t>1.</w:t>
            </w:r>
            <w:r w:rsidRPr="007B1D0B">
              <w:tab/>
              <w:t xml:space="preserve">Kommissionen ska, i enlighet med det granskningsförfarande som avses i artikel 7.2, komma överens med de egyptiska myndigheterna om tydligt definierade ekonomiskpolitiska och finansiella villkor, med fokus på </w:t>
            </w:r>
            <w:r w:rsidRPr="007B1D0B">
              <w:lastRenderedPageBreak/>
              <w:t>strukturreformer och sunda offentliga finanser, som ska gälla för unionens makroekonomiska stöd och fastställas i ett samförståndsavtal (samförståndsavtalet), vilket även ska innehålla en tidsfrist för att få till stånd dessa reformer. De ekonomiskpolitiska och finansiella villkor som anges i samförståndsavtalet ska vara förenliga med de avtal och överenskommelser som avses i artikel 1.3, inbegripet de makroekonomiska anpassnings- och strukturreformprogram som Egypten genomför med stöd av IMF.</w:t>
            </w:r>
          </w:p>
        </w:tc>
        <w:tc>
          <w:tcPr>
            <w:tcW w:w="4876" w:type="dxa"/>
            <w:hideMark/>
          </w:tcPr>
          <w:p w14:paraId="3B49708D" w14:textId="77777777" w:rsidR="0097435D" w:rsidRPr="007B1D0B" w:rsidRDefault="0097435D" w:rsidP="006A0ED8">
            <w:pPr>
              <w:pStyle w:val="Normal6"/>
              <w:rPr>
                <w:szCs w:val="24"/>
              </w:rPr>
            </w:pPr>
            <w:r w:rsidRPr="007B1D0B">
              <w:lastRenderedPageBreak/>
              <w:t>1.</w:t>
            </w:r>
            <w:r w:rsidRPr="007B1D0B">
              <w:tab/>
              <w:t xml:space="preserve">Kommissionen ska, i enlighet med det granskningsförfarande som avses i artikel 7.2, komma överens med de egyptiska myndigheterna om tydligt definierade ekonomiskpolitiska och finansiella villkor, med fokus på </w:t>
            </w:r>
            <w:r w:rsidRPr="007B1D0B">
              <w:lastRenderedPageBreak/>
              <w:t xml:space="preserve">strukturreformer </w:t>
            </w:r>
            <w:r w:rsidRPr="007B1D0B">
              <w:rPr>
                <w:b/>
                <w:bCs/>
                <w:i/>
                <w:iCs/>
              </w:rPr>
              <w:t>såsom den nya straffrättsreformen,</w:t>
            </w:r>
            <w:r w:rsidRPr="007B1D0B">
              <w:t xml:space="preserve"> och sunda offentliga finanser, som ska gälla för unionens makroekonomiska stöd och fastställas i ett samförståndsavtal (samförståndsavtalet), vilket även ska innehålla en tidsfrist för att få till stånd dessa reformer. De ekonomiskpolitiska och finansiella villkor som anges i samförståndsavtalet ska vara förenliga med de avtal och överenskommelser som avses i artikel 1.3, inbegripet de makroekonomiska anpassnings- och strukturreformprogram som Egypten genomför med stöd av IMF.</w:t>
            </w:r>
          </w:p>
        </w:tc>
      </w:tr>
    </w:tbl>
    <w:p w14:paraId="57F3A01C" w14:textId="77777777" w:rsidR="0097435D" w:rsidRPr="007B1D0B" w:rsidRDefault="0097435D" w:rsidP="0097435D"/>
    <w:p w14:paraId="38523B86" w14:textId="77777777" w:rsidR="0097435D" w:rsidRPr="007B1D0B" w:rsidRDefault="00AD5277" w:rsidP="0097435D">
      <w:pPr>
        <w:pStyle w:val="AmNumberTabs"/>
      </w:pPr>
      <w:r w:rsidRPr="007B1D0B">
        <w:t>Ändring</w:t>
      </w:r>
      <w:r w:rsidR="0097435D" w:rsidRPr="007B1D0B">
        <w:tab/>
      </w:r>
      <w:r w:rsidR="0097435D" w:rsidRPr="007B1D0B">
        <w:tab/>
        <w:t>22</w:t>
      </w:r>
    </w:p>
    <w:p w14:paraId="45C245FE" w14:textId="77777777" w:rsidR="0097435D" w:rsidRPr="007B1D0B" w:rsidRDefault="0097435D" w:rsidP="0097435D"/>
    <w:p w14:paraId="4903F199" w14:textId="77777777" w:rsidR="0097435D" w:rsidRPr="007B1D0B" w:rsidRDefault="0097435D" w:rsidP="0097435D">
      <w:pPr>
        <w:pStyle w:val="NormalBold"/>
        <w:keepNext/>
      </w:pPr>
      <w:r w:rsidRPr="007B1D0B">
        <w:t>Förslag till beslut</w:t>
      </w:r>
    </w:p>
    <w:p w14:paraId="375849A2" w14:textId="77777777" w:rsidR="0097435D" w:rsidRPr="007B1D0B" w:rsidRDefault="0097435D" w:rsidP="0097435D">
      <w:pPr>
        <w:pStyle w:val="NormalBold"/>
      </w:pPr>
      <w:r w:rsidRPr="007B1D0B">
        <w:t>Artikel 3 – punkt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117B016B" w14:textId="77777777" w:rsidTr="001253E1">
        <w:trPr>
          <w:jc w:val="center"/>
        </w:trPr>
        <w:tc>
          <w:tcPr>
            <w:tcW w:w="9752" w:type="dxa"/>
            <w:gridSpan w:val="2"/>
          </w:tcPr>
          <w:p w14:paraId="510D9787" w14:textId="77777777" w:rsidR="0097435D" w:rsidRPr="007B1D0B" w:rsidRDefault="0097435D" w:rsidP="006A0ED8">
            <w:pPr>
              <w:keepNext/>
            </w:pPr>
          </w:p>
        </w:tc>
      </w:tr>
      <w:tr w:rsidR="0097435D" w:rsidRPr="007B1D0B" w14:paraId="0C03CA77" w14:textId="77777777" w:rsidTr="001253E1">
        <w:trPr>
          <w:jc w:val="center"/>
        </w:trPr>
        <w:tc>
          <w:tcPr>
            <w:tcW w:w="4876" w:type="dxa"/>
            <w:hideMark/>
          </w:tcPr>
          <w:p w14:paraId="36F22483" w14:textId="77777777" w:rsidR="0097435D" w:rsidRPr="007B1D0B" w:rsidRDefault="0097435D" w:rsidP="006A0ED8">
            <w:pPr>
              <w:pStyle w:val="ColumnHeading"/>
              <w:keepNext/>
            </w:pPr>
            <w:r w:rsidRPr="007B1D0B">
              <w:t>Kommissionens förslag</w:t>
            </w:r>
          </w:p>
        </w:tc>
        <w:tc>
          <w:tcPr>
            <w:tcW w:w="4876" w:type="dxa"/>
            <w:hideMark/>
          </w:tcPr>
          <w:p w14:paraId="026F89BD" w14:textId="77777777" w:rsidR="0097435D" w:rsidRPr="007B1D0B" w:rsidRDefault="00AD5277" w:rsidP="006A0ED8">
            <w:pPr>
              <w:pStyle w:val="ColumnHeading"/>
              <w:keepNext/>
            </w:pPr>
            <w:r w:rsidRPr="007B1D0B">
              <w:t>Ändring</w:t>
            </w:r>
          </w:p>
        </w:tc>
      </w:tr>
      <w:tr w:rsidR="0097435D" w:rsidRPr="007B1D0B" w14:paraId="008FD5C7" w14:textId="77777777" w:rsidTr="001253E1">
        <w:trPr>
          <w:jc w:val="center"/>
        </w:trPr>
        <w:tc>
          <w:tcPr>
            <w:tcW w:w="4876" w:type="dxa"/>
            <w:hideMark/>
          </w:tcPr>
          <w:p w14:paraId="087AF08F" w14:textId="77777777" w:rsidR="0097435D" w:rsidRPr="007B1D0B" w:rsidRDefault="0097435D" w:rsidP="006A0ED8">
            <w:pPr>
              <w:pStyle w:val="Normal6"/>
            </w:pPr>
            <w:r w:rsidRPr="007B1D0B">
              <w:t>2.</w:t>
            </w:r>
            <w:r w:rsidRPr="007B1D0B">
              <w:tab/>
              <w:t>De villkor som avses i punkt 1 ska särskilt syfta till att stärka effektivitet, transparens och möjligheten att utkräva ansvar inom Egyptens statliga finansförvaltning, inbegripet landets system för användning av unionens makroekonomiska stöd. När politiska åtgärder utformas ska vederbörlig hänsyn även tas till framsteg när det gäller det ömsesidiga öppnandet av marknader, utvecklingen av en regelbaserad och rättvis handel samt andra prioriteringar i unionens utrikespolitik. Kommissionen ska regelbundet övervaka framstegen mot dessa mål.</w:t>
            </w:r>
          </w:p>
        </w:tc>
        <w:tc>
          <w:tcPr>
            <w:tcW w:w="4876" w:type="dxa"/>
            <w:hideMark/>
          </w:tcPr>
          <w:p w14:paraId="6F6B4054" w14:textId="77777777" w:rsidR="0097435D" w:rsidRPr="007B1D0B" w:rsidRDefault="0097435D" w:rsidP="006A0ED8">
            <w:pPr>
              <w:pStyle w:val="Normal6"/>
              <w:rPr>
                <w:szCs w:val="24"/>
              </w:rPr>
            </w:pPr>
            <w:r w:rsidRPr="007B1D0B">
              <w:t>2.</w:t>
            </w:r>
            <w:r w:rsidRPr="007B1D0B">
              <w:tab/>
              <w:t xml:space="preserve">De </w:t>
            </w:r>
            <w:r w:rsidRPr="007B1D0B">
              <w:rPr>
                <w:b/>
                <w:bCs/>
                <w:i/>
                <w:iCs/>
              </w:rPr>
              <w:t>ekonomipolitiska och finansiella</w:t>
            </w:r>
            <w:r w:rsidRPr="007B1D0B">
              <w:t xml:space="preserve"> villkor som avses i punkt 1 ska särskilt syfta till att stärka effektivitet, transparens och möjligheten att utkräva ansvar inom Egyptens statliga finansförvaltning, inbegripet landets system för användning av unionens makroekonomiska stöd. När politiska åtgärder utformas ska vederbörlig hänsyn även tas till framsteg när det gäller det ömsesidiga öppnandet av marknader, </w:t>
            </w:r>
            <w:r w:rsidRPr="007B1D0B">
              <w:rPr>
                <w:b/>
                <w:bCs/>
                <w:i/>
                <w:iCs/>
              </w:rPr>
              <w:t>inbegripet för små och medelstora företag,</w:t>
            </w:r>
            <w:r w:rsidRPr="007B1D0B">
              <w:t xml:space="preserve"> utvecklingen av en regelbaserad och rättvis handel</w:t>
            </w:r>
            <w:r w:rsidRPr="007B1D0B">
              <w:rPr>
                <w:b/>
                <w:bCs/>
                <w:i/>
                <w:iCs/>
              </w:rPr>
              <w:t>, hållbar utveckling, god samhällsstyrning</w:t>
            </w:r>
            <w:r w:rsidRPr="007B1D0B">
              <w:t xml:space="preserve"> samt andra prioriteringar i unionens utrikespolitik. Kommissionen ska regelbundet övervaka framstegen mot dessa mål.</w:t>
            </w:r>
          </w:p>
        </w:tc>
      </w:tr>
    </w:tbl>
    <w:p w14:paraId="2908D83C" w14:textId="77777777" w:rsidR="001253E1" w:rsidRPr="007B1D0B" w:rsidRDefault="00AD5277" w:rsidP="001253E1">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szCs w:val="24"/>
          <w:lang w:eastAsia="en-US"/>
        </w:rPr>
      </w:pPr>
      <w:r w:rsidRPr="007B1D0B">
        <w:rPr>
          <w:b/>
          <w:szCs w:val="24"/>
          <w:lang w:eastAsia="en-US"/>
        </w:rPr>
        <w:t>Ändring</w:t>
      </w:r>
      <w:r w:rsidR="001253E1" w:rsidRPr="007B1D0B">
        <w:rPr>
          <w:b/>
          <w:szCs w:val="24"/>
          <w:lang w:eastAsia="en-US"/>
        </w:rPr>
        <w:tab/>
      </w:r>
      <w:r w:rsidR="001253E1" w:rsidRPr="007B1D0B">
        <w:rPr>
          <w:b/>
          <w:szCs w:val="24"/>
          <w:lang w:eastAsia="en-US"/>
        </w:rPr>
        <w:tab/>
        <w:t>49</w:t>
      </w:r>
    </w:p>
    <w:p w14:paraId="535C3E54" w14:textId="77777777" w:rsidR="001253E1" w:rsidRPr="007B1D0B" w:rsidRDefault="001253E1" w:rsidP="001253E1">
      <w:pPr>
        <w:rPr>
          <w:b/>
          <w:szCs w:val="24"/>
          <w:lang w:eastAsia="en-US"/>
        </w:rPr>
      </w:pPr>
      <w:r w:rsidRPr="007B1D0B">
        <w:rPr>
          <w:b/>
          <w:szCs w:val="24"/>
          <w:lang w:eastAsia="en-US"/>
        </w:rPr>
        <w:t>Förslag till beslut</w:t>
      </w:r>
    </w:p>
    <w:p w14:paraId="14CFFB44" w14:textId="77777777" w:rsidR="001253E1" w:rsidRPr="007B1D0B" w:rsidRDefault="001253E1" w:rsidP="001253E1">
      <w:pPr>
        <w:rPr>
          <w:b/>
          <w:szCs w:val="24"/>
          <w:lang w:eastAsia="en-US"/>
        </w:rPr>
      </w:pPr>
      <w:r w:rsidRPr="007B1D0B">
        <w:rPr>
          <w:b/>
          <w:szCs w:val="24"/>
          <w:lang w:eastAsia="en-US"/>
        </w:rPr>
        <w:t>Artikel 4 – punkt 3 – stycke 1 – led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253E1" w:rsidRPr="007B1D0B" w14:paraId="01E8B11A" w14:textId="77777777" w:rsidTr="00980082">
        <w:trPr>
          <w:trHeight w:hRule="exact" w:val="240"/>
          <w:jc w:val="center"/>
        </w:trPr>
        <w:tc>
          <w:tcPr>
            <w:tcW w:w="9752" w:type="dxa"/>
            <w:gridSpan w:val="2"/>
            <w:tcBorders>
              <w:top w:val="nil"/>
              <w:left w:val="nil"/>
              <w:bottom w:val="nil"/>
              <w:right w:val="nil"/>
            </w:tcBorders>
          </w:tcPr>
          <w:p w14:paraId="09E71A4D" w14:textId="77777777" w:rsidR="001253E1" w:rsidRPr="007B1D0B" w:rsidRDefault="001253E1" w:rsidP="001253E1">
            <w:pPr>
              <w:rPr>
                <w:szCs w:val="24"/>
                <w:lang w:eastAsia="en-US"/>
              </w:rPr>
            </w:pPr>
          </w:p>
        </w:tc>
      </w:tr>
      <w:tr w:rsidR="001253E1" w:rsidRPr="007B1D0B" w14:paraId="71227C4F" w14:textId="77777777" w:rsidTr="00980082">
        <w:trPr>
          <w:trHeight w:val="240"/>
          <w:jc w:val="center"/>
        </w:trPr>
        <w:tc>
          <w:tcPr>
            <w:tcW w:w="4876" w:type="dxa"/>
            <w:tcBorders>
              <w:top w:val="nil"/>
              <w:left w:val="nil"/>
              <w:bottom w:val="nil"/>
              <w:right w:val="nil"/>
            </w:tcBorders>
          </w:tcPr>
          <w:p w14:paraId="56DEDD9A" w14:textId="77777777" w:rsidR="001253E1" w:rsidRPr="007B1D0B" w:rsidRDefault="001253E1" w:rsidP="001253E1">
            <w:pPr>
              <w:spacing w:after="240"/>
              <w:jc w:val="center"/>
              <w:rPr>
                <w:i/>
                <w:szCs w:val="24"/>
                <w:lang w:eastAsia="en-US"/>
              </w:rPr>
            </w:pPr>
            <w:r w:rsidRPr="007B1D0B">
              <w:rPr>
                <w:i/>
                <w:szCs w:val="24"/>
                <w:lang w:eastAsia="en-US"/>
              </w:rPr>
              <w:t>Kommissionens förslag</w:t>
            </w:r>
          </w:p>
        </w:tc>
        <w:tc>
          <w:tcPr>
            <w:tcW w:w="4876" w:type="dxa"/>
            <w:tcBorders>
              <w:top w:val="nil"/>
              <w:left w:val="nil"/>
              <w:bottom w:val="nil"/>
              <w:right w:val="nil"/>
            </w:tcBorders>
          </w:tcPr>
          <w:p w14:paraId="3EE84EC4" w14:textId="77777777" w:rsidR="001253E1" w:rsidRPr="007B1D0B" w:rsidRDefault="00AD5277" w:rsidP="001253E1">
            <w:pPr>
              <w:spacing w:after="240"/>
              <w:jc w:val="center"/>
              <w:rPr>
                <w:i/>
                <w:szCs w:val="24"/>
                <w:lang w:eastAsia="en-US"/>
              </w:rPr>
            </w:pPr>
            <w:r w:rsidRPr="007B1D0B">
              <w:rPr>
                <w:i/>
                <w:szCs w:val="24"/>
                <w:lang w:eastAsia="en-US"/>
              </w:rPr>
              <w:t>Ändring</w:t>
            </w:r>
          </w:p>
        </w:tc>
      </w:tr>
      <w:tr w:rsidR="001253E1" w:rsidRPr="007B1D0B" w14:paraId="3D254C20" w14:textId="77777777" w:rsidTr="00980082">
        <w:trPr>
          <w:jc w:val="center"/>
        </w:trPr>
        <w:tc>
          <w:tcPr>
            <w:tcW w:w="4876" w:type="dxa"/>
            <w:tcBorders>
              <w:top w:val="nil"/>
              <w:left w:val="nil"/>
              <w:bottom w:val="nil"/>
              <w:right w:val="nil"/>
            </w:tcBorders>
          </w:tcPr>
          <w:p w14:paraId="5307CB00" w14:textId="77777777" w:rsidR="001253E1" w:rsidRPr="007B1D0B" w:rsidRDefault="001253E1" w:rsidP="001253E1">
            <w:pPr>
              <w:spacing w:after="120"/>
              <w:rPr>
                <w:szCs w:val="24"/>
                <w:lang w:eastAsia="en-US"/>
              </w:rPr>
            </w:pPr>
            <w:r w:rsidRPr="007B1D0B">
              <w:rPr>
                <w:szCs w:val="24"/>
                <w:lang w:eastAsia="en-US"/>
              </w:rPr>
              <w:t>(c)</w:t>
            </w:r>
            <w:r w:rsidRPr="007B1D0B">
              <w:rPr>
                <w:szCs w:val="24"/>
                <w:lang w:eastAsia="en-US"/>
              </w:rPr>
              <w:tab/>
              <w:t xml:space="preserve">Ett tillfredsställande uppfyllande av de ekonomiskpolitiska och finansiella </w:t>
            </w:r>
            <w:r w:rsidRPr="007B1D0B">
              <w:rPr>
                <w:szCs w:val="24"/>
                <w:lang w:eastAsia="en-US"/>
              </w:rPr>
              <w:lastRenderedPageBreak/>
              <w:t>villkor som fastställs i samförståndsavtalet.</w:t>
            </w:r>
          </w:p>
        </w:tc>
        <w:tc>
          <w:tcPr>
            <w:tcW w:w="4876" w:type="dxa"/>
            <w:tcBorders>
              <w:top w:val="nil"/>
              <w:left w:val="nil"/>
              <w:bottom w:val="nil"/>
              <w:right w:val="nil"/>
            </w:tcBorders>
          </w:tcPr>
          <w:p w14:paraId="6D0392D8" w14:textId="77777777" w:rsidR="001253E1" w:rsidRPr="007B1D0B" w:rsidRDefault="001253E1" w:rsidP="001253E1">
            <w:pPr>
              <w:spacing w:after="120"/>
              <w:rPr>
                <w:szCs w:val="24"/>
                <w:lang w:eastAsia="en-US"/>
              </w:rPr>
            </w:pPr>
            <w:r w:rsidRPr="007B1D0B">
              <w:rPr>
                <w:szCs w:val="24"/>
                <w:lang w:eastAsia="en-US"/>
              </w:rPr>
              <w:lastRenderedPageBreak/>
              <w:t>(c)</w:t>
            </w:r>
            <w:r w:rsidRPr="007B1D0B">
              <w:rPr>
                <w:szCs w:val="24"/>
                <w:lang w:eastAsia="en-US"/>
              </w:rPr>
              <w:tab/>
              <w:t xml:space="preserve">Ett tillfredsställande uppfyllande av de ekonomiskpolitiska och finansiella </w:t>
            </w:r>
            <w:r w:rsidRPr="007B1D0B">
              <w:rPr>
                <w:szCs w:val="24"/>
                <w:lang w:eastAsia="en-US"/>
              </w:rPr>
              <w:lastRenderedPageBreak/>
              <w:t xml:space="preserve">villkor </w:t>
            </w:r>
            <w:r w:rsidRPr="007B1D0B">
              <w:rPr>
                <w:b/>
                <w:bCs/>
                <w:i/>
                <w:iCs/>
                <w:szCs w:val="24"/>
                <w:lang w:eastAsia="en-US"/>
              </w:rPr>
              <w:t>och de villkor för demokrati, rättsstatsprincipen och mänskliga rättigheter</w:t>
            </w:r>
            <w:r w:rsidRPr="007B1D0B">
              <w:rPr>
                <w:szCs w:val="24"/>
                <w:lang w:eastAsia="en-US"/>
              </w:rPr>
              <w:t xml:space="preserve"> som fastställs i samförståndsavtalet.</w:t>
            </w:r>
          </w:p>
        </w:tc>
      </w:tr>
    </w:tbl>
    <w:p w14:paraId="5AE63194" w14:textId="77777777" w:rsidR="0097435D" w:rsidRPr="007B1D0B" w:rsidRDefault="0097435D" w:rsidP="0097435D"/>
    <w:p w14:paraId="4C08DF52" w14:textId="77777777" w:rsidR="0097435D" w:rsidRPr="007B1D0B" w:rsidRDefault="00AD5277" w:rsidP="0097435D">
      <w:pPr>
        <w:pStyle w:val="AMNumberTabs0"/>
        <w:keepNext/>
      </w:pPr>
      <w:r w:rsidRPr="007B1D0B">
        <w:t>Ändring</w:t>
      </w:r>
      <w:r w:rsidR="0097435D" w:rsidRPr="007B1D0B">
        <w:tab/>
      </w:r>
      <w:r w:rsidR="0097435D" w:rsidRPr="007B1D0B">
        <w:tab/>
        <w:t>23</w:t>
      </w:r>
    </w:p>
    <w:p w14:paraId="0B6C1D7E" w14:textId="77777777" w:rsidR="0097435D" w:rsidRPr="007B1D0B" w:rsidRDefault="0097435D" w:rsidP="0097435D">
      <w:pPr>
        <w:pStyle w:val="NormalBold12b"/>
        <w:keepNext/>
      </w:pPr>
      <w:r w:rsidRPr="007B1D0B">
        <w:t>Förslag till beslut</w:t>
      </w:r>
    </w:p>
    <w:p w14:paraId="4DB40FF0" w14:textId="77777777" w:rsidR="0097435D" w:rsidRPr="007B1D0B" w:rsidRDefault="0097435D" w:rsidP="0097435D">
      <w:pPr>
        <w:pStyle w:val="NormalBold"/>
      </w:pPr>
      <w:r w:rsidRPr="007B1D0B">
        <w:t>Artikel 4 – punkt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5DCC8C01" w14:textId="77777777" w:rsidTr="006A0ED8">
        <w:trPr>
          <w:jc w:val="center"/>
        </w:trPr>
        <w:tc>
          <w:tcPr>
            <w:tcW w:w="9752" w:type="dxa"/>
            <w:gridSpan w:val="2"/>
          </w:tcPr>
          <w:p w14:paraId="0FD447A0" w14:textId="77777777" w:rsidR="0097435D" w:rsidRPr="007B1D0B" w:rsidRDefault="0097435D" w:rsidP="006A0ED8">
            <w:pPr>
              <w:keepNext/>
            </w:pPr>
          </w:p>
        </w:tc>
      </w:tr>
      <w:tr w:rsidR="0097435D" w:rsidRPr="007B1D0B" w14:paraId="5E870B1F" w14:textId="77777777" w:rsidTr="006A0ED8">
        <w:trPr>
          <w:jc w:val="center"/>
        </w:trPr>
        <w:tc>
          <w:tcPr>
            <w:tcW w:w="4876" w:type="dxa"/>
            <w:hideMark/>
          </w:tcPr>
          <w:p w14:paraId="0B23FC20" w14:textId="77777777" w:rsidR="0097435D" w:rsidRPr="007B1D0B" w:rsidRDefault="0097435D" w:rsidP="006A0ED8">
            <w:pPr>
              <w:pStyle w:val="ColumnHeading"/>
              <w:keepNext/>
            </w:pPr>
            <w:r w:rsidRPr="007B1D0B">
              <w:t>Kommissionens förslag</w:t>
            </w:r>
          </w:p>
        </w:tc>
        <w:tc>
          <w:tcPr>
            <w:tcW w:w="4876" w:type="dxa"/>
            <w:hideMark/>
          </w:tcPr>
          <w:p w14:paraId="7E8C1177" w14:textId="77777777" w:rsidR="0097435D" w:rsidRPr="007B1D0B" w:rsidRDefault="00AD5277" w:rsidP="006A0ED8">
            <w:pPr>
              <w:pStyle w:val="ColumnHeading"/>
              <w:keepNext/>
            </w:pPr>
            <w:r w:rsidRPr="007B1D0B">
              <w:t>Ändring</w:t>
            </w:r>
          </w:p>
        </w:tc>
      </w:tr>
      <w:tr w:rsidR="0097435D" w:rsidRPr="007B1D0B" w14:paraId="4B0EC154" w14:textId="77777777" w:rsidTr="006A0ED8">
        <w:trPr>
          <w:jc w:val="center"/>
        </w:trPr>
        <w:tc>
          <w:tcPr>
            <w:tcW w:w="4876" w:type="dxa"/>
            <w:hideMark/>
          </w:tcPr>
          <w:p w14:paraId="7DC29F11" w14:textId="77777777" w:rsidR="0097435D" w:rsidRPr="007B1D0B" w:rsidRDefault="0097435D" w:rsidP="006A0ED8">
            <w:pPr>
              <w:pStyle w:val="Normal6"/>
            </w:pPr>
            <w:r w:rsidRPr="007B1D0B">
              <w:t>4.</w:t>
            </w:r>
            <w:r w:rsidRPr="007B1D0B">
              <w:tab/>
              <w:t>Om villkoren i punkt 3 inte är uppfyllda ska kommissionen tillfälligt avbryta eller ställa in utbetalningen av unionens makroekonomiska stöd. Kommissionen ska i så fall informera Europaparlamentet och rådet om skälen till att utbetalningen tillfälligt avbrutits eller ställts in.</w:t>
            </w:r>
          </w:p>
        </w:tc>
        <w:tc>
          <w:tcPr>
            <w:tcW w:w="4876" w:type="dxa"/>
            <w:hideMark/>
          </w:tcPr>
          <w:p w14:paraId="2E5D4437" w14:textId="77777777" w:rsidR="0097435D" w:rsidRPr="007B1D0B" w:rsidRDefault="0097435D" w:rsidP="006A0ED8">
            <w:pPr>
              <w:pStyle w:val="Normal6"/>
              <w:rPr>
                <w:szCs w:val="24"/>
              </w:rPr>
            </w:pPr>
            <w:r w:rsidRPr="007B1D0B">
              <w:t>4.</w:t>
            </w:r>
            <w:r w:rsidRPr="007B1D0B">
              <w:tab/>
              <w:t xml:space="preserve">Om villkoren i punkt 3 inte är uppfyllda ska kommissionen tillfälligt avbryta eller ställa in utbetalningen av unionens makroekonomiska stöd. Kommissionen ska i så fall </w:t>
            </w:r>
            <w:r w:rsidRPr="007B1D0B">
              <w:rPr>
                <w:b/>
                <w:i/>
              </w:rPr>
              <w:t>utan dröjsmål</w:t>
            </w:r>
            <w:r w:rsidRPr="007B1D0B">
              <w:t xml:space="preserve"> informera Europaparlamentet och rådet om skälen till att utbetalningen tillfälligt avbrutits eller ställts in.</w:t>
            </w:r>
          </w:p>
        </w:tc>
      </w:tr>
    </w:tbl>
    <w:p w14:paraId="101B9B12" w14:textId="77777777" w:rsidR="0097435D" w:rsidRPr="007B1D0B" w:rsidRDefault="0097435D" w:rsidP="0097435D"/>
    <w:p w14:paraId="0E18B611" w14:textId="77777777" w:rsidR="0097435D" w:rsidRPr="007B1D0B" w:rsidRDefault="00AD5277" w:rsidP="0097435D">
      <w:pPr>
        <w:pStyle w:val="AmNumberTabs"/>
      </w:pPr>
      <w:r w:rsidRPr="007B1D0B">
        <w:t>Ändring</w:t>
      </w:r>
      <w:r w:rsidR="0097435D" w:rsidRPr="007B1D0B">
        <w:tab/>
      </w:r>
      <w:r w:rsidR="0097435D" w:rsidRPr="007B1D0B">
        <w:tab/>
        <w:t>24</w:t>
      </w:r>
    </w:p>
    <w:p w14:paraId="650D6A50" w14:textId="77777777" w:rsidR="0097435D" w:rsidRPr="007B1D0B" w:rsidRDefault="0097435D" w:rsidP="0097435D">
      <w:pPr>
        <w:pStyle w:val="NormalBold12b"/>
      </w:pPr>
      <w:r w:rsidRPr="007B1D0B">
        <w:t>Förslag till beslut</w:t>
      </w:r>
    </w:p>
    <w:p w14:paraId="4EB46B7C" w14:textId="77777777" w:rsidR="0097435D" w:rsidRPr="007B1D0B" w:rsidRDefault="0097435D" w:rsidP="0097435D">
      <w:pPr>
        <w:pStyle w:val="NormalBold"/>
      </w:pPr>
      <w:r w:rsidRPr="007B1D0B">
        <w:t>Artikel 5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72A07A20" w14:textId="77777777" w:rsidTr="006A0ED8">
        <w:trPr>
          <w:trHeight w:val="240"/>
          <w:jc w:val="center"/>
        </w:trPr>
        <w:tc>
          <w:tcPr>
            <w:tcW w:w="9752" w:type="dxa"/>
            <w:gridSpan w:val="2"/>
            <w:tcBorders>
              <w:top w:val="nil"/>
              <w:left w:val="nil"/>
              <w:bottom w:val="nil"/>
              <w:right w:val="nil"/>
            </w:tcBorders>
          </w:tcPr>
          <w:p w14:paraId="7A8C4784" w14:textId="77777777" w:rsidR="0097435D" w:rsidRPr="007B1D0B" w:rsidRDefault="0097435D" w:rsidP="006A0ED8"/>
        </w:tc>
      </w:tr>
      <w:tr w:rsidR="0097435D" w:rsidRPr="007B1D0B" w14:paraId="50F8016B" w14:textId="77777777" w:rsidTr="006A0ED8">
        <w:trPr>
          <w:trHeight w:val="240"/>
          <w:jc w:val="center"/>
        </w:trPr>
        <w:tc>
          <w:tcPr>
            <w:tcW w:w="4876" w:type="dxa"/>
            <w:tcBorders>
              <w:top w:val="nil"/>
              <w:left w:val="nil"/>
              <w:bottom w:val="nil"/>
              <w:right w:val="nil"/>
            </w:tcBorders>
            <w:hideMark/>
          </w:tcPr>
          <w:p w14:paraId="117A227A"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hideMark/>
          </w:tcPr>
          <w:p w14:paraId="158957BF" w14:textId="77777777" w:rsidR="0097435D" w:rsidRPr="007B1D0B" w:rsidRDefault="00AD5277" w:rsidP="006A0ED8">
            <w:pPr>
              <w:pStyle w:val="AmColumnHeading"/>
            </w:pPr>
            <w:r w:rsidRPr="007B1D0B">
              <w:t>Ändring</w:t>
            </w:r>
          </w:p>
        </w:tc>
      </w:tr>
      <w:tr w:rsidR="0097435D" w:rsidRPr="007B1D0B" w14:paraId="62CE4DD6" w14:textId="77777777" w:rsidTr="006A0ED8">
        <w:trPr>
          <w:jc w:val="center"/>
        </w:trPr>
        <w:tc>
          <w:tcPr>
            <w:tcW w:w="4876" w:type="dxa"/>
            <w:tcBorders>
              <w:top w:val="nil"/>
              <w:left w:val="nil"/>
              <w:bottom w:val="nil"/>
              <w:right w:val="nil"/>
            </w:tcBorders>
            <w:hideMark/>
          </w:tcPr>
          <w:p w14:paraId="555B4734" w14:textId="77777777" w:rsidR="0097435D" w:rsidRPr="007B1D0B" w:rsidRDefault="0097435D" w:rsidP="006A0ED8">
            <w:pPr>
              <w:pStyle w:val="Normal6a"/>
            </w:pPr>
            <w:r w:rsidRPr="007B1D0B">
              <w:t>1.</w:t>
            </w:r>
            <w:r w:rsidRPr="007B1D0B">
              <w:tab/>
              <w:t>För att finansiera stödet inom ramen för det makroekonomiska stödet i form av lån ska kommissionen ha befogenhet att låna upp de nödvändiga medlen för unionens räkning på kapitalmarknaderna eller från finansieringsinstitut i enlighet med artikel </w:t>
            </w:r>
            <w:r w:rsidRPr="007B1D0B">
              <w:rPr>
                <w:b/>
                <w:bCs/>
                <w:i/>
                <w:iCs/>
              </w:rPr>
              <w:t>220a</w:t>
            </w:r>
            <w:r w:rsidRPr="007B1D0B">
              <w:t xml:space="preserve"> i förordning (EU, Euratom) </w:t>
            </w:r>
            <w:r w:rsidRPr="007B1D0B">
              <w:rPr>
                <w:b/>
                <w:bCs/>
                <w:i/>
                <w:iCs/>
              </w:rPr>
              <w:t>2018/1046</w:t>
            </w:r>
            <w:r w:rsidRPr="007B1D0B">
              <w:t>.</w:t>
            </w:r>
          </w:p>
        </w:tc>
        <w:tc>
          <w:tcPr>
            <w:tcW w:w="4876" w:type="dxa"/>
            <w:tcBorders>
              <w:top w:val="nil"/>
              <w:left w:val="nil"/>
              <w:bottom w:val="nil"/>
              <w:right w:val="nil"/>
            </w:tcBorders>
            <w:hideMark/>
          </w:tcPr>
          <w:p w14:paraId="29C76DDC" w14:textId="77777777" w:rsidR="0097435D" w:rsidRPr="007B1D0B" w:rsidRDefault="0097435D" w:rsidP="006A0ED8">
            <w:pPr>
              <w:pStyle w:val="Normal6a"/>
            </w:pPr>
            <w:r w:rsidRPr="007B1D0B">
              <w:t>1.</w:t>
            </w:r>
            <w:r w:rsidRPr="007B1D0B">
              <w:tab/>
              <w:t>För att finansiera stödet inom ramen för det makroekonomiska stödet i form av lån ska kommissionen ha befogenhet att låna upp de nödvändiga medlen för unionens räkning på kapitalmarknaderna eller från finansieringsinstitut i enlighet med artikel </w:t>
            </w:r>
            <w:r w:rsidRPr="007B1D0B">
              <w:rPr>
                <w:b/>
                <w:bCs/>
                <w:i/>
                <w:iCs/>
              </w:rPr>
              <w:t>223</w:t>
            </w:r>
            <w:r w:rsidRPr="007B1D0B">
              <w:t xml:space="preserve"> i förordning (EU, Euratom) </w:t>
            </w:r>
            <w:r w:rsidRPr="007B1D0B">
              <w:rPr>
                <w:b/>
                <w:bCs/>
                <w:i/>
                <w:iCs/>
              </w:rPr>
              <w:t>2024/2509</w:t>
            </w:r>
            <w:r w:rsidRPr="007B1D0B">
              <w:t>.</w:t>
            </w:r>
          </w:p>
        </w:tc>
      </w:tr>
    </w:tbl>
    <w:p w14:paraId="1F8CFE6F" w14:textId="77777777" w:rsidR="0097435D" w:rsidRPr="007B1D0B" w:rsidRDefault="0097435D" w:rsidP="0097435D"/>
    <w:p w14:paraId="7F09AD2E" w14:textId="77777777" w:rsidR="0097435D" w:rsidRPr="007B1D0B" w:rsidRDefault="00AD5277" w:rsidP="0097435D">
      <w:pPr>
        <w:pStyle w:val="AMNumberTabs0"/>
        <w:keepNext/>
      </w:pPr>
      <w:r w:rsidRPr="007B1D0B">
        <w:t>Ändring</w:t>
      </w:r>
      <w:r w:rsidR="0097435D" w:rsidRPr="007B1D0B">
        <w:tab/>
      </w:r>
      <w:r w:rsidR="0097435D" w:rsidRPr="007B1D0B">
        <w:tab/>
        <w:t>25</w:t>
      </w:r>
    </w:p>
    <w:p w14:paraId="3145BB24" w14:textId="77777777" w:rsidR="0097435D" w:rsidRPr="007B1D0B" w:rsidRDefault="0097435D" w:rsidP="0097435D">
      <w:pPr>
        <w:pStyle w:val="NormalBold12b"/>
        <w:keepNext/>
      </w:pPr>
      <w:r w:rsidRPr="007B1D0B">
        <w:t>Förslag till beslut</w:t>
      </w:r>
    </w:p>
    <w:p w14:paraId="5B29309D" w14:textId="77777777" w:rsidR="0097435D" w:rsidRPr="007B1D0B" w:rsidRDefault="0097435D" w:rsidP="0097435D">
      <w:pPr>
        <w:pStyle w:val="NormalBold"/>
      </w:pPr>
      <w:r w:rsidRPr="007B1D0B">
        <w:t>Artikel 5 – punkt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2B4BFD73" w14:textId="77777777" w:rsidTr="006A0ED8">
        <w:trPr>
          <w:jc w:val="center"/>
        </w:trPr>
        <w:tc>
          <w:tcPr>
            <w:tcW w:w="9752" w:type="dxa"/>
            <w:gridSpan w:val="2"/>
          </w:tcPr>
          <w:p w14:paraId="563ADD63" w14:textId="77777777" w:rsidR="0097435D" w:rsidRPr="007B1D0B" w:rsidRDefault="0097435D" w:rsidP="006A0ED8">
            <w:pPr>
              <w:keepNext/>
            </w:pPr>
          </w:p>
        </w:tc>
      </w:tr>
      <w:tr w:rsidR="0097435D" w:rsidRPr="007B1D0B" w14:paraId="0F4F7433" w14:textId="77777777" w:rsidTr="006A0ED8">
        <w:trPr>
          <w:jc w:val="center"/>
        </w:trPr>
        <w:tc>
          <w:tcPr>
            <w:tcW w:w="4876" w:type="dxa"/>
            <w:hideMark/>
          </w:tcPr>
          <w:p w14:paraId="1D47007E" w14:textId="77777777" w:rsidR="0097435D" w:rsidRPr="007B1D0B" w:rsidRDefault="0097435D" w:rsidP="006A0ED8">
            <w:pPr>
              <w:pStyle w:val="ColumnHeading"/>
              <w:keepNext/>
            </w:pPr>
            <w:r w:rsidRPr="007B1D0B">
              <w:t>Kommissionens förslag</w:t>
            </w:r>
          </w:p>
        </w:tc>
        <w:tc>
          <w:tcPr>
            <w:tcW w:w="4876" w:type="dxa"/>
            <w:hideMark/>
          </w:tcPr>
          <w:p w14:paraId="47EAA1D6" w14:textId="77777777" w:rsidR="0097435D" w:rsidRPr="007B1D0B" w:rsidRDefault="00AD5277" w:rsidP="006A0ED8">
            <w:pPr>
              <w:pStyle w:val="ColumnHeading"/>
              <w:keepNext/>
            </w:pPr>
            <w:r w:rsidRPr="007B1D0B">
              <w:t>Ändring</w:t>
            </w:r>
          </w:p>
        </w:tc>
      </w:tr>
      <w:tr w:rsidR="0097435D" w:rsidRPr="007B1D0B" w14:paraId="5A723DF0" w14:textId="77777777" w:rsidTr="006A0ED8">
        <w:trPr>
          <w:jc w:val="center"/>
        </w:trPr>
        <w:tc>
          <w:tcPr>
            <w:tcW w:w="4876" w:type="dxa"/>
            <w:hideMark/>
          </w:tcPr>
          <w:p w14:paraId="762979C1" w14:textId="77777777" w:rsidR="0097435D" w:rsidRPr="007B1D0B" w:rsidRDefault="0097435D" w:rsidP="006A0ED8">
            <w:pPr>
              <w:pStyle w:val="Normal6"/>
            </w:pPr>
            <w:r w:rsidRPr="007B1D0B">
              <w:t>2.</w:t>
            </w:r>
            <w:r w:rsidRPr="007B1D0B">
              <w:tab/>
              <w:t xml:space="preserve">Kommissionen ska ingå ett låneavtal med Egypten avseende det </w:t>
            </w:r>
            <w:r w:rsidRPr="007B1D0B">
              <w:lastRenderedPageBreak/>
              <w:t>belopp som anges i artikel 1. Närmare villkor för stöd inom ramen för det makroekonomiska stödet i form av lån ska i enlighet med artikel </w:t>
            </w:r>
            <w:r w:rsidRPr="007B1D0B">
              <w:rPr>
                <w:b/>
                <w:bCs/>
                <w:i/>
                <w:iCs/>
              </w:rPr>
              <w:t>220</w:t>
            </w:r>
            <w:r w:rsidRPr="007B1D0B">
              <w:t xml:space="preserve"> i budgetförordningen fastställas i ett låneavtal som ska ingås mellan kommissionen och de egyptiska myndigheterna. Låneavtalet ska fastställa tillgänglighetsperioden och de detaljerade villkoren för det makroekonomiska stödet i form av lån, bland annat avseende de interna kontrollsystemen. </w:t>
            </w:r>
            <w:r w:rsidRPr="007B1D0B">
              <w:rPr>
                <w:b/>
                <w:i/>
              </w:rPr>
              <w:t>Lånen</w:t>
            </w:r>
            <w:r w:rsidRPr="007B1D0B">
              <w:t xml:space="preserve"> ska beviljas på villkor som </w:t>
            </w:r>
            <w:r w:rsidRPr="007B1D0B">
              <w:rPr>
                <w:b/>
                <w:i/>
              </w:rPr>
              <w:t>gör det möjligt för Egypten att återbetala lånet</w:t>
            </w:r>
            <w:r w:rsidRPr="007B1D0B">
              <w:t xml:space="preserve"> under en lång period och eventuellt inbegripa en amorteringsfri period. Lånen ska ha en maximal löptid på 35 år. Kommissionen ska informera Europaparlamentet och rådet om utvecklingen vad gäller de transaktioner som avses i punkt 3.</w:t>
            </w:r>
          </w:p>
        </w:tc>
        <w:tc>
          <w:tcPr>
            <w:tcW w:w="4876" w:type="dxa"/>
            <w:hideMark/>
          </w:tcPr>
          <w:p w14:paraId="3030C7EB" w14:textId="77777777" w:rsidR="0097435D" w:rsidRPr="007B1D0B" w:rsidRDefault="0097435D" w:rsidP="006A0ED8">
            <w:pPr>
              <w:pStyle w:val="Normal6"/>
              <w:rPr>
                <w:szCs w:val="24"/>
              </w:rPr>
            </w:pPr>
            <w:r w:rsidRPr="007B1D0B">
              <w:lastRenderedPageBreak/>
              <w:t>2.</w:t>
            </w:r>
            <w:r w:rsidRPr="007B1D0B">
              <w:tab/>
              <w:t xml:space="preserve">Kommissionen ska ingå ett låneavtal med Egypten avseende det </w:t>
            </w:r>
            <w:r w:rsidRPr="007B1D0B">
              <w:lastRenderedPageBreak/>
              <w:t>belopp som anges i artikel 1. Närmare villkor för stöd inom ramen för det makroekonomiska stödet i form av lån ska i enlighet med artikel </w:t>
            </w:r>
            <w:r w:rsidRPr="007B1D0B">
              <w:rPr>
                <w:b/>
                <w:bCs/>
                <w:i/>
                <w:iCs/>
              </w:rPr>
              <w:t>223</w:t>
            </w:r>
            <w:r w:rsidRPr="007B1D0B">
              <w:t xml:space="preserve"> i budgetförordningen fastställas i ett låneavtal som ska ingås mellan kommissionen och de egyptiska myndigheterna. Låneavtalet ska fastställa tillgänglighetsperioden och de detaljerade villkoren för det makroekonomiska stödet i form av lån, bland annat avseende de interna kontrollsystemen. </w:t>
            </w:r>
            <w:r w:rsidRPr="007B1D0B">
              <w:rPr>
                <w:b/>
                <w:bCs/>
                <w:i/>
                <w:iCs/>
              </w:rPr>
              <w:t>Egypten ska återbetala lånet, som</w:t>
            </w:r>
            <w:r w:rsidRPr="007B1D0B">
              <w:t xml:space="preserve"> ska beviljas på villkor som </w:t>
            </w:r>
            <w:r w:rsidRPr="007B1D0B">
              <w:rPr>
                <w:b/>
                <w:bCs/>
                <w:i/>
                <w:iCs/>
              </w:rPr>
              <w:t>möjliggör återbetalning</w:t>
            </w:r>
            <w:r w:rsidRPr="007B1D0B">
              <w:t xml:space="preserve"> under en lång period och eventuellt inbegripa en amorteringsfri period</w:t>
            </w:r>
            <w:r w:rsidRPr="007B1D0B">
              <w:rPr>
                <w:b/>
                <w:bCs/>
                <w:i/>
                <w:iCs/>
              </w:rPr>
              <w:t>, efter en formell anmälan till Europaparlamentet och rådet</w:t>
            </w:r>
            <w:r w:rsidRPr="007B1D0B">
              <w:t>. Lånen ska ha en maximal löptid på 35 år. Kommissionen ska informera Europaparlamentet och rådet om utvecklingen vad gäller de transaktioner som avses i punkt 3.</w:t>
            </w:r>
          </w:p>
        </w:tc>
      </w:tr>
    </w:tbl>
    <w:p w14:paraId="6BBF0989" w14:textId="77777777" w:rsidR="0097435D" w:rsidRPr="007B1D0B" w:rsidRDefault="0097435D" w:rsidP="0097435D"/>
    <w:p w14:paraId="1ADDB572" w14:textId="77777777" w:rsidR="0097435D" w:rsidRPr="007B1D0B" w:rsidRDefault="00AD5277" w:rsidP="0097435D">
      <w:pPr>
        <w:pStyle w:val="AmNumberTabs"/>
      </w:pPr>
      <w:r w:rsidRPr="007B1D0B">
        <w:t>Ändring</w:t>
      </w:r>
      <w:r w:rsidR="0097435D" w:rsidRPr="007B1D0B">
        <w:tab/>
      </w:r>
      <w:r w:rsidR="0097435D" w:rsidRPr="007B1D0B">
        <w:tab/>
        <w:t>26</w:t>
      </w:r>
    </w:p>
    <w:p w14:paraId="4686A6D0" w14:textId="77777777" w:rsidR="0097435D" w:rsidRPr="007B1D0B" w:rsidRDefault="0097435D" w:rsidP="0097435D">
      <w:pPr>
        <w:pStyle w:val="NormalBold12b"/>
      </w:pPr>
      <w:r w:rsidRPr="007B1D0B">
        <w:t>Förslag till beslut</w:t>
      </w:r>
    </w:p>
    <w:p w14:paraId="36BA4F95" w14:textId="77777777" w:rsidR="0097435D" w:rsidRPr="007B1D0B" w:rsidRDefault="0097435D" w:rsidP="0097435D">
      <w:pPr>
        <w:pStyle w:val="NormalBold"/>
      </w:pPr>
      <w:r w:rsidRPr="007B1D0B">
        <w:t>Artikel 6 – punkt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2284FB53" w14:textId="77777777" w:rsidTr="006A0ED8">
        <w:trPr>
          <w:trHeight w:val="240"/>
          <w:jc w:val="center"/>
        </w:trPr>
        <w:tc>
          <w:tcPr>
            <w:tcW w:w="9752" w:type="dxa"/>
            <w:gridSpan w:val="2"/>
            <w:tcBorders>
              <w:top w:val="nil"/>
              <w:left w:val="nil"/>
              <w:bottom w:val="nil"/>
              <w:right w:val="nil"/>
            </w:tcBorders>
          </w:tcPr>
          <w:p w14:paraId="248BCEB0" w14:textId="77777777" w:rsidR="0097435D" w:rsidRPr="007B1D0B" w:rsidRDefault="0097435D" w:rsidP="006A0ED8"/>
        </w:tc>
      </w:tr>
      <w:tr w:rsidR="0097435D" w:rsidRPr="007B1D0B" w14:paraId="47BD7B22" w14:textId="77777777" w:rsidTr="006A0ED8">
        <w:trPr>
          <w:trHeight w:val="240"/>
          <w:jc w:val="center"/>
        </w:trPr>
        <w:tc>
          <w:tcPr>
            <w:tcW w:w="4876" w:type="dxa"/>
            <w:tcBorders>
              <w:top w:val="nil"/>
              <w:left w:val="nil"/>
              <w:bottom w:val="nil"/>
              <w:right w:val="nil"/>
            </w:tcBorders>
            <w:hideMark/>
          </w:tcPr>
          <w:p w14:paraId="62AA5A45"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hideMark/>
          </w:tcPr>
          <w:p w14:paraId="3C55EEF8" w14:textId="77777777" w:rsidR="0097435D" w:rsidRPr="007B1D0B" w:rsidRDefault="00AD5277" w:rsidP="006A0ED8">
            <w:pPr>
              <w:pStyle w:val="AmColumnHeading"/>
            </w:pPr>
            <w:r w:rsidRPr="007B1D0B">
              <w:t>Ändring</w:t>
            </w:r>
          </w:p>
        </w:tc>
      </w:tr>
      <w:tr w:rsidR="0097435D" w:rsidRPr="007B1D0B" w14:paraId="2CE55884" w14:textId="77777777" w:rsidTr="006A0ED8">
        <w:trPr>
          <w:jc w:val="center"/>
        </w:trPr>
        <w:tc>
          <w:tcPr>
            <w:tcW w:w="4876" w:type="dxa"/>
            <w:tcBorders>
              <w:top w:val="nil"/>
              <w:left w:val="nil"/>
              <w:bottom w:val="nil"/>
              <w:right w:val="nil"/>
            </w:tcBorders>
            <w:hideMark/>
          </w:tcPr>
          <w:p w14:paraId="4B29956D" w14:textId="77777777" w:rsidR="0097435D" w:rsidRPr="007B1D0B" w:rsidRDefault="0097435D" w:rsidP="006A0ED8">
            <w:pPr>
              <w:pStyle w:val="Normal6a"/>
            </w:pPr>
            <w:r w:rsidRPr="007B1D0B">
              <w:t>1.</w:t>
            </w:r>
            <w:r w:rsidRPr="007B1D0B">
              <w:tab/>
              <w:t xml:space="preserve">Unionens makroekonomiska stöd ska genomföras i enlighet med Europaparlamentets och rådets förordning (EU, Euratom) nr </w:t>
            </w:r>
            <w:r w:rsidRPr="007B1D0B">
              <w:rPr>
                <w:b/>
                <w:bCs/>
                <w:i/>
                <w:iCs/>
              </w:rPr>
              <w:t>2018/1046</w:t>
            </w:r>
            <w:r w:rsidRPr="007B1D0B">
              <w:rPr>
                <w:vertAlign w:val="superscript"/>
              </w:rPr>
              <w:t>7</w:t>
            </w:r>
            <w:r w:rsidRPr="007B1D0B">
              <w:t>.</w:t>
            </w:r>
          </w:p>
        </w:tc>
        <w:tc>
          <w:tcPr>
            <w:tcW w:w="4876" w:type="dxa"/>
            <w:tcBorders>
              <w:top w:val="nil"/>
              <w:left w:val="nil"/>
              <w:bottom w:val="nil"/>
              <w:right w:val="nil"/>
            </w:tcBorders>
            <w:hideMark/>
          </w:tcPr>
          <w:p w14:paraId="15565AC8" w14:textId="5117FEF0" w:rsidR="0097435D" w:rsidRPr="007B1D0B" w:rsidRDefault="0097435D" w:rsidP="006A0ED8">
            <w:pPr>
              <w:pStyle w:val="Normal6a"/>
            </w:pPr>
            <w:r w:rsidRPr="007B1D0B">
              <w:t>1.</w:t>
            </w:r>
            <w:r w:rsidRPr="007B1D0B">
              <w:tab/>
              <w:t xml:space="preserve">Unionens makroekonomiska stöd ska genomföras i enlighet med Europaparlamentets och rådets förordning (EU, Euratom) </w:t>
            </w:r>
            <w:r w:rsidRPr="007B1D0B">
              <w:rPr>
                <w:b/>
                <w:bCs/>
                <w:i/>
                <w:iCs/>
              </w:rPr>
              <w:t>2024/2509</w:t>
            </w:r>
            <w:r w:rsidRPr="007B1D0B">
              <w:rPr>
                <w:b/>
                <w:bCs/>
                <w:vertAlign w:val="superscript"/>
              </w:rPr>
              <w:t>7</w:t>
            </w:r>
            <w:r w:rsidRPr="007B1D0B">
              <w:t>.</w:t>
            </w:r>
          </w:p>
        </w:tc>
      </w:tr>
      <w:tr w:rsidR="0097435D" w:rsidRPr="007B1D0B" w14:paraId="1EDD2335" w14:textId="77777777" w:rsidTr="006A0ED8">
        <w:trPr>
          <w:jc w:val="center"/>
        </w:trPr>
        <w:tc>
          <w:tcPr>
            <w:tcW w:w="4876" w:type="dxa"/>
            <w:tcBorders>
              <w:top w:val="nil"/>
              <w:left w:val="nil"/>
              <w:bottom w:val="nil"/>
              <w:right w:val="nil"/>
            </w:tcBorders>
            <w:hideMark/>
          </w:tcPr>
          <w:p w14:paraId="758179B8" w14:textId="77777777" w:rsidR="0097435D" w:rsidRPr="007B1D0B" w:rsidRDefault="0097435D" w:rsidP="006A0ED8">
            <w:pPr>
              <w:pStyle w:val="Normal6a"/>
            </w:pPr>
            <w:r w:rsidRPr="007B1D0B">
              <w:rPr>
                <w:b/>
                <w:i/>
              </w:rPr>
              <w:t>_________________</w:t>
            </w:r>
          </w:p>
        </w:tc>
        <w:tc>
          <w:tcPr>
            <w:tcW w:w="4876" w:type="dxa"/>
            <w:tcBorders>
              <w:top w:val="nil"/>
              <w:left w:val="nil"/>
              <w:bottom w:val="nil"/>
              <w:right w:val="nil"/>
            </w:tcBorders>
            <w:hideMark/>
          </w:tcPr>
          <w:p w14:paraId="032789C6" w14:textId="77777777" w:rsidR="0097435D" w:rsidRPr="007B1D0B" w:rsidRDefault="0097435D" w:rsidP="006A0ED8">
            <w:pPr>
              <w:pStyle w:val="Normal6a"/>
            </w:pPr>
            <w:r w:rsidRPr="007B1D0B">
              <w:rPr>
                <w:b/>
                <w:i/>
              </w:rPr>
              <w:t>_________________</w:t>
            </w:r>
          </w:p>
        </w:tc>
      </w:tr>
      <w:tr w:rsidR="0097435D" w:rsidRPr="007B1D0B" w14:paraId="6555A6AF" w14:textId="77777777" w:rsidTr="006A0ED8">
        <w:trPr>
          <w:jc w:val="center"/>
        </w:trPr>
        <w:tc>
          <w:tcPr>
            <w:tcW w:w="4876" w:type="dxa"/>
            <w:tcBorders>
              <w:top w:val="nil"/>
              <w:left w:val="nil"/>
              <w:bottom w:val="nil"/>
              <w:right w:val="nil"/>
            </w:tcBorders>
            <w:hideMark/>
          </w:tcPr>
          <w:p w14:paraId="249C7D87" w14:textId="77777777" w:rsidR="0097435D" w:rsidRPr="007B1D0B" w:rsidRDefault="0097435D" w:rsidP="006A0ED8">
            <w:pPr>
              <w:pStyle w:val="Normal6a"/>
            </w:pPr>
            <w:r w:rsidRPr="007B1D0B">
              <w:rPr>
                <w:vertAlign w:val="superscript"/>
              </w:rPr>
              <w:t>7</w:t>
            </w:r>
            <w:r w:rsidRPr="007B1D0B">
              <w:t xml:space="preserve">Europaparlamentets och rådets förordning (EU, Euratom) </w:t>
            </w:r>
            <w:r w:rsidRPr="007B1D0B">
              <w:rPr>
                <w:b/>
                <w:bCs/>
                <w:i/>
                <w:iCs/>
              </w:rPr>
              <w:t>2018/1046</w:t>
            </w:r>
            <w:r w:rsidRPr="007B1D0B">
              <w:t xml:space="preserve"> av den </w:t>
            </w:r>
            <w:r w:rsidRPr="007B1D0B">
              <w:rPr>
                <w:b/>
                <w:bCs/>
                <w:i/>
                <w:iCs/>
              </w:rPr>
              <w:t>18 juli 2018</w:t>
            </w:r>
            <w:r w:rsidRPr="007B1D0B">
              <w:t xml:space="preserve"> om finansiella regler för unionens allmänna budget </w:t>
            </w:r>
            <w:r w:rsidRPr="007B1D0B">
              <w:rPr>
                <w:b/>
                <w:bCs/>
                <w:i/>
                <w:iCs/>
              </w:rPr>
              <w:t>och om upphävande av rådets förordning (EG, Euratom) nr 966/2012</w:t>
            </w:r>
            <w:r w:rsidRPr="007B1D0B">
              <w:t xml:space="preserve"> (EUT L </w:t>
            </w:r>
            <w:r w:rsidRPr="007B1D0B">
              <w:rPr>
                <w:b/>
                <w:bCs/>
                <w:i/>
                <w:iCs/>
              </w:rPr>
              <w:t>193, 30.7.2018, s. 1)</w:t>
            </w:r>
            <w:r w:rsidRPr="007B1D0B">
              <w:t>.</w:t>
            </w:r>
          </w:p>
        </w:tc>
        <w:tc>
          <w:tcPr>
            <w:tcW w:w="4876" w:type="dxa"/>
            <w:tcBorders>
              <w:top w:val="nil"/>
              <w:left w:val="nil"/>
              <w:bottom w:val="nil"/>
              <w:right w:val="nil"/>
            </w:tcBorders>
            <w:hideMark/>
          </w:tcPr>
          <w:p w14:paraId="22886349" w14:textId="77777777" w:rsidR="0097435D" w:rsidRPr="007B1D0B" w:rsidRDefault="0097435D" w:rsidP="006A0ED8">
            <w:pPr>
              <w:pStyle w:val="Normal6a"/>
            </w:pPr>
            <w:r w:rsidRPr="007B1D0B">
              <w:rPr>
                <w:vertAlign w:val="superscript"/>
              </w:rPr>
              <w:t>7</w:t>
            </w:r>
            <w:r w:rsidRPr="007B1D0B">
              <w:t xml:space="preserve">Europaparlamentets och rådets förordning (EU, Euratom) </w:t>
            </w:r>
            <w:r w:rsidRPr="007B1D0B">
              <w:rPr>
                <w:b/>
                <w:bCs/>
                <w:i/>
                <w:iCs/>
              </w:rPr>
              <w:t>2024/2509</w:t>
            </w:r>
            <w:r w:rsidRPr="007B1D0B">
              <w:t xml:space="preserve"> av den </w:t>
            </w:r>
            <w:r w:rsidRPr="007B1D0B">
              <w:rPr>
                <w:b/>
                <w:bCs/>
                <w:i/>
                <w:iCs/>
              </w:rPr>
              <w:t>23 september 2024</w:t>
            </w:r>
            <w:r w:rsidRPr="007B1D0B">
              <w:t xml:space="preserve"> om finansiella regler för unionens allmänna budget (EUT L, </w:t>
            </w:r>
            <w:r w:rsidRPr="007B1D0B">
              <w:rPr>
                <w:b/>
                <w:bCs/>
                <w:i/>
                <w:iCs/>
              </w:rPr>
              <w:t>2024/2509, 26.9.2024, ELI:</w:t>
            </w:r>
            <w:r w:rsidRPr="007B1D0B">
              <w:rPr>
                <w:b/>
                <w:i/>
              </w:rPr>
              <w:t xml:space="preserve"> </w:t>
            </w:r>
            <w:hyperlink r:id="rId9" w:history="1">
              <w:r w:rsidRPr="007B1D0B">
                <w:rPr>
                  <w:rStyle w:val="Hyperlink"/>
                  <w:b/>
                  <w:i/>
                </w:rPr>
                <w:t>http://data.europa</w:t>
              </w:r>
              <w:r w:rsidRPr="007B1D0B">
                <w:rPr>
                  <w:rStyle w:val="Hyperlink"/>
                </w:rPr>
                <w:t>.</w:t>
              </w:r>
              <w:r w:rsidRPr="007B1D0B">
                <w:rPr>
                  <w:rStyle w:val="Hyperlink"/>
                  <w:b/>
                  <w:i/>
                </w:rPr>
                <w:t>eu/eli/reg/2024/2509/oj</w:t>
              </w:r>
            </w:hyperlink>
            <w:r w:rsidRPr="007B1D0B">
              <w:rPr>
                <w:b/>
                <w:i/>
              </w:rPr>
              <w:t>).</w:t>
            </w:r>
          </w:p>
        </w:tc>
      </w:tr>
    </w:tbl>
    <w:p w14:paraId="21E86623" w14:textId="77777777" w:rsidR="0097435D" w:rsidRPr="007B1D0B" w:rsidRDefault="0097435D" w:rsidP="0097435D"/>
    <w:p w14:paraId="6BA30908" w14:textId="77777777" w:rsidR="0097435D" w:rsidRPr="007B1D0B" w:rsidRDefault="00AD5277" w:rsidP="0097435D">
      <w:pPr>
        <w:pStyle w:val="AmNumberTabs"/>
      </w:pPr>
      <w:r w:rsidRPr="007B1D0B">
        <w:t>Ändring</w:t>
      </w:r>
      <w:r w:rsidR="0097435D" w:rsidRPr="007B1D0B">
        <w:tab/>
      </w:r>
      <w:r w:rsidR="0097435D" w:rsidRPr="007B1D0B">
        <w:tab/>
        <w:t>27</w:t>
      </w:r>
    </w:p>
    <w:p w14:paraId="689E5A36" w14:textId="77777777" w:rsidR="0097435D" w:rsidRPr="007B1D0B" w:rsidRDefault="0097435D" w:rsidP="0097435D">
      <w:pPr>
        <w:pStyle w:val="NormalBold12b"/>
      </w:pPr>
      <w:r w:rsidRPr="007B1D0B">
        <w:t>Förslag till beslut</w:t>
      </w:r>
    </w:p>
    <w:p w14:paraId="1DF7AF72" w14:textId="77777777" w:rsidR="0097435D" w:rsidRPr="007B1D0B" w:rsidRDefault="0097435D" w:rsidP="0097435D">
      <w:pPr>
        <w:pStyle w:val="NormalBold"/>
      </w:pPr>
      <w:r w:rsidRPr="007B1D0B">
        <w:t>Artikel 8 – punkt 1 – led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7435D" w:rsidRPr="007B1D0B" w14:paraId="5A3E733E" w14:textId="77777777" w:rsidTr="006A0ED8">
        <w:trPr>
          <w:trHeight w:val="240"/>
          <w:jc w:val="center"/>
        </w:trPr>
        <w:tc>
          <w:tcPr>
            <w:tcW w:w="9752" w:type="dxa"/>
            <w:gridSpan w:val="2"/>
            <w:tcBorders>
              <w:top w:val="nil"/>
              <w:left w:val="nil"/>
              <w:bottom w:val="nil"/>
              <w:right w:val="nil"/>
            </w:tcBorders>
          </w:tcPr>
          <w:p w14:paraId="42127C7C" w14:textId="77777777" w:rsidR="0097435D" w:rsidRPr="007B1D0B" w:rsidRDefault="0097435D" w:rsidP="006A0ED8"/>
        </w:tc>
      </w:tr>
      <w:tr w:rsidR="0097435D" w:rsidRPr="007B1D0B" w14:paraId="0618055B" w14:textId="77777777" w:rsidTr="006A0ED8">
        <w:trPr>
          <w:trHeight w:val="240"/>
          <w:jc w:val="center"/>
        </w:trPr>
        <w:tc>
          <w:tcPr>
            <w:tcW w:w="4876" w:type="dxa"/>
            <w:tcBorders>
              <w:top w:val="nil"/>
              <w:left w:val="nil"/>
              <w:bottom w:val="nil"/>
              <w:right w:val="nil"/>
            </w:tcBorders>
            <w:hideMark/>
          </w:tcPr>
          <w:p w14:paraId="28D7F554" w14:textId="77777777" w:rsidR="0097435D" w:rsidRPr="007B1D0B" w:rsidRDefault="0097435D" w:rsidP="006A0ED8">
            <w:pPr>
              <w:pStyle w:val="AmColumnHeading"/>
            </w:pPr>
            <w:r w:rsidRPr="007B1D0B">
              <w:t>Kommissionens förslag</w:t>
            </w:r>
          </w:p>
        </w:tc>
        <w:tc>
          <w:tcPr>
            <w:tcW w:w="4876" w:type="dxa"/>
            <w:tcBorders>
              <w:top w:val="nil"/>
              <w:left w:val="nil"/>
              <w:bottom w:val="nil"/>
              <w:right w:val="nil"/>
            </w:tcBorders>
            <w:hideMark/>
          </w:tcPr>
          <w:p w14:paraId="7FEB6F41" w14:textId="77777777" w:rsidR="0097435D" w:rsidRPr="007B1D0B" w:rsidRDefault="00AD5277" w:rsidP="006A0ED8">
            <w:pPr>
              <w:pStyle w:val="AmColumnHeading"/>
            </w:pPr>
            <w:r w:rsidRPr="007B1D0B">
              <w:t>Ändring</w:t>
            </w:r>
          </w:p>
        </w:tc>
      </w:tr>
      <w:tr w:rsidR="0097435D" w:rsidRPr="007B1D0B" w14:paraId="4DFCBC71" w14:textId="77777777" w:rsidTr="006A0ED8">
        <w:trPr>
          <w:jc w:val="center"/>
        </w:trPr>
        <w:tc>
          <w:tcPr>
            <w:tcW w:w="4876" w:type="dxa"/>
            <w:tcBorders>
              <w:top w:val="nil"/>
              <w:left w:val="nil"/>
              <w:bottom w:val="nil"/>
              <w:right w:val="nil"/>
            </w:tcBorders>
            <w:hideMark/>
          </w:tcPr>
          <w:p w14:paraId="62922788" w14:textId="77777777" w:rsidR="0097435D" w:rsidRPr="007B1D0B" w:rsidRDefault="0097435D" w:rsidP="006A0ED8">
            <w:pPr>
              <w:pStyle w:val="Normal6a"/>
            </w:pPr>
            <w:r w:rsidRPr="007B1D0B">
              <w:t>b)</w:t>
            </w:r>
            <w:r w:rsidRPr="007B1D0B">
              <w:tab/>
              <w:t xml:space="preserve">Egyptens ekonomiska situation och ekonomiska framtidsutsikter bedömas, samt vilka framsteg som gjorts i genomförandet av de politiska åtgärder som avses i </w:t>
            </w:r>
            <w:r w:rsidRPr="007B1D0B">
              <w:rPr>
                <w:b/>
                <w:bCs/>
                <w:i/>
                <w:iCs/>
              </w:rPr>
              <w:t>artikel</w:t>
            </w:r>
            <w:r w:rsidRPr="007B1D0B">
              <w:t xml:space="preserve"> 3.1,</w:t>
            </w:r>
          </w:p>
        </w:tc>
        <w:tc>
          <w:tcPr>
            <w:tcW w:w="4876" w:type="dxa"/>
            <w:tcBorders>
              <w:top w:val="nil"/>
              <w:left w:val="nil"/>
              <w:bottom w:val="nil"/>
              <w:right w:val="nil"/>
            </w:tcBorders>
            <w:hideMark/>
          </w:tcPr>
          <w:p w14:paraId="1C038472" w14:textId="77777777" w:rsidR="0097435D" w:rsidRPr="007B1D0B" w:rsidRDefault="0097435D" w:rsidP="006A0ED8">
            <w:pPr>
              <w:pStyle w:val="Normal6a"/>
            </w:pPr>
            <w:r w:rsidRPr="007B1D0B">
              <w:t>b)</w:t>
            </w:r>
            <w:r w:rsidRPr="007B1D0B">
              <w:tab/>
              <w:t xml:space="preserve">Egyptens ekonomiska situation och ekonomiska framtidsutsikter bedömas, samt vilka framsteg som gjorts i genomförandet av de politiska åtgärder som avses i </w:t>
            </w:r>
            <w:r w:rsidRPr="007B1D0B">
              <w:rPr>
                <w:b/>
                <w:bCs/>
                <w:i/>
                <w:iCs/>
              </w:rPr>
              <w:t>artiklarna</w:t>
            </w:r>
            <w:r w:rsidRPr="007B1D0B">
              <w:t xml:space="preserve"> </w:t>
            </w:r>
            <w:r w:rsidRPr="007B1D0B">
              <w:rPr>
                <w:b/>
                <w:bCs/>
                <w:i/>
                <w:iCs/>
              </w:rPr>
              <w:t>2 och</w:t>
            </w:r>
            <w:r w:rsidRPr="007B1D0B">
              <w:t xml:space="preserve"> 3.1,</w:t>
            </w:r>
          </w:p>
        </w:tc>
      </w:tr>
    </w:tbl>
    <w:p w14:paraId="73D60946" w14:textId="77777777" w:rsidR="0097435D" w:rsidRPr="007B1D0B" w:rsidRDefault="0097435D" w:rsidP="0097435D"/>
    <w:p w14:paraId="752EB48B" w14:textId="77777777" w:rsidR="0097435D" w:rsidRPr="007B1D0B" w:rsidRDefault="00AD5277" w:rsidP="0097435D">
      <w:pPr>
        <w:pStyle w:val="AMNumberTabs0"/>
        <w:keepNext/>
      </w:pPr>
      <w:r w:rsidRPr="007B1D0B">
        <w:t>Ändring</w:t>
      </w:r>
      <w:r w:rsidR="0097435D" w:rsidRPr="007B1D0B">
        <w:tab/>
      </w:r>
      <w:r w:rsidR="0097435D" w:rsidRPr="007B1D0B">
        <w:tab/>
        <w:t>28</w:t>
      </w:r>
    </w:p>
    <w:p w14:paraId="1BD12AEA" w14:textId="77777777" w:rsidR="0097435D" w:rsidRPr="007B1D0B" w:rsidRDefault="0097435D" w:rsidP="0097435D">
      <w:pPr>
        <w:pStyle w:val="NormalBold12b"/>
        <w:keepNext/>
      </w:pPr>
      <w:r w:rsidRPr="007B1D0B">
        <w:t>Förslag till beslut</w:t>
      </w:r>
    </w:p>
    <w:p w14:paraId="42681492" w14:textId="77777777" w:rsidR="0097435D" w:rsidRPr="007B1D0B" w:rsidRDefault="0097435D" w:rsidP="0097435D">
      <w:pPr>
        <w:pStyle w:val="NormalBold"/>
      </w:pPr>
      <w:r w:rsidRPr="007B1D0B">
        <w:t>Artikel 8 – punkt 1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435D" w:rsidRPr="007B1D0B" w14:paraId="0484F3AF" w14:textId="77777777" w:rsidTr="006A0ED8">
        <w:trPr>
          <w:jc w:val="center"/>
        </w:trPr>
        <w:tc>
          <w:tcPr>
            <w:tcW w:w="9752" w:type="dxa"/>
            <w:gridSpan w:val="2"/>
          </w:tcPr>
          <w:p w14:paraId="2DE9FC68" w14:textId="77777777" w:rsidR="0097435D" w:rsidRPr="007B1D0B" w:rsidRDefault="0097435D" w:rsidP="006A0ED8">
            <w:pPr>
              <w:keepNext/>
            </w:pPr>
          </w:p>
        </w:tc>
      </w:tr>
      <w:tr w:rsidR="0097435D" w:rsidRPr="007B1D0B" w14:paraId="4BCE2849" w14:textId="77777777" w:rsidTr="006A0ED8">
        <w:trPr>
          <w:jc w:val="center"/>
        </w:trPr>
        <w:tc>
          <w:tcPr>
            <w:tcW w:w="4876" w:type="dxa"/>
            <w:hideMark/>
          </w:tcPr>
          <w:p w14:paraId="7B852224" w14:textId="77777777" w:rsidR="0097435D" w:rsidRPr="007B1D0B" w:rsidRDefault="0097435D" w:rsidP="006A0ED8">
            <w:pPr>
              <w:pStyle w:val="ColumnHeading"/>
              <w:keepNext/>
            </w:pPr>
            <w:r w:rsidRPr="007B1D0B">
              <w:t>Kommissionens förslag</w:t>
            </w:r>
          </w:p>
        </w:tc>
        <w:tc>
          <w:tcPr>
            <w:tcW w:w="4876" w:type="dxa"/>
            <w:hideMark/>
          </w:tcPr>
          <w:p w14:paraId="3D7BA74E" w14:textId="77777777" w:rsidR="0097435D" w:rsidRPr="007B1D0B" w:rsidRDefault="00AD5277" w:rsidP="006A0ED8">
            <w:pPr>
              <w:pStyle w:val="ColumnHeading"/>
              <w:keepNext/>
            </w:pPr>
            <w:r w:rsidRPr="007B1D0B">
              <w:t>Ändring</w:t>
            </w:r>
          </w:p>
        </w:tc>
      </w:tr>
      <w:tr w:rsidR="0097435D" w:rsidRPr="004C5221" w14:paraId="23908A9B" w14:textId="77777777" w:rsidTr="006A0ED8">
        <w:trPr>
          <w:jc w:val="center"/>
        </w:trPr>
        <w:tc>
          <w:tcPr>
            <w:tcW w:w="4876" w:type="dxa"/>
            <w:hideMark/>
          </w:tcPr>
          <w:p w14:paraId="3EEC6744" w14:textId="77777777" w:rsidR="0097435D" w:rsidRPr="007B1D0B" w:rsidRDefault="0097435D" w:rsidP="006A0ED8">
            <w:pPr>
              <w:pStyle w:val="Normal6"/>
            </w:pPr>
            <w:r w:rsidRPr="007B1D0B">
              <w:t>c)</w:t>
            </w:r>
            <w:r w:rsidRPr="007B1D0B">
              <w:tab/>
              <w:t xml:space="preserve">sambandet mellan </w:t>
            </w:r>
            <w:r w:rsidRPr="007B1D0B">
              <w:rPr>
                <w:b/>
                <w:i/>
              </w:rPr>
              <w:t>de</w:t>
            </w:r>
            <w:r w:rsidRPr="007B1D0B">
              <w:t xml:space="preserve"> ekonomiskpolitiska </w:t>
            </w:r>
            <w:r w:rsidRPr="007B1D0B">
              <w:rPr>
                <w:b/>
                <w:i/>
              </w:rPr>
              <w:t>reformåtgärderna i</w:t>
            </w:r>
            <w:r w:rsidRPr="007B1D0B">
              <w:t xml:space="preserve"> samförståndsavtalet, </w:t>
            </w:r>
            <w:r w:rsidRPr="007B1D0B">
              <w:rPr>
                <w:b/>
                <w:i/>
              </w:rPr>
              <w:t>Egyptens aktuella ekonomiska och</w:t>
            </w:r>
            <w:r w:rsidRPr="007B1D0B">
              <w:t xml:space="preserve"> offentligfinansiella utveckling och </w:t>
            </w:r>
            <w:r w:rsidRPr="007B1D0B">
              <w:rPr>
                <w:b/>
                <w:i/>
              </w:rPr>
              <w:t>kommissionens beslut att verkställa delutbetalningar</w:t>
            </w:r>
            <w:r w:rsidRPr="007B1D0B">
              <w:t xml:space="preserve"> av unionens makroekonomiska stöd anges.</w:t>
            </w:r>
          </w:p>
        </w:tc>
        <w:tc>
          <w:tcPr>
            <w:tcW w:w="4876" w:type="dxa"/>
            <w:hideMark/>
          </w:tcPr>
          <w:p w14:paraId="0E426104" w14:textId="77777777" w:rsidR="0097435D" w:rsidRPr="004C5221" w:rsidRDefault="0097435D" w:rsidP="006A0ED8">
            <w:pPr>
              <w:pStyle w:val="Normal6"/>
              <w:rPr>
                <w:szCs w:val="24"/>
              </w:rPr>
            </w:pPr>
            <w:r w:rsidRPr="007B1D0B">
              <w:t>c)</w:t>
            </w:r>
            <w:r w:rsidRPr="007B1D0B">
              <w:tab/>
              <w:t xml:space="preserve">sambandet mellan </w:t>
            </w:r>
            <w:r w:rsidRPr="007B1D0B">
              <w:rPr>
                <w:b/>
                <w:bCs/>
                <w:i/>
                <w:iCs/>
              </w:rPr>
              <w:t>Egyptens</w:t>
            </w:r>
            <w:r w:rsidRPr="007B1D0B">
              <w:t xml:space="preserve"> ekonomiskpolitiska </w:t>
            </w:r>
            <w:r w:rsidRPr="007B1D0B">
              <w:rPr>
                <w:b/>
                <w:bCs/>
                <w:i/>
                <w:iCs/>
              </w:rPr>
              <w:t>reformer enligt</w:t>
            </w:r>
            <w:r w:rsidRPr="007B1D0B">
              <w:t xml:space="preserve"> samförståndsavtalet, </w:t>
            </w:r>
            <w:r w:rsidRPr="007B1D0B">
              <w:rPr>
                <w:b/>
                <w:bCs/>
                <w:i/>
                <w:iCs/>
              </w:rPr>
              <w:t>landets</w:t>
            </w:r>
            <w:r w:rsidRPr="007B1D0B">
              <w:t xml:space="preserve"> offentligfinansiella utveckling och </w:t>
            </w:r>
            <w:r w:rsidRPr="007B1D0B">
              <w:rPr>
                <w:b/>
                <w:bCs/>
                <w:i/>
                <w:iCs/>
              </w:rPr>
              <w:t>utbetalningen</w:t>
            </w:r>
            <w:r w:rsidRPr="007B1D0B">
              <w:t xml:space="preserve"> av unionens makroekonomiska stöd anges, </w:t>
            </w:r>
            <w:r w:rsidRPr="007B1D0B">
              <w:rPr>
                <w:b/>
                <w:bCs/>
                <w:i/>
                <w:iCs/>
              </w:rPr>
              <w:t>med en redogörelse för vilka åtgärder som vidtagits för att säkerställa demokratiska mekanismer, rättsstatsprincipen och mänskliga rättigheter</w:t>
            </w:r>
            <w:r w:rsidRPr="007B1D0B">
              <w:t>.</w:t>
            </w:r>
          </w:p>
        </w:tc>
      </w:tr>
    </w:tbl>
    <w:p w14:paraId="7B221FF7" w14:textId="77777777" w:rsidR="00E365E1" w:rsidRPr="004C5221" w:rsidRDefault="00E365E1" w:rsidP="00360388"/>
    <w:sectPr w:rsidR="00E365E1" w:rsidRPr="004C5221" w:rsidSect="004C5221">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4AE79" w14:textId="77777777" w:rsidR="00360388" w:rsidRPr="004C5221" w:rsidRDefault="00360388">
      <w:r w:rsidRPr="004C5221">
        <w:separator/>
      </w:r>
    </w:p>
  </w:endnote>
  <w:endnote w:type="continuationSeparator" w:id="0">
    <w:p w14:paraId="04FF5426" w14:textId="77777777" w:rsidR="00360388" w:rsidRPr="004C5221" w:rsidRDefault="00360388">
      <w:r w:rsidRPr="004C52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CEC39" w14:textId="77777777" w:rsidR="00064002" w:rsidRPr="004C52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1FCA1" w14:textId="77777777" w:rsidR="00064002" w:rsidRPr="004C52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E0C1C" w14:textId="77777777" w:rsidR="00064002" w:rsidRPr="004C52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F9C49" w14:textId="77777777" w:rsidR="00360388" w:rsidRPr="004C5221" w:rsidRDefault="00360388">
      <w:r w:rsidRPr="004C5221">
        <w:separator/>
      </w:r>
    </w:p>
  </w:footnote>
  <w:footnote w:type="continuationSeparator" w:id="0">
    <w:p w14:paraId="252AB2FA" w14:textId="77777777" w:rsidR="00360388" w:rsidRPr="004C5221" w:rsidRDefault="00360388">
      <w:r w:rsidRPr="004C5221">
        <w:continuationSeparator/>
      </w:r>
    </w:p>
  </w:footnote>
  <w:footnote w:id="1">
    <w:p w14:paraId="5C192F7E" w14:textId="77777777" w:rsidR="00B56AA0" w:rsidRPr="007B1D0B" w:rsidRDefault="00B56AA0" w:rsidP="00B56AA0">
      <w:pPr>
        <w:pStyle w:val="FootnoteText"/>
        <w:ind w:left="709" w:hanging="709"/>
        <w:rPr>
          <w:sz w:val="24"/>
          <w:szCs w:val="24"/>
          <w:lang w:val="sv-SE"/>
        </w:rPr>
      </w:pPr>
      <w:r w:rsidRPr="00980082">
        <w:rPr>
          <w:rStyle w:val="FootnoteReference"/>
          <w:sz w:val="24"/>
          <w:szCs w:val="24"/>
        </w:rPr>
        <w:footnoteRef/>
      </w:r>
      <w:r w:rsidRPr="007B1D0B">
        <w:rPr>
          <w:sz w:val="24"/>
          <w:szCs w:val="24"/>
          <w:lang w:val="sv-SE"/>
        </w:rPr>
        <w:t xml:space="preserve"> </w:t>
      </w:r>
      <w:r w:rsidRPr="007B1D0B">
        <w:rPr>
          <w:sz w:val="24"/>
          <w:szCs w:val="24"/>
          <w:lang w:val="sv-SE"/>
        </w:rPr>
        <w:tab/>
        <w:t>Ärendet återförvisades för interinstitutionella förhandlingar till det ansvariga utskottet, i enlighet med artikel 60.4 fjärde stycket i arbetsordningen (A10-0037/2025).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8B7D" w14:textId="77777777" w:rsidR="00064002" w:rsidRPr="004C52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0BB77" w14:textId="77777777" w:rsidR="00064002" w:rsidRPr="004C52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4C747" w14:textId="77777777" w:rsidR="00064002" w:rsidRPr="004C52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2366186">
    <w:abstractNumId w:val="9"/>
  </w:num>
  <w:num w:numId="2" w16cid:durableId="289631532">
    <w:abstractNumId w:val="9"/>
  </w:num>
  <w:num w:numId="3" w16cid:durableId="476649841">
    <w:abstractNumId w:val="7"/>
  </w:num>
  <w:num w:numId="4" w16cid:durableId="953247410">
    <w:abstractNumId w:val="7"/>
  </w:num>
  <w:num w:numId="5" w16cid:durableId="717048989">
    <w:abstractNumId w:val="6"/>
  </w:num>
  <w:num w:numId="6" w16cid:durableId="2006276688">
    <w:abstractNumId w:val="6"/>
  </w:num>
  <w:num w:numId="7" w16cid:durableId="13729658">
    <w:abstractNumId w:val="5"/>
  </w:num>
  <w:num w:numId="8" w16cid:durableId="1325010632">
    <w:abstractNumId w:val="5"/>
  </w:num>
  <w:num w:numId="9" w16cid:durableId="1564758945">
    <w:abstractNumId w:val="4"/>
  </w:num>
  <w:num w:numId="10" w16cid:durableId="901404273">
    <w:abstractNumId w:val="4"/>
  </w:num>
  <w:num w:numId="11" w16cid:durableId="114372009">
    <w:abstractNumId w:val="8"/>
  </w:num>
  <w:num w:numId="12" w16cid:durableId="786584281">
    <w:abstractNumId w:val="8"/>
  </w:num>
  <w:num w:numId="13" w16cid:durableId="1281688496">
    <w:abstractNumId w:val="3"/>
  </w:num>
  <w:num w:numId="14" w16cid:durableId="1283459041">
    <w:abstractNumId w:val="3"/>
  </w:num>
  <w:num w:numId="15" w16cid:durableId="973873205">
    <w:abstractNumId w:val="2"/>
  </w:num>
  <w:num w:numId="16" w16cid:durableId="1958022915">
    <w:abstractNumId w:val="2"/>
  </w:num>
  <w:num w:numId="17" w16cid:durableId="1205617">
    <w:abstractNumId w:val="1"/>
  </w:num>
  <w:num w:numId="18" w16cid:durableId="371612573">
    <w:abstractNumId w:val="1"/>
  </w:num>
  <w:num w:numId="19" w16cid:durableId="2108621708">
    <w:abstractNumId w:val="0"/>
  </w:num>
  <w:num w:numId="20" w16cid:durableId="80033288">
    <w:abstractNumId w:val="0"/>
  </w:num>
  <w:num w:numId="21" w16cid:durableId="569314666">
    <w:abstractNumId w:val="9"/>
  </w:num>
  <w:num w:numId="22" w16cid:durableId="874731522">
    <w:abstractNumId w:val="7"/>
  </w:num>
  <w:num w:numId="23" w16cid:durableId="1466894855">
    <w:abstractNumId w:val="6"/>
  </w:num>
  <w:num w:numId="24" w16cid:durableId="1026905005">
    <w:abstractNumId w:val="5"/>
  </w:num>
  <w:num w:numId="25" w16cid:durableId="1255473823">
    <w:abstractNumId w:val="4"/>
  </w:num>
  <w:num w:numId="26" w16cid:durableId="726414324">
    <w:abstractNumId w:val="8"/>
  </w:num>
  <w:num w:numId="27" w16cid:durableId="372268267">
    <w:abstractNumId w:val="3"/>
  </w:num>
  <w:num w:numId="28" w16cid:durableId="2060979622">
    <w:abstractNumId w:val="2"/>
  </w:num>
  <w:num w:numId="29" w16cid:durableId="295330565">
    <w:abstractNumId w:val="1"/>
  </w:num>
  <w:num w:numId="30" w16cid:durableId="495002809">
    <w:abstractNumId w:val="0"/>
  </w:num>
  <w:num w:numId="31" w16cid:durableId="542058582">
    <w:abstractNumId w:val="9"/>
  </w:num>
  <w:num w:numId="32" w16cid:durableId="1183085626">
    <w:abstractNumId w:val="7"/>
  </w:num>
  <w:num w:numId="33" w16cid:durableId="1372608349">
    <w:abstractNumId w:val="6"/>
  </w:num>
  <w:num w:numId="34" w16cid:durableId="1015687733">
    <w:abstractNumId w:val="5"/>
  </w:num>
  <w:num w:numId="35" w16cid:durableId="1787770793">
    <w:abstractNumId w:val="4"/>
  </w:num>
  <w:num w:numId="36" w16cid:durableId="1960721448">
    <w:abstractNumId w:val="8"/>
  </w:num>
  <w:num w:numId="37" w16cid:durableId="332727062">
    <w:abstractNumId w:val="3"/>
  </w:num>
  <w:num w:numId="38" w16cid:durableId="923027270">
    <w:abstractNumId w:val="2"/>
  </w:num>
  <w:num w:numId="39" w16cid:durableId="1848207490">
    <w:abstractNumId w:val="1"/>
  </w:num>
  <w:num w:numId="40" w16cid:durableId="2140491619">
    <w:abstractNumId w:val="0"/>
  </w:num>
  <w:num w:numId="41" w16cid:durableId="1465347466">
    <w:abstractNumId w:val="10"/>
  </w:num>
  <w:num w:numId="42" w16cid:durableId="2034528797">
    <w:abstractNumId w:val="10"/>
  </w:num>
  <w:num w:numId="43" w16cid:durableId="1876309984">
    <w:abstractNumId w:val="10"/>
  </w:num>
  <w:num w:numId="44" w16cid:durableId="1764105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SV"/>
    <w:docVar w:name="dvnumam" w:val="41"/>
    <w:docVar w:name="dvpe" w:val="765.300"/>
    <w:docVar w:name="dvrapporteur" w:val="Föredragande: "/>
    <w:docVar w:name="dvstar" w:val="***I"/>
    <w:docVar w:name="dvtitre" w:val="Europaparlamentets lagstiftningsresolution av den xx xx 2025 om förslaget till Europaparlamentets och rådets beslut om makroekonomiskt stöd till Arabrepubliken Egypten(COM(2024)0461 – C10-0009/2024 – 2024/0071(COD))"/>
  </w:docVars>
  <w:rsids>
    <w:rsidRoot w:val="00360388"/>
    <w:rsid w:val="00002272"/>
    <w:rsid w:val="00064002"/>
    <w:rsid w:val="000677B9"/>
    <w:rsid w:val="000831BA"/>
    <w:rsid w:val="000A42CC"/>
    <w:rsid w:val="000E7DD9"/>
    <w:rsid w:val="0010095E"/>
    <w:rsid w:val="001253E1"/>
    <w:rsid w:val="00125B37"/>
    <w:rsid w:val="0016277B"/>
    <w:rsid w:val="00187494"/>
    <w:rsid w:val="001E4FE1"/>
    <w:rsid w:val="001F32AE"/>
    <w:rsid w:val="00262AC1"/>
    <w:rsid w:val="002767FF"/>
    <w:rsid w:val="002B18FE"/>
    <w:rsid w:val="002B5493"/>
    <w:rsid w:val="00343214"/>
    <w:rsid w:val="00360388"/>
    <w:rsid w:val="00361C00"/>
    <w:rsid w:val="0038385D"/>
    <w:rsid w:val="00395FA1"/>
    <w:rsid w:val="003E15D4"/>
    <w:rsid w:val="00411CCE"/>
    <w:rsid w:val="0041666E"/>
    <w:rsid w:val="00421060"/>
    <w:rsid w:val="004671B1"/>
    <w:rsid w:val="00471C19"/>
    <w:rsid w:val="004867E3"/>
    <w:rsid w:val="00494A28"/>
    <w:rsid w:val="004C0004"/>
    <w:rsid w:val="004C5221"/>
    <w:rsid w:val="004C5D52"/>
    <w:rsid w:val="004D183D"/>
    <w:rsid w:val="0050519A"/>
    <w:rsid w:val="005072A1"/>
    <w:rsid w:val="00514517"/>
    <w:rsid w:val="00545827"/>
    <w:rsid w:val="00560270"/>
    <w:rsid w:val="00577F6C"/>
    <w:rsid w:val="005C2568"/>
    <w:rsid w:val="005F1B17"/>
    <w:rsid w:val="006037C0"/>
    <w:rsid w:val="006631B6"/>
    <w:rsid w:val="00680577"/>
    <w:rsid w:val="006F74FA"/>
    <w:rsid w:val="00731ADD"/>
    <w:rsid w:val="00734777"/>
    <w:rsid w:val="00747932"/>
    <w:rsid w:val="00747AD9"/>
    <w:rsid w:val="00751A4A"/>
    <w:rsid w:val="00756632"/>
    <w:rsid w:val="00762C74"/>
    <w:rsid w:val="00786EC0"/>
    <w:rsid w:val="007B1D0B"/>
    <w:rsid w:val="007D1690"/>
    <w:rsid w:val="007E22AD"/>
    <w:rsid w:val="007F37B2"/>
    <w:rsid w:val="00817416"/>
    <w:rsid w:val="00842779"/>
    <w:rsid w:val="00865F67"/>
    <w:rsid w:val="00881A7B"/>
    <w:rsid w:val="008840E5"/>
    <w:rsid w:val="00887B3E"/>
    <w:rsid w:val="008B7EFA"/>
    <w:rsid w:val="008C2AC6"/>
    <w:rsid w:val="00930C23"/>
    <w:rsid w:val="0093193B"/>
    <w:rsid w:val="009509D8"/>
    <w:rsid w:val="00950B64"/>
    <w:rsid w:val="0096323A"/>
    <w:rsid w:val="0097435D"/>
    <w:rsid w:val="00981893"/>
    <w:rsid w:val="00983598"/>
    <w:rsid w:val="00A1687D"/>
    <w:rsid w:val="00A43E52"/>
    <w:rsid w:val="00A4678D"/>
    <w:rsid w:val="00A64640"/>
    <w:rsid w:val="00A778C7"/>
    <w:rsid w:val="00AB441E"/>
    <w:rsid w:val="00AB6293"/>
    <w:rsid w:val="00AD5277"/>
    <w:rsid w:val="00AE0928"/>
    <w:rsid w:val="00AF3B82"/>
    <w:rsid w:val="00B12E95"/>
    <w:rsid w:val="00B22876"/>
    <w:rsid w:val="00B558F0"/>
    <w:rsid w:val="00B56AA0"/>
    <w:rsid w:val="00BD48FE"/>
    <w:rsid w:val="00BD7BD8"/>
    <w:rsid w:val="00BE6ADC"/>
    <w:rsid w:val="00C05BFE"/>
    <w:rsid w:val="00C13CCF"/>
    <w:rsid w:val="00C23CD4"/>
    <w:rsid w:val="00C61C0C"/>
    <w:rsid w:val="00C941CB"/>
    <w:rsid w:val="00CC2357"/>
    <w:rsid w:val="00CF071A"/>
    <w:rsid w:val="00D058B8"/>
    <w:rsid w:val="00D56C11"/>
    <w:rsid w:val="00D834A0"/>
    <w:rsid w:val="00D872DF"/>
    <w:rsid w:val="00D91E21"/>
    <w:rsid w:val="00DA1BCA"/>
    <w:rsid w:val="00DA7FCD"/>
    <w:rsid w:val="00E365E1"/>
    <w:rsid w:val="00E820A4"/>
    <w:rsid w:val="00EB006A"/>
    <w:rsid w:val="00EB4772"/>
    <w:rsid w:val="00ED169E"/>
    <w:rsid w:val="00ED4235"/>
    <w:rsid w:val="00F04346"/>
    <w:rsid w:val="00F059B7"/>
    <w:rsid w:val="00F075DC"/>
    <w:rsid w:val="00F149E9"/>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F4085"/>
  <w15:chartTrackingRefBased/>
  <w15:docId w15:val="{B23C7761-114B-42BC-AF42-B3E689A7C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7435D"/>
    <w:pPr>
      <w:spacing w:after="120"/>
    </w:pPr>
  </w:style>
  <w:style w:type="paragraph" w:customStyle="1" w:styleId="NormalBold">
    <w:name w:val="NormalBold"/>
    <w:basedOn w:val="Normal"/>
    <w:link w:val="NormalBoldChar"/>
    <w:rsid w:val="0097435D"/>
    <w:rPr>
      <w:b/>
    </w:rPr>
  </w:style>
  <w:style w:type="paragraph" w:customStyle="1" w:styleId="NormalHanging12a">
    <w:name w:val="NormalHanging12a"/>
    <w:basedOn w:val="Normal"/>
    <w:link w:val="NormalHanging12aChar"/>
    <w:rsid w:val="0097435D"/>
    <w:pPr>
      <w:spacing w:after="240"/>
      <w:ind w:left="567" w:hanging="567"/>
    </w:pPr>
  </w:style>
  <w:style w:type="paragraph" w:customStyle="1" w:styleId="AmColumnHeading">
    <w:name w:val="AmColumnHeading"/>
    <w:basedOn w:val="Normal"/>
    <w:rsid w:val="0097435D"/>
    <w:pPr>
      <w:spacing w:after="240"/>
      <w:jc w:val="center"/>
    </w:pPr>
    <w:rPr>
      <w:i/>
    </w:rPr>
  </w:style>
  <w:style w:type="paragraph" w:customStyle="1" w:styleId="AmNumberTabs">
    <w:name w:val="AmNumberTabs"/>
    <w:basedOn w:val="Normal"/>
    <w:link w:val="AmNumberTabsChar"/>
    <w:rsid w:val="009743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7435D"/>
    <w:pPr>
      <w:spacing w:before="240"/>
    </w:pPr>
    <w:rPr>
      <w:b/>
    </w:rPr>
  </w:style>
  <w:style w:type="paragraph" w:customStyle="1" w:styleId="EPComma">
    <w:name w:val="EPComma"/>
    <w:basedOn w:val="Normal"/>
    <w:rsid w:val="0097435D"/>
    <w:pPr>
      <w:spacing w:before="480" w:after="240"/>
    </w:pPr>
  </w:style>
  <w:style w:type="character" w:styleId="Hyperlink">
    <w:name w:val="Hyperlink"/>
    <w:basedOn w:val="DefaultParagraphFont"/>
    <w:rsid w:val="0097435D"/>
    <w:rPr>
      <w:color w:val="0563C1" w:themeColor="hyperlink"/>
      <w:u w:val="single"/>
    </w:rPr>
  </w:style>
  <w:style w:type="character" w:customStyle="1" w:styleId="NormalHanging12aChar">
    <w:name w:val="NormalHanging12a Char"/>
    <w:basedOn w:val="DefaultParagraphFont"/>
    <w:link w:val="NormalHanging12a"/>
    <w:locked/>
    <w:rsid w:val="0097435D"/>
    <w:rPr>
      <w:sz w:val="24"/>
      <w:lang w:val="sv-SE"/>
    </w:rPr>
  </w:style>
  <w:style w:type="character" w:customStyle="1" w:styleId="Normal6Char">
    <w:name w:val="Normal6 Char"/>
    <w:basedOn w:val="DefaultParagraphFont"/>
    <w:link w:val="Normal6"/>
    <w:locked/>
    <w:rsid w:val="0097435D"/>
    <w:rPr>
      <w:sz w:val="24"/>
      <w:lang w:val="sv-SE"/>
    </w:rPr>
  </w:style>
  <w:style w:type="paragraph" w:customStyle="1" w:styleId="Normal6">
    <w:name w:val="Normal6"/>
    <w:basedOn w:val="Normal"/>
    <w:link w:val="Normal6Char"/>
    <w:rsid w:val="0097435D"/>
    <w:pPr>
      <w:spacing w:after="120"/>
    </w:pPr>
  </w:style>
  <w:style w:type="character" w:customStyle="1" w:styleId="NormalBoldChar">
    <w:name w:val="NormalBold Char"/>
    <w:basedOn w:val="DefaultParagraphFont"/>
    <w:link w:val="NormalBold"/>
    <w:locked/>
    <w:rsid w:val="0097435D"/>
    <w:rPr>
      <w:b/>
      <w:sz w:val="24"/>
      <w:lang w:val="sv-SE"/>
    </w:rPr>
  </w:style>
  <w:style w:type="paragraph" w:customStyle="1" w:styleId="ColumnHeading">
    <w:name w:val="ColumnHeading"/>
    <w:basedOn w:val="Normal"/>
    <w:rsid w:val="0097435D"/>
    <w:pPr>
      <w:spacing w:after="240"/>
      <w:jc w:val="center"/>
    </w:pPr>
    <w:rPr>
      <w:i/>
    </w:rPr>
  </w:style>
  <w:style w:type="paragraph" w:customStyle="1" w:styleId="AMNumberTabs0">
    <w:name w:val="AMNumberTabs"/>
    <w:basedOn w:val="Normal"/>
    <w:rsid w:val="009743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97435D"/>
    <w:rPr>
      <w:b/>
      <w:sz w:val="24"/>
      <w:lang w:val="sv-SE"/>
    </w:rPr>
  </w:style>
  <w:style w:type="character" w:customStyle="1" w:styleId="NormalBold12bChar">
    <w:name w:val="NormalBold12b Char"/>
    <w:basedOn w:val="AmNumberTabsChar"/>
    <w:link w:val="NormalBold12b"/>
    <w:rsid w:val="0097435D"/>
    <w:rPr>
      <w:b/>
      <w:sz w:val="24"/>
      <w:lang w:val="sv-SE"/>
    </w:rPr>
  </w:style>
  <w:style w:type="paragraph" w:styleId="BalloonText">
    <w:name w:val="Balloon Text"/>
    <w:basedOn w:val="Normal"/>
    <w:link w:val="BalloonTextChar"/>
    <w:rsid w:val="00DA1BCA"/>
    <w:rPr>
      <w:rFonts w:ascii="Segoe UI" w:hAnsi="Segoe UI" w:cs="Segoe UI"/>
      <w:sz w:val="18"/>
      <w:szCs w:val="18"/>
    </w:rPr>
  </w:style>
  <w:style w:type="character" w:customStyle="1" w:styleId="BalloonTextChar">
    <w:name w:val="Balloon Text Char"/>
    <w:basedOn w:val="DefaultParagraphFont"/>
    <w:link w:val="BalloonText"/>
    <w:rsid w:val="00DA1BCA"/>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38C9D-8B95-4E0C-B81C-EB05DE51F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5052</Words>
  <Characters>33015</Characters>
  <Application>Microsoft Office Word</Application>
  <DocSecurity>4</DocSecurity>
  <Lines>275</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GOROPECNIK Tina</cp:lastModifiedBy>
  <cp:revision>2</cp:revision>
  <cp:lastPrinted>2004-11-19T15:42:00Z</cp:lastPrinted>
  <dcterms:created xsi:type="dcterms:W3CDTF">2025-06-30T14:37:00Z</dcterms:created>
  <dcterms:modified xsi:type="dcterms:W3CDTF">2025-06-30T14:37:00Z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P10_TA(2025)0049_</vt:lpwstr>
  </property>
  <property fmtid="{D5CDD505-2E9C-101B-9397-08002B2CF9AE}" pid="4" name="&lt;Type&gt;">
    <vt:lpwstr>RR</vt:lpwstr>
  </property>
</Properties>
</file>