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077F" w14:paraId="02C1134D" w14:textId="77777777" w:rsidTr="0010095E">
        <w:trPr>
          <w:trHeight w:hRule="exact" w:val="1418"/>
        </w:trPr>
        <w:tc>
          <w:tcPr>
            <w:tcW w:w="6804" w:type="dxa"/>
            <w:shd w:val="clear" w:color="auto" w:fill="auto"/>
            <w:vAlign w:val="center"/>
          </w:tcPr>
          <w:p w14:paraId="5B85E6D3" w14:textId="77777777" w:rsidR="00751A4A" w:rsidRPr="002F077F" w:rsidRDefault="00313C27" w:rsidP="0010095E">
            <w:pPr>
              <w:pStyle w:val="EPName"/>
            </w:pPr>
            <w:r w:rsidRPr="002F077F">
              <w:t>Parlement européen</w:t>
            </w:r>
          </w:p>
          <w:p w14:paraId="3AF51B66" w14:textId="77777777" w:rsidR="00751A4A" w:rsidRPr="002F077F" w:rsidRDefault="005F1B17" w:rsidP="005F1B17">
            <w:pPr>
              <w:pStyle w:val="EPTerm"/>
              <w:rPr>
                <w:rStyle w:val="HideTWBExt"/>
                <w:noProof w:val="0"/>
                <w:vanish w:val="0"/>
                <w:color w:val="auto"/>
              </w:rPr>
            </w:pPr>
            <w:r w:rsidRPr="002F077F">
              <w:t>2024</w:t>
            </w:r>
            <w:r w:rsidR="00817416" w:rsidRPr="002F077F">
              <w:t>-202</w:t>
            </w:r>
            <w:r w:rsidRPr="002F077F">
              <w:t>9</w:t>
            </w:r>
          </w:p>
        </w:tc>
        <w:tc>
          <w:tcPr>
            <w:tcW w:w="2268" w:type="dxa"/>
            <w:shd w:val="clear" w:color="auto" w:fill="auto"/>
          </w:tcPr>
          <w:p w14:paraId="6828DD5C" w14:textId="77777777" w:rsidR="00751A4A" w:rsidRPr="002F077F" w:rsidRDefault="00187494" w:rsidP="0010095E">
            <w:pPr>
              <w:pStyle w:val="EPLogo"/>
            </w:pPr>
            <w:r w:rsidRPr="002F077F">
              <w:rPr>
                <w:noProof/>
                <w:lang w:val="en-GB"/>
              </w:rPr>
              <w:drawing>
                <wp:inline distT="0" distB="0" distL="0" distR="0" wp14:anchorId="49EE9E6C" wp14:editId="624083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0E34A2" w14:textId="77777777" w:rsidR="00D058B8" w:rsidRPr="002F077F" w:rsidRDefault="00D058B8" w:rsidP="004C5D52">
      <w:pPr>
        <w:pStyle w:val="LineTop"/>
      </w:pPr>
    </w:p>
    <w:p w14:paraId="70060584" w14:textId="77777777" w:rsidR="00680577" w:rsidRPr="002F077F" w:rsidRDefault="00313C27" w:rsidP="00680577">
      <w:pPr>
        <w:pStyle w:val="EPBodyTA1"/>
      </w:pPr>
      <w:r w:rsidRPr="002F077F">
        <w:t>TEXTES ADOPTÉS</w:t>
      </w:r>
    </w:p>
    <w:p w14:paraId="320E818E" w14:textId="77777777" w:rsidR="00D058B8" w:rsidRPr="002F077F" w:rsidRDefault="00D058B8" w:rsidP="00D058B8">
      <w:pPr>
        <w:pStyle w:val="LineBottom"/>
      </w:pPr>
    </w:p>
    <w:p w14:paraId="718CEDF0" w14:textId="558AD4F4" w:rsidR="00313C27" w:rsidRPr="002F077F" w:rsidRDefault="00313C27" w:rsidP="00313C27">
      <w:pPr>
        <w:pStyle w:val="ATHeading1"/>
      </w:pPr>
      <w:bookmarkStart w:id="0" w:name="TANumber"/>
      <w:r w:rsidRPr="002F077F">
        <w:t>P10_</w:t>
      </w:r>
      <w:proofErr w:type="gramStart"/>
      <w:r w:rsidRPr="002F077F">
        <w:t>TA(</w:t>
      </w:r>
      <w:proofErr w:type="gramEnd"/>
      <w:r w:rsidRPr="002F077F">
        <w:t>2025)00</w:t>
      </w:r>
      <w:r w:rsidR="00842246">
        <w:t>52</w:t>
      </w:r>
      <w:bookmarkEnd w:id="0"/>
    </w:p>
    <w:p w14:paraId="469109B9" w14:textId="648325E8" w:rsidR="00313C27" w:rsidRPr="002F077F" w:rsidRDefault="00D15F6F" w:rsidP="00313C27">
      <w:pPr>
        <w:pStyle w:val="ATHeading2"/>
      </w:pPr>
      <w:bookmarkStart w:id="1" w:name="title"/>
      <w:r w:rsidRPr="00D15F6F">
        <w:t xml:space="preserve">Accords sur les mécanismes financiers pour la période </w:t>
      </w:r>
      <w:r>
        <w:t xml:space="preserve">allant de </w:t>
      </w:r>
      <w:r w:rsidRPr="00D15F6F">
        <w:t xml:space="preserve">mai 2021 </w:t>
      </w:r>
      <w:r>
        <w:t>à</w:t>
      </w:r>
      <w:r w:rsidRPr="00D15F6F">
        <w:t xml:space="preserve"> avril 2028 (EEE: UE-Islande-Lichtenstein-Norvège; norvégien: UE-Norvège); protocoles additionnels à l'accord CEE-Norvège et à l'accord CEE-Islande</w:t>
      </w:r>
      <w:bookmarkEnd w:id="1"/>
    </w:p>
    <w:p w14:paraId="452EC9A9" w14:textId="77777777" w:rsidR="00313C27" w:rsidRPr="002F077F" w:rsidRDefault="00313C27" w:rsidP="00313C27">
      <w:pPr>
        <w:rPr>
          <w:i/>
          <w:vanish/>
        </w:rPr>
      </w:pPr>
      <w:r w:rsidRPr="002F077F">
        <w:rPr>
          <w:i/>
        </w:rPr>
        <w:fldChar w:fldCharType="begin"/>
      </w:r>
      <w:r w:rsidRPr="002F077F">
        <w:rPr>
          <w:i/>
        </w:rPr>
        <w:instrText xml:space="preserve"> TC"(</w:instrText>
      </w:r>
      <w:bookmarkStart w:id="2" w:name="DocNumber"/>
      <w:r w:rsidRPr="002F077F">
        <w:rPr>
          <w:i/>
        </w:rPr>
        <w:instrText>A10-0036/2025</w:instrText>
      </w:r>
      <w:bookmarkEnd w:id="2"/>
      <w:r w:rsidRPr="002F077F">
        <w:rPr>
          <w:i/>
        </w:rPr>
        <w:instrText xml:space="preserve"> - </w:instrText>
      </w:r>
      <w:proofErr w:type="spellStart"/>
      <w:r w:rsidRPr="002F077F">
        <w:rPr>
          <w:i/>
        </w:rPr>
        <w:instrText>Rapporteur</w:instrText>
      </w:r>
      <w:r w:rsidR="002C62D7">
        <w:rPr>
          <w:i/>
        </w:rPr>
        <w:instrText>e</w:instrText>
      </w:r>
      <w:proofErr w:type="spellEnd"/>
      <w:r w:rsidRPr="002F077F">
        <w:rPr>
          <w:i/>
        </w:rPr>
        <w:instrText xml:space="preserve">: </w:instrText>
      </w:r>
      <w:proofErr w:type="spellStart"/>
      <w:r w:rsidRPr="002F077F">
        <w:rPr>
          <w:i/>
        </w:rPr>
        <w:instrText>Željana</w:instrText>
      </w:r>
      <w:proofErr w:type="spellEnd"/>
      <w:r w:rsidRPr="002F077F">
        <w:rPr>
          <w:i/>
        </w:rPr>
        <w:instrText xml:space="preserve"> </w:instrText>
      </w:r>
      <w:proofErr w:type="spellStart"/>
      <w:r w:rsidRPr="002F077F">
        <w:rPr>
          <w:i/>
        </w:rPr>
        <w:instrText>Zovko</w:instrText>
      </w:r>
      <w:proofErr w:type="spellEnd"/>
      <w:r w:rsidRPr="002F077F">
        <w:rPr>
          <w:i/>
        </w:rPr>
        <w:instrText xml:space="preserve">)"\l3 \n&gt; \* MERGEFORMAT </w:instrText>
      </w:r>
      <w:r w:rsidRPr="002F077F">
        <w:rPr>
          <w:i/>
        </w:rPr>
        <w:fldChar w:fldCharType="end"/>
      </w:r>
    </w:p>
    <w:p w14:paraId="2EFB2EDD" w14:textId="77777777" w:rsidR="00313C27" w:rsidRPr="002F077F" w:rsidRDefault="00313C27" w:rsidP="00313C27">
      <w:pPr>
        <w:rPr>
          <w:vanish/>
        </w:rPr>
      </w:pPr>
      <w:bookmarkStart w:id="3" w:name="Commission"/>
      <w:r w:rsidRPr="002F077F">
        <w:rPr>
          <w:vanish/>
        </w:rPr>
        <w:t>Commission du commerce international</w:t>
      </w:r>
      <w:bookmarkEnd w:id="3"/>
    </w:p>
    <w:p w14:paraId="75419F49" w14:textId="77777777" w:rsidR="00313C27" w:rsidRPr="002F077F" w:rsidRDefault="00313C27" w:rsidP="00313C27">
      <w:pPr>
        <w:rPr>
          <w:vanish/>
        </w:rPr>
      </w:pPr>
      <w:bookmarkStart w:id="4" w:name="PE"/>
      <w:r w:rsidRPr="002F077F">
        <w:rPr>
          <w:vanish/>
        </w:rPr>
        <w:t>PE767.917</w:t>
      </w:r>
      <w:bookmarkEnd w:id="4"/>
    </w:p>
    <w:p w14:paraId="7188ACE7" w14:textId="0D449A7B" w:rsidR="00313C27" w:rsidRPr="002F077F" w:rsidRDefault="00624A02" w:rsidP="00313C27">
      <w:pPr>
        <w:pStyle w:val="ATHeading3"/>
      </w:pPr>
      <w:bookmarkStart w:id="5" w:name="Sujet"/>
      <w:bookmarkStart w:id="6" w:name="_GoBack"/>
      <w:bookmarkEnd w:id="6"/>
      <w:r>
        <w:t>Résolution législative</w:t>
      </w:r>
      <w:r w:rsidR="008A4A4D">
        <w:t xml:space="preserve"> du Parlement européen du 2 avril</w:t>
      </w:r>
      <w:r w:rsidR="00313C27" w:rsidRPr="002F077F">
        <w:t xml:space="preserve"> 2025 sur le projet de décision du Conseil relative à la conclusion, au nom de l’Union européenne, de l’accord entre l’Union européenne, l’Islande, la Principauté de Liechtenstein et le Royaume de Norvège concernant un mécanisme financier de l’EEE pour la période allant de mai 2021 à avril 2028, de l’accord entre le Royaume de Norvège et l’Union européenne concernant un mécanisme financier norvégien pour la période allant de mai 2021 à avril 2028, du protocole additionnel à l’accord entre la Communauté économique européenne et le Royaume de Norvège et du protocole additionnel à l’accord entre la Communauté économique européenne et l’Islande</w:t>
      </w:r>
      <w:bookmarkEnd w:id="5"/>
      <w:r w:rsidR="00313C27" w:rsidRPr="002F077F">
        <w:t xml:space="preserve"> </w:t>
      </w:r>
      <w:bookmarkStart w:id="7" w:name="References"/>
      <w:r w:rsidR="00313C27" w:rsidRPr="002F077F">
        <w:t>(10005/2024 – C10-0103/2024 – 2024/0052(NLE))</w:t>
      </w:r>
      <w:bookmarkEnd w:id="7"/>
    </w:p>
    <w:p w14:paraId="235DFDA6" w14:textId="77777777" w:rsidR="00567388" w:rsidRPr="002F077F" w:rsidRDefault="00567388" w:rsidP="00567388">
      <w:pPr>
        <w:pStyle w:val="NormalBold"/>
      </w:pPr>
      <w:r w:rsidRPr="002F077F">
        <w:t>(Approbation)</w:t>
      </w:r>
    </w:p>
    <w:p w14:paraId="67D89A26" w14:textId="77777777" w:rsidR="00567388" w:rsidRPr="002F077F" w:rsidRDefault="00567388" w:rsidP="00567388">
      <w:pPr>
        <w:pStyle w:val="EPComma"/>
      </w:pPr>
      <w:r w:rsidRPr="002F077F">
        <w:rPr>
          <w:i/>
        </w:rPr>
        <w:t>Le Parlement européen</w:t>
      </w:r>
      <w:r w:rsidRPr="002F077F">
        <w:t>,</w:t>
      </w:r>
    </w:p>
    <w:p w14:paraId="7B9EA3A1" w14:textId="77777777" w:rsidR="00567388" w:rsidRPr="002F077F" w:rsidRDefault="00567388" w:rsidP="00567388">
      <w:pPr>
        <w:pStyle w:val="NormalHanging12a"/>
      </w:pPr>
      <w:r w:rsidRPr="002F077F">
        <w:t>–</w:t>
      </w:r>
      <w:r w:rsidRPr="002F077F">
        <w:tab/>
        <w:t>vu le projet de décision du Conseil (10005/2024),</w:t>
      </w:r>
    </w:p>
    <w:p w14:paraId="0FF8530C" w14:textId="77777777" w:rsidR="00567388" w:rsidRPr="002F077F" w:rsidRDefault="00567388" w:rsidP="00567388">
      <w:pPr>
        <w:pStyle w:val="NormalHanging12a"/>
      </w:pPr>
      <w:r w:rsidRPr="002F077F">
        <w:t>–</w:t>
      </w:r>
      <w:r w:rsidRPr="002F077F">
        <w:tab/>
        <w:t xml:space="preserve">vu le projet d’accord entre l’Union européenne, l’Islande, la Principauté de Liechtenstein et le Royaume de Norvège concernant un mécanisme financier de l’EEE pour la période allant de mai 2021 à avril 2028 (10057/2024), </w:t>
      </w:r>
    </w:p>
    <w:p w14:paraId="4496BB11" w14:textId="77777777" w:rsidR="00567388" w:rsidRPr="002F077F" w:rsidRDefault="00567388" w:rsidP="00567388">
      <w:pPr>
        <w:pStyle w:val="NormalHanging12a"/>
      </w:pPr>
      <w:r w:rsidRPr="002F077F">
        <w:t>–</w:t>
      </w:r>
      <w:r w:rsidRPr="002F077F">
        <w:tab/>
        <w:t xml:space="preserve">vu le projet d’accord entre le Royaume de Norvège et l’Union européenne sur un mécanisme financier norvégien pour la période allant de mai 2021 à avril 2028 (10146/2024), </w:t>
      </w:r>
    </w:p>
    <w:p w14:paraId="65934E7E" w14:textId="77777777" w:rsidR="00567388" w:rsidRPr="002F077F" w:rsidRDefault="00567388" w:rsidP="00567388">
      <w:pPr>
        <w:pStyle w:val="NormalHanging12a"/>
      </w:pPr>
      <w:r w:rsidRPr="002F077F">
        <w:t>–</w:t>
      </w:r>
      <w:r w:rsidRPr="002F077F">
        <w:tab/>
        <w:t>vu le projet de protocole additionnel à l’accord entre la Communauté économique européenne et le Royaume de Norvège (10149/2024),</w:t>
      </w:r>
    </w:p>
    <w:p w14:paraId="5F373760" w14:textId="77777777" w:rsidR="00567388" w:rsidRPr="002F077F" w:rsidRDefault="00567388" w:rsidP="00567388">
      <w:pPr>
        <w:pStyle w:val="NormalHanging12a"/>
      </w:pPr>
      <w:r w:rsidRPr="002F077F">
        <w:t xml:space="preserve"> –</w:t>
      </w:r>
      <w:r w:rsidRPr="002F077F">
        <w:tab/>
        <w:t>vu le projet de protocole additionnel à l’accord entre la Communauté économique européenne et l’Islande (10148/2024),</w:t>
      </w:r>
    </w:p>
    <w:p w14:paraId="64544486" w14:textId="77777777" w:rsidR="00567388" w:rsidRPr="002F077F" w:rsidRDefault="00567388" w:rsidP="00567388">
      <w:pPr>
        <w:pStyle w:val="NormalHanging12a"/>
      </w:pPr>
      <w:r w:rsidRPr="002F077F">
        <w:t>–</w:t>
      </w:r>
      <w:r w:rsidRPr="002F077F">
        <w:tab/>
        <w:t xml:space="preserve">vu la demande d’approbation présentée par le Conseil conformément à l’article 217 et à </w:t>
      </w:r>
      <w:r w:rsidRPr="002F077F">
        <w:lastRenderedPageBreak/>
        <w:t xml:space="preserve">l’article 218, paragraphe 6, deuxième alinéa, </w:t>
      </w:r>
      <w:proofErr w:type="gramStart"/>
      <w:r w:rsidRPr="002F077F">
        <w:t>point a</w:t>
      </w:r>
      <w:proofErr w:type="gramEnd"/>
      <w:r w:rsidRPr="002F077F">
        <w:t>), du traité sur le fonctionnement de l’Union européenne (C10-0103/2024),</w:t>
      </w:r>
    </w:p>
    <w:p w14:paraId="0FD5C30A" w14:textId="77777777" w:rsidR="00567388" w:rsidRPr="002F077F" w:rsidRDefault="00567388" w:rsidP="00567388">
      <w:pPr>
        <w:pStyle w:val="NormalHanging12a"/>
      </w:pPr>
      <w:r w:rsidRPr="002F077F">
        <w:t>–</w:t>
      </w:r>
      <w:r w:rsidRPr="002F077F">
        <w:tab/>
        <w:t>vu l’article 107, paragraphes 1 et 4, ainsi que l’article 117, paragraphe 7, de son règlement intérieur,</w:t>
      </w:r>
    </w:p>
    <w:p w14:paraId="16A821DD" w14:textId="77777777" w:rsidR="00567388" w:rsidRPr="002F077F" w:rsidRDefault="00567388" w:rsidP="00567388">
      <w:pPr>
        <w:pStyle w:val="NormalHanging12a"/>
      </w:pPr>
      <w:r w:rsidRPr="002F077F">
        <w:t>–</w:t>
      </w:r>
      <w:r w:rsidRPr="002F077F">
        <w:tab/>
        <w:t>vu la recommandation de la commission du commerce international (A10-0036/2025),</w:t>
      </w:r>
    </w:p>
    <w:p w14:paraId="4B27DCD9" w14:textId="77777777" w:rsidR="00567388" w:rsidRPr="002F077F" w:rsidRDefault="00567388" w:rsidP="00567388">
      <w:pPr>
        <w:pStyle w:val="NormalHanging12a"/>
      </w:pPr>
      <w:r w:rsidRPr="002F077F">
        <w:t>1.</w:t>
      </w:r>
      <w:r w:rsidRPr="002F077F">
        <w:tab/>
        <w:t>donne son approbation à la conclusion des accords et protocoles;</w:t>
      </w:r>
    </w:p>
    <w:p w14:paraId="53504833" w14:textId="77777777" w:rsidR="00E365E1" w:rsidRPr="002F077F" w:rsidRDefault="00567388" w:rsidP="008A4A4D">
      <w:pPr>
        <w:pStyle w:val="NormalHanging12a"/>
      </w:pPr>
      <w:r w:rsidRPr="002F077F">
        <w:t>2.</w:t>
      </w:r>
      <w:r w:rsidRPr="002F077F">
        <w:tab/>
        <w:t>charge sa Présidente de transmettre la position du Parlement au Conseil et à la Commission, ainsi qu’aux gouvernements et aux parlements des États membres, de l’Islande, de la Principauté de Liechtenstein et du Royaume de Norvège.</w:t>
      </w:r>
    </w:p>
    <w:sectPr w:rsidR="00E365E1" w:rsidRPr="002F077F" w:rsidSect="002F077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89CD62" w14:textId="77777777" w:rsidR="00313C27" w:rsidRPr="002F077F" w:rsidRDefault="00313C27">
      <w:r w:rsidRPr="002F077F">
        <w:separator/>
      </w:r>
    </w:p>
  </w:endnote>
  <w:endnote w:type="continuationSeparator" w:id="0">
    <w:p w14:paraId="0B7B97B2" w14:textId="77777777" w:rsidR="00313C27" w:rsidRPr="002F077F" w:rsidRDefault="00313C27">
      <w:r w:rsidRPr="002F07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6F0E7" w14:textId="77777777" w:rsidR="00064002" w:rsidRPr="002F077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FB35C" w14:textId="77777777" w:rsidR="00064002" w:rsidRPr="002F077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08DCD" w14:textId="77777777" w:rsidR="00064002" w:rsidRPr="002F07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5D3B45" w14:textId="77777777" w:rsidR="00313C27" w:rsidRPr="002F077F" w:rsidRDefault="00313C27">
      <w:r w:rsidRPr="002F077F">
        <w:separator/>
      </w:r>
    </w:p>
  </w:footnote>
  <w:footnote w:type="continuationSeparator" w:id="0">
    <w:p w14:paraId="7BF4B62D" w14:textId="77777777" w:rsidR="00313C27" w:rsidRPr="002F077F" w:rsidRDefault="00313C27">
      <w:r w:rsidRPr="002F077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F6263" w14:textId="77777777" w:rsidR="00064002" w:rsidRPr="002F077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1A893" w14:textId="77777777" w:rsidR="00064002" w:rsidRPr="002F077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2599D" w14:textId="77777777" w:rsidR="00064002" w:rsidRPr="002F07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6/2025"/>
    <w:docVar w:name="dvlangue" w:val="FR"/>
    <w:docVar w:name="dvnumam" w:val="0"/>
    <w:docVar w:name="dvpe" w:val="767.917"/>
    <w:docVar w:name="dvrapporteur" w:val="Rapporteur: "/>
    <w:docVar w:name="dvstar" w:val="***"/>
    <w:docVar w:name="dvtitre" w:val="Décision du Parlement européen du ... 2025 sur le projet de décision du Conseil relative à la conclusion, au nom de l’Union européenne, de l’accord entre l’Union européenne, l’Islande, la Principauté de Liechtenstein et le Royaume de Norvège concernant un mécanisme financier de l’EEE pour la période allant de mai 2021 à avril 2028, de l’accord entre le Royaume de Norvège et l’Union européenne concernant un mécanisme financier norvégien pour la période allant de mai 2021 à avril 2028, du protocole additionnel à l’accord entre la Communauté économique européenne et le Royaume de Norvège et du protocole additionnel à l’accord entre la Communauté économique européenne et l’Islande(10005/2024 – C10-0103/2024 – 2024/0052(NLE))"/>
  </w:docVars>
  <w:rsids>
    <w:rsidRoot w:val="00313C27"/>
    <w:rsid w:val="00002272"/>
    <w:rsid w:val="00064002"/>
    <w:rsid w:val="000677B9"/>
    <w:rsid w:val="000831BA"/>
    <w:rsid w:val="000A42CC"/>
    <w:rsid w:val="000E7DD9"/>
    <w:rsid w:val="0010095E"/>
    <w:rsid w:val="00125B37"/>
    <w:rsid w:val="00187494"/>
    <w:rsid w:val="001F32AE"/>
    <w:rsid w:val="002767FF"/>
    <w:rsid w:val="002B18FE"/>
    <w:rsid w:val="002B5493"/>
    <w:rsid w:val="002C62D7"/>
    <w:rsid w:val="002F077F"/>
    <w:rsid w:val="00313C2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7388"/>
    <w:rsid w:val="005C2568"/>
    <w:rsid w:val="005F1B17"/>
    <w:rsid w:val="006037C0"/>
    <w:rsid w:val="00624A02"/>
    <w:rsid w:val="006631B6"/>
    <w:rsid w:val="00680577"/>
    <w:rsid w:val="006F74FA"/>
    <w:rsid w:val="00731ADD"/>
    <w:rsid w:val="00734777"/>
    <w:rsid w:val="00747932"/>
    <w:rsid w:val="00751A4A"/>
    <w:rsid w:val="00756632"/>
    <w:rsid w:val="00762C74"/>
    <w:rsid w:val="00786EC0"/>
    <w:rsid w:val="007D1690"/>
    <w:rsid w:val="007E22AD"/>
    <w:rsid w:val="00817416"/>
    <w:rsid w:val="00842246"/>
    <w:rsid w:val="00842779"/>
    <w:rsid w:val="00865F67"/>
    <w:rsid w:val="00881A7B"/>
    <w:rsid w:val="008840E5"/>
    <w:rsid w:val="00887B3E"/>
    <w:rsid w:val="008A4A4D"/>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5F6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DC94B"/>
  <w15:chartTrackingRefBased/>
  <w15:docId w15:val="{478E4F3B-42E3-4ADC-A79A-3C61EF14D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67388"/>
    <w:pPr>
      <w:spacing w:before="480" w:after="240"/>
    </w:pPr>
  </w:style>
  <w:style w:type="paragraph" w:customStyle="1" w:styleId="NormalBold">
    <w:name w:val="NormalBold"/>
    <w:basedOn w:val="Normal"/>
    <w:rsid w:val="00567388"/>
    <w:rPr>
      <w:b/>
    </w:rPr>
  </w:style>
  <w:style w:type="paragraph" w:customStyle="1" w:styleId="NormalHanging12a">
    <w:name w:val="NormalHanging12a"/>
    <w:basedOn w:val="Normal"/>
    <w:rsid w:val="00567388"/>
    <w:pPr>
      <w:spacing w:after="240"/>
      <w:ind w:left="567" w:hanging="567"/>
    </w:pPr>
  </w:style>
  <w:style w:type="character" w:styleId="CommentReference">
    <w:name w:val="annotation reference"/>
    <w:basedOn w:val="DefaultParagraphFont"/>
    <w:rsid w:val="00D15F6F"/>
    <w:rPr>
      <w:sz w:val="16"/>
      <w:szCs w:val="16"/>
    </w:rPr>
  </w:style>
  <w:style w:type="paragraph" w:styleId="CommentText">
    <w:name w:val="annotation text"/>
    <w:basedOn w:val="Normal"/>
    <w:link w:val="CommentTextChar"/>
    <w:rsid w:val="00D15F6F"/>
    <w:rPr>
      <w:sz w:val="20"/>
    </w:rPr>
  </w:style>
  <w:style w:type="character" w:customStyle="1" w:styleId="CommentTextChar">
    <w:name w:val="Comment Text Char"/>
    <w:basedOn w:val="DefaultParagraphFont"/>
    <w:link w:val="CommentText"/>
    <w:rsid w:val="00D15F6F"/>
    <w:rPr>
      <w:lang w:val="fr-FR"/>
    </w:rPr>
  </w:style>
  <w:style w:type="paragraph" w:styleId="CommentSubject">
    <w:name w:val="annotation subject"/>
    <w:basedOn w:val="CommentText"/>
    <w:next w:val="CommentText"/>
    <w:link w:val="CommentSubjectChar"/>
    <w:rsid w:val="00D15F6F"/>
    <w:rPr>
      <w:b/>
      <w:bCs/>
    </w:rPr>
  </w:style>
  <w:style w:type="character" w:customStyle="1" w:styleId="CommentSubjectChar">
    <w:name w:val="Comment Subject Char"/>
    <w:basedOn w:val="CommentTextChar"/>
    <w:link w:val="CommentSubject"/>
    <w:rsid w:val="00D15F6F"/>
    <w:rPr>
      <w:b/>
      <w:bCs/>
      <w:lang w:val="fr-FR"/>
    </w:rPr>
  </w:style>
  <w:style w:type="paragraph" w:styleId="Revision">
    <w:name w:val="Revision"/>
    <w:hidden/>
    <w:uiPriority w:val="99"/>
    <w:semiHidden/>
    <w:rsid w:val="00D15F6F"/>
    <w:rPr>
      <w:sz w:val="24"/>
      <w:lang w:val="fr-FR"/>
    </w:rPr>
  </w:style>
  <w:style w:type="paragraph" w:styleId="BalloonText">
    <w:name w:val="Balloon Text"/>
    <w:basedOn w:val="Normal"/>
    <w:link w:val="BalloonTextChar"/>
    <w:rsid w:val="00D15F6F"/>
    <w:rPr>
      <w:rFonts w:ascii="Segoe UI" w:hAnsi="Segoe UI" w:cs="Segoe UI"/>
      <w:sz w:val="18"/>
      <w:szCs w:val="18"/>
    </w:rPr>
  </w:style>
  <w:style w:type="character" w:customStyle="1" w:styleId="BalloonTextChar">
    <w:name w:val="Balloon Text Char"/>
    <w:basedOn w:val="DefaultParagraphFont"/>
    <w:link w:val="BalloonText"/>
    <w:rsid w:val="00D15F6F"/>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4238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04B2D-0D0B-40A1-AB3E-4A25179EC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361</Words>
  <Characters>2247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2025-04-03T09:42:00Z</dcterms:created>
  <dcterms:modified xsi:type="dcterms:W3CDTF">2025-04-03T09:42:00Z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P10_TA(2025)0052_</vt:lpwstr>
  </property>
  <property fmtid="{D5CDD505-2E9C-101B-9397-08002B2CF9AE}" pid="4" name="&lt;Type&gt;">
    <vt:lpwstr>RR</vt:lpwstr>
  </property>
</Properties>
</file>