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08AC" w:rsidTr="0010095E">
        <w:trPr>
          <w:trHeight w:hRule="exact" w:val="1418"/>
        </w:trPr>
        <w:tc>
          <w:tcPr>
            <w:tcW w:w="6804" w:type="dxa"/>
            <w:shd w:val="clear" w:color="auto" w:fill="auto"/>
            <w:vAlign w:val="center"/>
          </w:tcPr>
          <w:p w:rsidR="00751A4A" w:rsidRPr="00F408AC" w:rsidRDefault="00662A45" w:rsidP="0010095E">
            <w:pPr>
              <w:pStyle w:val="EPName"/>
            </w:pPr>
            <w:r w:rsidRPr="00F408AC">
              <w:t>Parlement européen</w:t>
            </w:r>
          </w:p>
          <w:p w:rsidR="00751A4A" w:rsidRPr="00F408AC" w:rsidRDefault="005F1B17" w:rsidP="005F1B17">
            <w:pPr>
              <w:pStyle w:val="EPTerm"/>
              <w:rPr>
                <w:rStyle w:val="HideTWBExt"/>
                <w:noProof w:val="0"/>
                <w:vanish w:val="0"/>
                <w:color w:val="auto"/>
              </w:rPr>
            </w:pPr>
            <w:r w:rsidRPr="00F408AC">
              <w:t>2024</w:t>
            </w:r>
            <w:r w:rsidR="00817416" w:rsidRPr="00F408AC">
              <w:t>-202</w:t>
            </w:r>
            <w:r w:rsidRPr="00F408AC">
              <w:t>9</w:t>
            </w:r>
          </w:p>
        </w:tc>
        <w:tc>
          <w:tcPr>
            <w:tcW w:w="2268" w:type="dxa"/>
            <w:shd w:val="clear" w:color="auto" w:fill="auto"/>
          </w:tcPr>
          <w:p w:rsidR="00751A4A" w:rsidRPr="00F408AC" w:rsidRDefault="00187494" w:rsidP="0010095E">
            <w:pPr>
              <w:pStyle w:val="EPLogo"/>
            </w:pPr>
            <w:r w:rsidRPr="00F408A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408AC" w:rsidRDefault="00D058B8" w:rsidP="004C5D52">
      <w:pPr>
        <w:pStyle w:val="LineTop"/>
      </w:pPr>
    </w:p>
    <w:p w:rsidR="00680577" w:rsidRPr="00F408AC" w:rsidRDefault="00662A45" w:rsidP="00680577">
      <w:pPr>
        <w:pStyle w:val="EPBodyTA1"/>
      </w:pPr>
      <w:r w:rsidRPr="00F408AC">
        <w:t>TEXTES ADOPTÉS</w:t>
      </w:r>
    </w:p>
    <w:p w:rsidR="00D058B8" w:rsidRPr="00F408AC" w:rsidRDefault="00D058B8" w:rsidP="00D058B8">
      <w:pPr>
        <w:pStyle w:val="LineBottom"/>
      </w:pPr>
    </w:p>
    <w:p w:rsidR="00662A45" w:rsidRPr="00F408AC" w:rsidRDefault="00662A45" w:rsidP="00662A45">
      <w:pPr>
        <w:pStyle w:val="ATHeading1"/>
      </w:pPr>
      <w:bookmarkStart w:id="0" w:name="TANumber"/>
      <w:r w:rsidRPr="00F408AC">
        <w:t>P10_TA(2025)00</w:t>
      </w:r>
      <w:r w:rsidR="00584652">
        <w:t>56</w:t>
      </w:r>
      <w:bookmarkStart w:id="1" w:name="_GoBack"/>
      <w:bookmarkEnd w:id="0"/>
      <w:bookmarkEnd w:id="1"/>
    </w:p>
    <w:p w:rsidR="00662A45" w:rsidRPr="00F408AC" w:rsidRDefault="00662A45" w:rsidP="00662A45">
      <w:pPr>
        <w:pStyle w:val="ATHeading2"/>
      </w:pPr>
      <w:bookmarkStart w:id="2" w:name="title"/>
      <w:r w:rsidRPr="00F408AC">
        <w:t>Renforcement de la sécurité des cartes d’identité des citoyens de l’Union et des documents de séjour délivrés aux citoyens de l’Union et aux membres de leur famille exerçant leur droit à la libre circulation</w:t>
      </w:r>
      <w:bookmarkEnd w:id="2"/>
    </w:p>
    <w:p w:rsidR="00662A45" w:rsidRPr="00F408AC" w:rsidRDefault="00662A45" w:rsidP="00662A45">
      <w:pPr>
        <w:rPr>
          <w:i/>
          <w:vanish/>
        </w:rPr>
      </w:pPr>
      <w:r w:rsidRPr="00F408AC">
        <w:rPr>
          <w:i/>
        </w:rPr>
        <w:fldChar w:fldCharType="begin"/>
      </w:r>
      <w:r w:rsidRPr="00F408AC">
        <w:rPr>
          <w:i/>
        </w:rPr>
        <w:instrText xml:space="preserve"> TC"(</w:instrText>
      </w:r>
      <w:bookmarkStart w:id="3" w:name="DocNumber"/>
      <w:r w:rsidRPr="00F408AC">
        <w:rPr>
          <w:i/>
        </w:rPr>
        <w:instrText>A10-0041/2025</w:instrText>
      </w:r>
      <w:bookmarkEnd w:id="3"/>
      <w:r w:rsidRPr="00F408AC">
        <w:rPr>
          <w:i/>
        </w:rPr>
        <w:instrText xml:space="preserve"> - Rapporteur: Malik Azmani)"\l3 \n&gt; \* MERGEFORMAT </w:instrText>
      </w:r>
      <w:r w:rsidRPr="00F408AC">
        <w:rPr>
          <w:i/>
        </w:rPr>
        <w:fldChar w:fldCharType="end"/>
      </w:r>
    </w:p>
    <w:p w:rsidR="00662A45" w:rsidRPr="00F408AC" w:rsidRDefault="00662A45" w:rsidP="00662A45">
      <w:pPr>
        <w:rPr>
          <w:vanish/>
        </w:rPr>
      </w:pPr>
      <w:bookmarkStart w:id="4" w:name="Commission"/>
      <w:r w:rsidRPr="00F408AC">
        <w:rPr>
          <w:vanish/>
        </w:rPr>
        <w:t>Commission des libertés civiles, de la justice et des affaires intérieures</w:t>
      </w:r>
      <w:bookmarkEnd w:id="4"/>
    </w:p>
    <w:p w:rsidR="00662A45" w:rsidRPr="00F408AC" w:rsidRDefault="00662A45" w:rsidP="00662A45">
      <w:pPr>
        <w:rPr>
          <w:vanish/>
        </w:rPr>
      </w:pPr>
      <w:bookmarkStart w:id="5" w:name="PE"/>
      <w:r w:rsidRPr="00F408AC">
        <w:rPr>
          <w:vanish/>
        </w:rPr>
        <w:t>PE766.606</w:t>
      </w:r>
      <w:bookmarkEnd w:id="5"/>
    </w:p>
    <w:p w:rsidR="00662A45" w:rsidRPr="00F408AC" w:rsidRDefault="00662A45" w:rsidP="00662A45">
      <w:pPr>
        <w:pStyle w:val="ATHeading3"/>
      </w:pPr>
      <w:bookmarkStart w:id="6" w:name="Sujet"/>
      <w:r w:rsidRPr="00F408AC">
        <w:t>Résolution législ</w:t>
      </w:r>
      <w:r w:rsidR="00310030">
        <w:t>ative du Parlement européen du 2 avril</w:t>
      </w:r>
      <w:r w:rsidRPr="00F408AC">
        <w:t xml:space="preserve"> 2025 sur la proposition de règlement du Conseil relatif au renforcement de la sécurité des cartes d’identité des citoyens de l’Union et des documents de séjour délivrés aux citoyens de l’Union et aux membres de leur famille exerçant leur droit à la libre circulation</w:t>
      </w:r>
      <w:bookmarkEnd w:id="6"/>
      <w:r w:rsidRPr="00F408AC">
        <w:t xml:space="preserve"> </w:t>
      </w:r>
      <w:bookmarkStart w:id="7" w:name="References"/>
      <w:r w:rsidRPr="00F408AC">
        <w:t>(</w:t>
      </w:r>
      <w:proofErr w:type="gramStart"/>
      <w:r w:rsidRPr="00F408AC">
        <w:t>COM(</w:t>
      </w:r>
      <w:proofErr w:type="gramEnd"/>
      <w:r w:rsidRPr="00F408AC">
        <w:t>2024)0316 – C10-0112/2024 – 2024/0187(CNS))</w:t>
      </w:r>
      <w:bookmarkEnd w:id="7"/>
    </w:p>
    <w:p w:rsidR="0035648F" w:rsidRPr="00F408AC" w:rsidRDefault="0035648F" w:rsidP="0035648F">
      <w:pPr>
        <w:pStyle w:val="NormalBold"/>
      </w:pPr>
      <w:r w:rsidRPr="00F408AC">
        <w:t>(Procédure législative spéciale – consultation)</w:t>
      </w:r>
    </w:p>
    <w:p w:rsidR="0035648F" w:rsidRPr="00F408AC" w:rsidRDefault="0035648F" w:rsidP="0035648F">
      <w:pPr>
        <w:pStyle w:val="EPComma"/>
      </w:pPr>
      <w:r w:rsidRPr="00F408AC">
        <w:rPr>
          <w:i/>
        </w:rPr>
        <w:t>Le Parlement européen</w:t>
      </w:r>
      <w:r w:rsidRPr="00F408AC">
        <w:t>,</w:t>
      </w:r>
    </w:p>
    <w:p w:rsidR="0035648F" w:rsidRPr="00F408AC" w:rsidRDefault="0035648F" w:rsidP="0035648F">
      <w:pPr>
        <w:pStyle w:val="NormalHanging12a"/>
      </w:pPr>
      <w:r w:rsidRPr="00F408AC">
        <w:t>–</w:t>
      </w:r>
      <w:r w:rsidRPr="00F408AC">
        <w:tab/>
        <w:t>vu la proposition de la Commission au Conseil (</w:t>
      </w:r>
      <w:proofErr w:type="gramStart"/>
      <w:r w:rsidRPr="00F408AC">
        <w:t>COM(</w:t>
      </w:r>
      <w:proofErr w:type="gramEnd"/>
      <w:r w:rsidRPr="00F408AC">
        <w:t>2024)0316),</w:t>
      </w:r>
    </w:p>
    <w:p w:rsidR="0035648F" w:rsidRPr="00F408AC" w:rsidRDefault="0035648F" w:rsidP="0035648F">
      <w:pPr>
        <w:pStyle w:val="NormalHanging12a"/>
      </w:pPr>
      <w:r w:rsidRPr="00F408AC">
        <w:t>–</w:t>
      </w:r>
      <w:r w:rsidRPr="00F408AC">
        <w:tab/>
        <w:t>vu l’article 77, paragraphe 3, du traité sur le fonctionnement de l’Union européenne, conformément auquel il a été consulté par le Conseil (C10</w:t>
      </w:r>
      <w:r w:rsidRPr="00F408AC">
        <w:noBreakHyphen/>
        <w:t>0112/2024),</w:t>
      </w:r>
    </w:p>
    <w:p w:rsidR="0035648F" w:rsidRPr="00F408AC" w:rsidRDefault="0035648F" w:rsidP="0035648F">
      <w:pPr>
        <w:pStyle w:val="NormalHanging12a"/>
      </w:pPr>
      <w:r w:rsidRPr="00F408AC">
        <w:t>–</w:t>
      </w:r>
      <w:r w:rsidRPr="00F408AC">
        <w:tab/>
        <w:t>vu l’article 84 de son règlement intérieur,</w:t>
      </w:r>
    </w:p>
    <w:p w:rsidR="0035648F" w:rsidRPr="00F408AC" w:rsidRDefault="0035648F" w:rsidP="0035648F">
      <w:pPr>
        <w:pStyle w:val="NormalHanging12a"/>
      </w:pPr>
      <w:r w:rsidRPr="00F408AC">
        <w:t>–</w:t>
      </w:r>
      <w:r w:rsidRPr="00F408AC">
        <w:tab/>
        <w:t>vu le rapport de la commission des libertés civiles, de la justice et des affaires intérieures (A10-0041/2025),</w:t>
      </w:r>
    </w:p>
    <w:p w:rsidR="0035648F" w:rsidRPr="00F408AC" w:rsidRDefault="0035648F" w:rsidP="0035648F">
      <w:pPr>
        <w:pStyle w:val="NormalHanging12a"/>
      </w:pPr>
      <w:r w:rsidRPr="00F408AC">
        <w:t>1.</w:t>
      </w:r>
      <w:r w:rsidRPr="00F408AC">
        <w:tab/>
        <w:t>approuve la proposition de la Commission telle qu’amendée;</w:t>
      </w:r>
    </w:p>
    <w:p w:rsidR="0035648F" w:rsidRPr="00F408AC" w:rsidRDefault="0035648F" w:rsidP="0035648F">
      <w:pPr>
        <w:pStyle w:val="NormalHanging12a"/>
      </w:pPr>
      <w:r w:rsidRPr="00F408AC">
        <w:t>2.</w:t>
      </w:r>
      <w:r w:rsidRPr="00F408AC">
        <w:tab/>
        <w:t>invite la Commission à modifier en conséquence sa proposition, conformément à l’article 293, paragraphe 2, du traité sur le fonctionnement de l’Union européenne;</w:t>
      </w:r>
    </w:p>
    <w:p w:rsidR="0035648F" w:rsidRPr="00F408AC" w:rsidRDefault="0035648F" w:rsidP="0035648F">
      <w:pPr>
        <w:pStyle w:val="NormalHanging12a"/>
      </w:pPr>
      <w:r w:rsidRPr="00F408AC">
        <w:t>3.</w:t>
      </w:r>
      <w:r w:rsidRPr="00F408AC">
        <w:tab/>
        <w:t>invite le Conseil, s’il entend s’écarter du texte approuvé par le Parlement, à en informer celui-ci;</w:t>
      </w:r>
    </w:p>
    <w:p w:rsidR="0035648F" w:rsidRPr="00F408AC" w:rsidRDefault="0035648F" w:rsidP="0035648F">
      <w:pPr>
        <w:pStyle w:val="NormalHanging12a"/>
      </w:pPr>
      <w:r w:rsidRPr="00F408AC">
        <w:t>4.</w:t>
      </w:r>
      <w:r w:rsidRPr="00F408AC">
        <w:tab/>
        <w:t>demande au Conseil de le consulter à nouveau, s’il entend modifier de manière substantielle la proposition de la Commission;</w:t>
      </w:r>
    </w:p>
    <w:p w:rsidR="0035648F" w:rsidRPr="00F408AC" w:rsidRDefault="0035648F" w:rsidP="0035648F">
      <w:pPr>
        <w:pStyle w:val="NormalHanging12a"/>
      </w:pPr>
      <w:r w:rsidRPr="00F408AC">
        <w:t>5.</w:t>
      </w:r>
      <w:r w:rsidRPr="00F408AC">
        <w:tab/>
        <w:t>charge sa Présidente de transmettre la position du Parlement au Conseil et à la Commission ainsi qu’aux parlements nationaux.</w:t>
      </w:r>
    </w:p>
    <w:p w:rsidR="007B2BA8" w:rsidRDefault="007B2BA8">
      <w:pPr>
        <w:widowControl/>
      </w:pPr>
      <w:r>
        <w:lastRenderedPageBreak/>
        <w:br w:type="page"/>
      </w:r>
    </w:p>
    <w:p w:rsidR="0035648F" w:rsidRPr="00F408AC" w:rsidRDefault="0035648F" w:rsidP="0035648F"/>
    <w:p w:rsidR="0035648F" w:rsidRPr="00F408AC" w:rsidRDefault="0035648F" w:rsidP="0035648F">
      <w:pPr>
        <w:pStyle w:val="AmNumberTabs"/>
        <w:keepNext/>
      </w:pPr>
      <w:r w:rsidRPr="00F408AC">
        <w:t>Amendement</w:t>
      </w:r>
      <w:r w:rsidRPr="00F408AC">
        <w:tab/>
      </w:r>
      <w:r w:rsidRPr="00F408AC">
        <w:tab/>
        <w:t>1</w:t>
      </w:r>
    </w:p>
    <w:p w:rsidR="0035648F" w:rsidRPr="00F408AC" w:rsidRDefault="0035648F" w:rsidP="0035648F">
      <w:pPr>
        <w:pStyle w:val="NormalBold12b"/>
      </w:pPr>
      <w:r w:rsidRPr="00F408AC">
        <w:t>Proposition de règlement</w:t>
      </w:r>
    </w:p>
    <w:p w:rsidR="0035648F" w:rsidRPr="00F408AC" w:rsidRDefault="0035648F" w:rsidP="0035648F">
      <w:pPr>
        <w:pStyle w:val="NormalBold"/>
      </w:pPr>
      <w:r w:rsidRPr="00F408AC">
        <w:t>Considérant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648F" w:rsidRPr="00F408AC" w:rsidTr="00233294">
        <w:trPr>
          <w:trHeight w:hRule="exact" w:val="240"/>
          <w:jc w:val="center"/>
        </w:trPr>
        <w:tc>
          <w:tcPr>
            <w:tcW w:w="9752" w:type="dxa"/>
            <w:gridSpan w:val="2"/>
            <w:tcBorders>
              <w:top w:val="nil"/>
              <w:left w:val="nil"/>
              <w:bottom w:val="nil"/>
              <w:right w:val="nil"/>
            </w:tcBorders>
          </w:tcPr>
          <w:p w:rsidR="0035648F" w:rsidRPr="00F408AC" w:rsidRDefault="0035648F" w:rsidP="00233294"/>
        </w:tc>
      </w:tr>
      <w:tr w:rsidR="0035648F" w:rsidRPr="00F408AC" w:rsidTr="00233294">
        <w:trPr>
          <w:trHeight w:val="240"/>
          <w:jc w:val="center"/>
        </w:trPr>
        <w:tc>
          <w:tcPr>
            <w:tcW w:w="4876" w:type="dxa"/>
            <w:tcBorders>
              <w:top w:val="nil"/>
              <w:left w:val="nil"/>
              <w:bottom w:val="nil"/>
              <w:right w:val="nil"/>
            </w:tcBorders>
          </w:tcPr>
          <w:p w:rsidR="0035648F" w:rsidRPr="00F408AC" w:rsidRDefault="0035648F" w:rsidP="00233294">
            <w:pPr>
              <w:pStyle w:val="AmColumnHeading"/>
            </w:pPr>
            <w:r w:rsidRPr="00F408AC">
              <w:t>Texte proposé par la Commission</w:t>
            </w:r>
          </w:p>
        </w:tc>
        <w:tc>
          <w:tcPr>
            <w:tcW w:w="4876" w:type="dxa"/>
            <w:tcBorders>
              <w:top w:val="nil"/>
              <w:left w:val="nil"/>
              <w:bottom w:val="nil"/>
              <w:right w:val="nil"/>
            </w:tcBorders>
          </w:tcPr>
          <w:p w:rsidR="0035648F" w:rsidRPr="00F408AC" w:rsidRDefault="0035648F" w:rsidP="00233294">
            <w:pPr>
              <w:pStyle w:val="AmColumnHeading"/>
            </w:pPr>
            <w:r w:rsidRPr="00F408AC">
              <w:t>Amendement</w:t>
            </w:r>
          </w:p>
        </w:tc>
      </w:tr>
      <w:tr w:rsidR="0035648F" w:rsidRPr="00F408AC" w:rsidTr="00233294">
        <w:trPr>
          <w:jc w:val="center"/>
        </w:trPr>
        <w:tc>
          <w:tcPr>
            <w:tcW w:w="4876" w:type="dxa"/>
            <w:tcBorders>
              <w:top w:val="nil"/>
              <w:left w:val="nil"/>
              <w:bottom w:val="nil"/>
              <w:right w:val="nil"/>
            </w:tcBorders>
          </w:tcPr>
          <w:p w:rsidR="0035648F" w:rsidRPr="00F408AC" w:rsidRDefault="0035648F" w:rsidP="00233294">
            <w:pPr>
              <w:pStyle w:val="Normal6a"/>
            </w:pPr>
            <w:r w:rsidRPr="00F408AC">
              <w:t>(19)</w:t>
            </w:r>
            <w:r w:rsidRPr="00F408AC">
              <w:tab/>
              <w:t xml:space="preserve">Le présent règlement ne fournit pas de base juridique pour la création ou la tenue à jour de bases de données au niveau national pour le stockage de données biométriques dans les États membres. </w:t>
            </w:r>
            <w:proofErr w:type="gramStart"/>
            <w:r w:rsidRPr="00F408AC">
              <w:rPr>
                <w:b/>
                <w:i/>
              </w:rPr>
              <w:t>Ce dernier relève</w:t>
            </w:r>
            <w:proofErr w:type="gramEnd"/>
            <w:r w:rsidRPr="00F408AC">
              <w:rPr>
                <w:b/>
                <w:i/>
              </w:rPr>
              <w:t xml:space="preserve"> du droit national qui doit respecter le droit de l’Union en matière de protection des données, y compris ses exigences de nécessité et de proportionnalité.</w:t>
            </w:r>
            <w:r w:rsidRPr="00F408AC">
              <w:t xml:space="preserve"> En outre, le présent règlement ne fournit pas de base juridique pour la création ou la tenue à jour d’une base de données centralisée au niveau de l’Union.</w:t>
            </w:r>
          </w:p>
        </w:tc>
        <w:tc>
          <w:tcPr>
            <w:tcW w:w="4876" w:type="dxa"/>
            <w:tcBorders>
              <w:top w:val="nil"/>
              <w:left w:val="nil"/>
              <w:bottom w:val="nil"/>
              <w:right w:val="nil"/>
            </w:tcBorders>
          </w:tcPr>
          <w:p w:rsidR="0035648F" w:rsidRPr="00F408AC" w:rsidRDefault="0035648F" w:rsidP="001E6167">
            <w:pPr>
              <w:pStyle w:val="Normal6a"/>
            </w:pPr>
            <w:r w:rsidRPr="00F408AC">
              <w:t>(19)</w:t>
            </w:r>
            <w:r w:rsidRPr="00F408AC">
              <w:tab/>
              <w:t xml:space="preserve">Le présent règlement ne fournit pas de base juridique pour la création ou la tenue à jour de bases de données au niveau national pour le stockage de données biométriques dans les États membres. En outre, le présent règlement ne fournit pas de base juridique pour la création ou la tenue à jour d’une base de données centralisée au niveau de l’Union. </w:t>
            </w:r>
            <w:r w:rsidRPr="00F408AC">
              <w:rPr>
                <w:b/>
                <w:i/>
              </w:rPr>
              <w:t xml:space="preserve">Comme l’a rappelé le Contrôleur européen de la protection des données dans son avis 21/2024, la création ou la </w:t>
            </w:r>
            <w:r w:rsidR="001E6167">
              <w:rPr>
                <w:b/>
                <w:i/>
              </w:rPr>
              <w:t>gestion de</w:t>
            </w:r>
            <w:r w:rsidRPr="00F408AC">
              <w:rPr>
                <w:b/>
                <w:i/>
              </w:rPr>
              <w:t xml:space="preserve"> bases de données au niveau national pour le stockage de données biométriques dans les États membres ou, de manière analogue, la création ou la gestion d’une base de données centralisée au niveau de l’Union, ainsi que l’utilisation potentielle de ces données à d’autres fins, devraient satisfaire à un </w:t>
            </w:r>
            <w:r w:rsidR="00EE4EBB">
              <w:rPr>
                <w:b/>
                <w:i/>
              </w:rPr>
              <w:t>test</w:t>
            </w:r>
            <w:r w:rsidR="00EE4EBB" w:rsidRPr="00F408AC">
              <w:rPr>
                <w:b/>
                <w:i/>
              </w:rPr>
              <w:t xml:space="preserve"> </w:t>
            </w:r>
            <w:r w:rsidRPr="00F408AC">
              <w:rPr>
                <w:b/>
                <w:i/>
              </w:rPr>
              <w:t>strict de nécessité et de proportionnalité au titre de la charte, tel qu’interprété par la jurisprudence pertinente de la Cour de justice.</w:t>
            </w:r>
          </w:p>
        </w:tc>
      </w:tr>
    </w:tbl>
    <w:p w:rsidR="0035648F" w:rsidRPr="00F408AC" w:rsidRDefault="0035648F" w:rsidP="0035648F"/>
    <w:p w:rsidR="0035648F" w:rsidRPr="00F408AC" w:rsidRDefault="0035648F" w:rsidP="0035648F">
      <w:pPr>
        <w:pStyle w:val="AmNumberTabs"/>
      </w:pPr>
      <w:r w:rsidRPr="00F408AC">
        <w:t>Amendement</w:t>
      </w:r>
      <w:r w:rsidRPr="00F408AC">
        <w:tab/>
      </w:r>
      <w:r w:rsidRPr="00F408AC">
        <w:tab/>
        <w:t>2</w:t>
      </w:r>
    </w:p>
    <w:p w:rsidR="0035648F" w:rsidRPr="00F408AC" w:rsidRDefault="0035648F" w:rsidP="0035648F">
      <w:pPr>
        <w:pStyle w:val="NormalBold12b"/>
      </w:pPr>
      <w:r w:rsidRPr="00F408AC">
        <w:t>Proposition de règlement</w:t>
      </w:r>
    </w:p>
    <w:p w:rsidR="0035648F" w:rsidRPr="00F408AC" w:rsidRDefault="0035648F" w:rsidP="0035648F">
      <w:pPr>
        <w:pStyle w:val="NormalBold"/>
      </w:pPr>
      <w:r w:rsidRPr="00F408AC">
        <w:t>Considérant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648F" w:rsidRPr="00F408AC" w:rsidTr="00233294">
        <w:trPr>
          <w:jc w:val="center"/>
        </w:trPr>
        <w:tc>
          <w:tcPr>
            <w:tcW w:w="9752" w:type="dxa"/>
            <w:gridSpan w:val="2"/>
          </w:tcPr>
          <w:p w:rsidR="0035648F" w:rsidRPr="00F408AC" w:rsidRDefault="0035648F" w:rsidP="00233294">
            <w:pPr>
              <w:keepNext/>
            </w:pPr>
          </w:p>
        </w:tc>
      </w:tr>
      <w:tr w:rsidR="0035648F" w:rsidRPr="00F408AC" w:rsidTr="00233294">
        <w:trPr>
          <w:jc w:val="center"/>
        </w:trPr>
        <w:tc>
          <w:tcPr>
            <w:tcW w:w="4876" w:type="dxa"/>
          </w:tcPr>
          <w:p w:rsidR="0035648F" w:rsidRPr="00F408AC" w:rsidRDefault="0035648F" w:rsidP="00233294">
            <w:pPr>
              <w:pStyle w:val="ColumnHeading"/>
              <w:keepNext/>
            </w:pPr>
            <w:r w:rsidRPr="00F408AC">
              <w:t>Texte proposé par la Commission</w:t>
            </w:r>
          </w:p>
        </w:tc>
        <w:tc>
          <w:tcPr>
            <w:tcW w:w="4876" w:type="dxa"/>
          </w:tcPr>
          <w:p w:rsidR="0035648F" w:rsidRPr="00F408AC" w:rsidRDefault="0035648F" w:rsidP="00233294">
            <w:pPr>
              <w:pStyle w:val="ColumnHeading"/>
              <w:keepNext/>
            </w:pPr>
            <w:r w:rsidRPr="00F408AC">
              <w:t>Amendement</w:t>
            </w:r>
          </w:p>
        </w:tc>
      </w:tr>
      <w:tr w:rsidR="0035648F" w:rsidRPr="00F408AC" w:rsidTr="00233294">
        <w:trPr>
          <w:jc w:val="center"/>
        </w:trPr>
        <w:tc>
          <w:tcPr>
            <w:tcW w:w="4876" w:type="dxa"/>
          </w:tcPr>
          <w:p w:rsidR="0035648F" w:rsidRPr="00F408AC" w:rsidRDefault="0035648F" w:rsidP="00233294">
            <w:pPr>
              <w:pStyle w:val="Normal6"/>
            </w:pPr>
            <w:r w:rsidRPr="00F408AC">
              <w:t>(20)</w:t>
            </w:r>
            <w:r w:rsidRPr="00F408AC">
              <w:tab/>
            </w:r>
            <w:r w:rsidRPr="00F408AC">
              <w:rPr>
                <w:i/>
              </w:rPr>
              <w:t xml:space="preserve">Les </w:t>
            </w:r>
            <w:r w:rsidRPr="00F408AC">
              <w:rPr>
                <w:b/>
                <w:i/>
              </w:rPr>
              <w:t>éléments d’identification biométriques devraient être recueillis et stockés</w:t>
            </w:r>
            <w:r w:rsidRPr="00F408AC">
              <w:t xml:space="preserve"> sur le support de stockage des cartes d’identité et des documents de séjour aux fins de la vérification de l’authenticité du document et de l’identité du titulaire</w:t>
            </w:r>
            <w:r w:rsidRPr="00F408AC">
              <w:rPr>
                <w:i/>
              </w:rPr>
              <w:t xml:space="preserve">. </w:t>
            </w:r>
            <w:r w:rsidRPr="00F408AC">
              <w:rPr>
                <w:b/>
                <w:i/>
              </w:rPr>
              <w:t xml:space="preserve">Vu la signature électronique sur le support de stockage des cartes d’identité, l’identification du titulaire au moyen du support de stockage, qui contient les </w:t>
            </w:r>
            <w:r w:rsidRPr="00F408AC">
              <w:rPr>
                <w:b/>
                <w:i/>
              </w:rPr>
              <w:lastRenderedPageBreak/>
              <w:t>mêmes données biographiques que celles imprimées sur le document, est plus fiable qu’un contrôle visuel du document.</w:t>
            </w:r>
            <w:r w:rsidRPr="00F408AC">
              <w:rPr>
                <w:i/>
              </w:rPr>
              <w:t xml:space="preserve"> </w:t>
            </w:r>
            <w:r w:rsidRPr="00F408AC">
              <w:rPr>
                <w:b/>
                <w:i/>
              </w:rPr>
              <w:t>Les citoyens de l’Union</w:t>
            </w:r>
            <w:r w:rsidRPr="00F408AC">
              <w:t xml:space="preserve"> devraient </w:t>
            </w:r>
            <w:r w:rsidRPr="00F408AC">
              <w:rPr>
                <w:b/>
                <w:i/>
              </w:rPr>
              <w:t>donc</w:t>
            </w:r>
            <w:r w:rsidRPr="00F408AC">
              <w:t xml:space="preserve"> être </w:t>
            </w:r>
            <w:r w:rsidRPr="00F408AC">
              <w:rPr>
                <w:b/>
                <w:i/>
              </w:rPr>
              <w:t>autorisés</w:t>
            </w:r>
            <w:r w:rsidRPr="00F408AC">
              <w:t xml:space="preserve"> à </w:t>
            </w:r>
            <w:r w:rsidRPr="00F408AC">
              <w:rPr>
                <w:b/>
                <w:i/>
              </w:rPr>
              <w:t>utiliser les données stockées sur le support de stockage de leur carte d’identité pour s’identifier auprès d’entités privées. Toutefois, la vérification</w:t>
            </w:r>
            <w:r w:rsidRPr="00F408AC">
              <w:t xml:space="preserve"> des </w:t>
            </w:r>
            <w:r w:rsidRPr="00F408AC">
              <w:rPr>
                <w:b/>
                <w:i/>
              </w:rPr>
              <w:t>empreintes digitales stockées sur</w:t>
            </w:r>
            <w:r w:rsidRPr="00F408AC">
              <w:t xml:space="preserve"> le </w:t>
            </w:r>
            <w:r w:rsidRPr="00F408AC">
              <w:rPr>
                <w:b/>
                <w:i/>
              </w:rPr>
              <w:t>support de stockage ne devrait être effectuée que par du personnel dûment autorisé et uniquement lorsque la loi exige la présentation du document</w:t>
            </w:r>
            <w:r w:rsidRPr="00F408AC">
              <w:t>.</w:t>
            </w:r>
          </w:p>
        </w:tc>
        <w:tc>
          <w:tcPr>
            <w:tcW w:w="4876" w:type="dxa"/>
          </w:tcPr>
          <w:p w:rsidR="0035648F" w:rsidRPr="00F408AC" w:rsidRDefault="0035648F" w:rsidP="00233294">
            <w:pPr>
              <w:pStyle w:val="Normal6"/>
              <w:rPr>
                <w:szCs w:val="24"/>
              </w:rPr>
            </w:pPr>
            <w:r w:rsidRPr="00F408AC">
              <w:lastRenderedPageBreak/>
              <w:t>(20)</w:t>
            </w:r>
            <w:r w:rsidRPr="00F408AC">
              <w:tab/>
              <w:t xml:space="preserve">Les </w:t>
            </w:r>
            <w:r w:rsidRPr="00F408AC">
              <w:rPr>
                <w:b/>
                <w:i/>
              </w:rPr>
              <w:t>images faciales stockées</w:t>
            </w:r>
            <w:r w:rsidRPr="00F408AC">
              <w:t xml:space="preserve"> sur le support de stockage des cartes d’identité et des documents de séjour </w:t>
            </w:r>
            <w:r w:rsidRPr="00F408AC">
              <w:rPr>
                <w:b/>
                <w:i/>
              </w:rPr>
              <w:t xml:space="preserve">ne devraient être consultées que par le personnel dûment autorisé des autorités nationales compétentes, des agences de l’Union et des entités privées </w:t>
            </w:r>
            <w:r w:rsidRPr="00F408AC">
              <w:t>aux fins de la vérification de l’authenticité du document et de l’identité du titulaire.</w:t>
            </w:r>
            <w:r w:rsidRPr="00F408AC">
              <w:rPr>
                <w:b/>
                <w:i/>
              </w:rPr>
              <w:t xml:space="preserve"> Cette consultation devrait respecter</w:t>
            </w:r>
            <w:r w:rsidRPr="00F408AC">
              <w:t xml:space="preserve"> le </w:t>
            </w:r>
            <w:r w:rsidRPr="00F408AC">
              <w:rPr>
                <w:b/>
                <w:i/>
              </w:rPr>
              <w:t>droit</w:t>
            </w:r>
            <w:r w:rsidRPr="00F408AC">
              <w:t xml:space="preserve"> de </w:t>
            </w:r>
            <w:r w:rsidRPr="00F408AC">
              <w:rPr>
                <w:b/>
                <w:i/>
              </w:rPr>
              <w:lastRenderedPageBreak/>
              <w:t>l’Union en matière de protection des données. Les images faciales ne devraient pas être conservées plus longtemps</w:t>
            </w:r>
            <w:r w:rsidRPr="00F408AC">
              <w:t xml:space="preserve"> que </w:t>
            </w:r>
            <w:r w:rsidRPr="00F408AC">
              <w:rPr>
                <w:b/>
                <w:i/>
              </w:rPr>
              <w:t>nécessaire à ces fins</w:t>
            </w:r>
            <w:r w:rsidRPr="00F408AC">
              <w:t xml:space="preserve">, </w:t>
            </w:r>
            <w:r w:rsidRPr="00F408AC">
              <w:rPr>
                <w:b/>
                <w:i/>
              </w:rPr>
              <w:t>devraient être supprimées dès que ces finalités sont atteintes et ne</w:t>
            </w:r>
            <w:r w:rsidRPr="00F408AC">
              <w:t xml:space="preserve"> devraient </w:t>
            </w:r>
            <w:r w:rsidRPr="00F408AC">
              <w:rPr>
                <w:b/>
                <w:i/>
              </w:rPr>
              <w:t>pas</w:t>
            </w:r>
            <w:r w:rsidRPr="00F408AC">
              <w:t xml:space="preserve"> être </w:t>
            </w:r>
            <w:r w:rsidRPr="00F408AC">
              <w:rPr>
                <w:b/>
                <w:i/>
              </w:rPr>
              <w:t>transférées</w:t>
            </w:r>
            <w:r w:rsidRPr="00F408AC">
              <w:t xml:space="preserve"> à </w:t>
            </w:r>
            <w:r w:rsidRPr="00F408AC">
              <w:rPr>
                <w:b/>
                <w:i/>
              </w:rPr>
              <w:t>des pays tiers ni à des organisations internationales, sauf si le droit de l’Union en matière de protection</w:t>
            </w:r>
            <w:r w:rsidRPr="00F408AC">
              <w:t xml:space="preserve"> des </w:t>
            </w:r>
            <w:r w:rsidRPr="00F408AC">
              <w:rPr>
                <w:b/>
                <w:i/>
              </w:rPr>
              <w:t>données</w:t>
            </w:r>
            <w:r w:rsidRPr="00F408AC">
              <w:t xml:space="preserve"> le </w:t>
            </w:r>
            <w:r w:rsidRPr="00F408AC">
              <w:rPr>
                <w:b/>
                <w:i/>
              </w:rPr>
              <w:t xml:space="preserve">permet. </w:t>
            </w:r>
            <w:r w:rsidRPr="00F408AC">
              <w:rPr>
                <w:b/>
                <w:bCs/>
                <w:i/>
                <w:iCs/>
              </w:rPr>
              <w:t>Ces garanties sont destinées à assurer un niveau approprié de protection de l’image faciale, sans pour autant en interdire l’utilisation.</w:t>
            </w:r>
          </w:p>
        </w:tc>
      </w:tr>
    </w:tbl>
    <w:p w:rsidR="0035648F" w:rsidRPr="00F408AC" w:rsidRDefault="0035648F" w:rsidP="0035648F"/>
    <w:p w:rsidR="0035648F" w:rsidRPr="00F408AC" w:rsidRDefault="0035648F" w:rsidP="0035648F">
      <w:pPr>
        <w:pStyle w:val="AmNumberTabs"/>
      </w:pPr>
      <w:r w:rsidRPr="00F408AC">
        <w:t>Amendement</w:t>
      </w:r>
      <w:r w:rsidRPr="00F408AC">
        <w:tab/>
      </w:r>
      <w:r w:rsidRPr="00F408AC">
        <w:tab/>
        <w:t>3</w:t>
      </w:r>
    </w:p>
    <w:p w:rsidR="0035648F" w:rsidRPr="00F408AC" w:rsidRDefault="0035648F" w:rsidP="0035648F">
      <w:pPr>
        <w:pStyle w:val="NormalBold12b"/>
      </w:pPr>
      <w:r w:rsidRPr="00F408AC">
        <w:t>Proposition de règlement</w:t>
      </w:r>
    </w:p>
    <w:p w:rsidR="0035648F" w:rsidRPr="00F408AC" w:rsidRDefault="0035648F" w:rsidP="0035648F">
      <w:pPr>
        <w:pStyle w:val="NormalBold"/>
      </w:pPr>
      <w:r w:rsidRPr="00F408AC">
        <w:t>Considérant 20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648F" w:rsidRPr="00F408AC" w:rsidTr="00233294">
        <w:trPr>
          <w:jc w:val="center"/>
        </w:trPr>
        <w:tc>
          <w:tcPr>
            <w:tcW w:w="9752" w:type="dxa"/>
            <w:gridSpan w:val="2"/>
          </w:tcPr>
          <w:p w:rsidR="0035648F" w:rsidRPr="00F408AC" w:rsidRDefault="0035648F" w:rsidP="00233294">
            <w:pPr>
              <w:keepNext/>
            </w:pPr>
          </w:p>
        </w:tc>
      </w:tr>
      <w:tr w:rsidR="0035648F" w:rsidRPr="00F408AC" w:rsidTr="00233294">
        <w:trPr>
          <w:jc w:val="center"/>
        </w:trPr>
        <w:tc>
          <w:tcPr>
            <w:tcW w:w="4876" w:type="dxa"/>
          </w:tcPr>
          <w:p w:rsidR="0035648F" w:rsidRPr="00F408AC" w:rsidRDefault="0035648F" w:rsidP="00233294">
            <w:pPr>
              <w:pStyle w:val="ColumnHeading"/>
              <w:keepNext/>
            </w:pPr>
            <w:r w:rsidRPr="00F408AC">
              <w:t>Texte proposé par la Commission</w:t>
            </w:r>
          </w:p>
        </w:tc>
        <w:tc>
          <w:tcPr>
            <w:tcW w:w="4876" w:type="dxa"/>
          </w:tcPr>
          <w:p w:rsidR="0035648F" w:rsidRPr="00F408AC" w:rsidRDefault="0035648F" w:rsidP="00233294">
            <w:pPr>
              <w:pStyle w:val="ColumnHeading"/>
              <w:keepNext/>
            </w:pPr>
            <w:r w:rsidRPr="00F408AC">
              <w:t>Amendement</w:t>
            </w:r>
          </w:p>
        </w:tc>
      </w:tr>
      <w:tr w:rsidR="0035648F" w:rsidRPr="00F408AC" w:rsidTr="00233294">
        <w:trPr>
          <w:jc w:val="center"/>
        </w:trPr>
        <w:tc>
          <w:tcPr>
            <w:tcW w:w="4876" w:type="dxa"/>
          </w:tcPr>
          <w:p w:rsidR="0035648F" w:rsidRPr="00F408AC" w:rsidRDefault="0035648F" w:rsidP="00233294">
            <w:pPr>
              <w:pStyle w:val="Normal6"/>
            </w:pPr>
          </w:p>
        </w:tc>
        <w:tc>
          <w:tcPr>
            <w:tcW w:w="4876" w:type="dxa"/>
          </w:tcPr>
          <w:p w:rsidR="0035648F" w:rsidRPr="00F408AC" w:rsidRDefault="0035648F" w:rsidP="00233294">
            <w:pPr>
              <w:pStyle w:val="Normal6"/>
              <w:rPr>
                <w:b/>
                <w:i/>
                <w:szCs w:val="24"/>
              </w:rPr>
            </w:pPr>
            <w:r w:rsidRPr="00F408AC">
              <w:rPr>
                <w:b/>
                <w:i/>
              </w:rPr>
              <w:t>(20 bis)</w:t>
            </w:r>
            <w:r w:rsidRPr="00F408AC">
              <w:rPr>
                <w:b/>
                <w:i/>
              </w:rPr>
              <w:tab/>
              <w:t>La vérification des empreintes digitales stockées sur le support de stockage ne devrait être effectuée que par du personnel dûment autorisé des autorités nationales compétentes et des agences de l’Union et uniquement lorsque le droit de l’Union ou le droit national exige la présentation du document.</w:t>
            </w:r>
          </w:p>
        </w:tc>
      </w:tr>
    </w:tbl>
    <w:p w:rsidR="0035648F" w:rsidRPr="00F408AC" w:rsidRDefault="0035648F" w:rsidP="0035648F"/>
    <w:p w:rsidR="0035648F" w:rsidRPr="00F408AC" w:rsidRDefault="0035648F" w:rsidP="0035648F">
      <w:pPr>
        <w:pStyle w:val="AmNumberTabs"/>
      </w:pPr>
      <w:r w:rsidRPr="00F408AC">
        <w:t>Amendement</w:t>
      </w:r>
      <w:r w:rsidRPr="00F408AC">
        <w:tab/>
      </w:r>
      <w:r w:rsidRPr="00F408AC">
        <w:tab/>
        <w:t>4</w:t>
      </w:r>
    </w:p>
    <w:p w:rsidR="0035648F" w:rsidRPr="00F408AC" w:rsidRDefault="0035648F" w:rsidP="0035648F">
      <w:pPr>
        <w:pStyle w:val="NormalBold12b"/>
      </w:pPr>
      <w:r w:rsidRPr="00F408AC">
        <w:t>Proposition de règlement</w:t>
      </w:r>
    </w:p>
    <w:p w:rsidR="0035648F" w:rsidRPr="00F408AC" w:rsidRDefault="0035648F" w:rsidP="0035648F">
      <w:pPr>
        <w:pStyle w:val="NormalBold"/>
      </w:pPr>
      <w:r w:rsidRPr="00F408AC">
        <w:t>Considérant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648F" w:rsidRPr="00F408AC" w:rsidTr="00233294">
        <w:trPr>
          <w:trHeight w:hRule="exact" w:val="240"/>
          <w:jc w:val="center"/>
        </w:trPr>
        <w:tc>
          <w:tcPr>
            <w:tcW w:w="9752" w:type="dxa"/>
            <w:gridSpan w:val="2"/>
            <w:tcBorders>
              <w:top w:val="nil"/>
              <w:left w:val="nil"/>
              <w:bottom w:val="nil"/>
              <w:right w:val="nil"/>
            </w:tcBorders>
          </w:tcPr>
          <w:p w:rsidR="0035648F" w:rsidRPr="00F408AC" w:rsidRDefault="0035648F" w:rsidP="00233294"/>
        </w:tc>
      </w:tr>
      <w:tr w:rsidR="0035648F" w:rsidRPr="00F408AC" w:rsidTr="00233294">
        <w:trPr>
          <w:trHeight w:val="240"/>
          <w:jc w:val="center"/>
        </w:trPr>
        <w:tc>
          <w:tcPr>
            <w:tcW w:w="4876" w:type="dxa"/>
            <w:tcBorders>
              <w:top w:val="nil"/>
              <w:left w:val="nil"/>
              <w:bottom w:val="nil"/>
              <w:right w:val="nil"/>
            </w:tcBorders>
          </w:tcPr>
          <w:p w:rsidR="0035648F" w:rsidRPr="00F408AC" w:rsidRDefault="0035648F" w:rsidP="00233294">
            <w:pPr>
              <w:pStyle w:val="AmColumnHeading"/>
            </w:pPr>
            <w:r w:rsidRPr="00F408AC">
              <w:t>Texte proposé par la Commission</w:t>
            </w:r>
          </w:p>
        </w:tc>
        <w:tc>
          <w:tcPr>
            <w:tcW w:w="4876" w:type="dxa"/>
            <w:tcBorders>
              <w:top w:val="nil"/>
              <w:left w:val="nil"/>
              <w:bottom w:val="nil"/>
              <w:right w:val="nil"/>
            </w:tcBorders>
          </w:tcPr>
          <w:p w:rsidR="0035648F" w:rsidRPr="00F408AC" w:rsidRDefault="0035648F" w:rsidP="00233294">
            <w:pPr>
              <w:pStyle w:val="AmColumnHeading"/>
            </w:pPr>
            <w:r w:rsidRPr="00F408AC">
              <w:t>Amendement</w:t>
            </w:r>
          </w:p>
        </w:tc>
      </w:tr>
      <w:tr w:rsidR="0035648F" w:rsidRPr="00F408AC" w:rsidTr="00233294">
        <w:trPr>
          <w:jc w:val="center"/>
        </w:trPr>
        <w:tc>
          <w:tcPr>
            <w:tcW w:w="4876" w:type="dxa"/>
            <w:tcBorders>
              <w:top w:val="nil"/>
              <w:left w:val="nil"/>
              <w:bottom w:val="nil"/>
              <w:right w:val="nil"/>
            </w:tcBorders>
          </w:tcPr>
          <w:p w:rsidR="0035648F" w:rsidRPr="00F408AC" w:rsidRDefault="0035648F" w:rsidP="00233294">
            <w:pPr>
              <w:pStyle w:val="Normal6a"/>
            </w:pPr>
            <w:r w:rsidRPr="00F408AC">
              <w:t>(23)</w:t>
            </w:r>
            <w:r w:rsidRPr="00F408AC">
              <w:tab/>
              <w:t xml:space="preserve">Les États membres devraient pouvoir décider d’inclure ou non le genre d’une personne dans un document relevant du présent règlement. Lorsqu’un État membre inclut le genre d’une personne dans un tel document, il convient d’utiliser les spécifications du document 9303 de l’OACI «F», «M» ou «X», ou l’initiale unique correspondante utilisée dans la langue ou dans les langues de cet État </w:t>
            </w:r>
            <w:r w:rsidRPr="00F408AC">
              <w:lastRenderedPageBreak/>
              <w:t>membre, selon le cas.</w:t>
            </w:r>
          </w:p>
        </w:tc>
        <w:tc>
          <w:tcPr>
            <w:tcW w:w="4876" w:type="dxa"/>
            <w:tcBorders>
              <w:top w:val="nil"/>
              <w:left w:val="nil"/>
              <w:bottom w:val="nil"/>
              <w:right w:val="nil"/>
            </w:tcBorders>
          </w:tcPr>
          <w:p w:rsidR="0035648F" w:rsidRPr="00F408AC" w:rsidRDefault="0035648F" w:rsidP="00233294">
            <w:pPr>
              <w:pStyle w:val="Normal6a"/>
            </w:pPr>
            <w:r w:rsidRPr="00F408AC">
              <w:lastRenderedPageBreak/>
              <w:t>(23)</w:t>
            </w:r>
            <w:r w:rsidRPr="00F408AC">
              <w:tab/>
            </w:r>
            <w:r w:rsidRPr="00F408AC">
              <w:rPr>
                <w:b/>
                <w:i/>
              </w:rPr>
              <w:t>Sans préjudice de la jurisprudence de la Cour de justice</w:t>
            </w:r>
            <w:r w:rsidRPr="00F408AC">
              <w:rPr>
                <w:b/>
                <w:i/>
                <w:vertAlign w:val="superscript"/>
              </w:rPr>
              <w:t>1 bis</w:t>
            </w:r>
            <w:r w:rsidRPr="00F408AC">
              <w:rPr>
                <w:b/>
                <w:i/>
              </w:rPr>
              <w:t xml:space="preserve">, </w:t>
            </w:r>
            <w:r w:rsidRPr="00F408AC">
              <w:t xml:space="preserve">les États membres devraient pouvoir décider d’inclure ou non le genre d’une personne dans un document relevant du présent règlement. Lorsqu’un État membre inclut le genre d’une personne dans un tel document, il convient d’utiliser les spécifications du document 9303 de l’OACI «F», «M» ou «X», ou l’initiale </w:t>
            </w:r>
            <w:r w:rsidRPr="00F408AC">
              <w:lastRenderedPageBreak/>
              <w:t>unique correspondante utilisée dans la langue ou dans les langues de cet État membre, selon le cas.</w:t>
            </w:r>
          </w:p>
        </w:tc>
      </w:tr>
      <w:tr w:rsidR="0035648F" w:rsidRPr="00F408AC" w:rsidTr="00233294">
        <w:trPr>
          <w:jc w:val="center"/>
        </w:trPr>
        <w:tc>
          <w:tcPr>
            <w:tcW w:w="4876" w:type="dxa"/>
            <w:tcBorders>
              <w:top w:val="nil"/>
              <w:left w:val="nil"/>
              <w:bottom w:val="nil"/>
              <w:right w:val="nil"/>
            </w:tcBorders>
          </w:tcPr>
          <w:p w:rsidR="0035648F" w:rsidRPr="00F408AC" w:rsidRDefault="0035648F" w:rsidP="00233294"/>
        </w:tc>
        <w:tc>
          <w:tcPr>
            <w:tcW w:w="4876" w:type="dxa"/>
            <w:tcBorders>
              <w:top w:val="nil"/>
              <w:left w:val="nil"/>
              <w:bottom w:val="nil"/>
              <w:right w:val="nil"/>
            </w:tcBorders>
          </w:tcPr>
          <w:p w:rsidR="0035648F" w:rsidRPr="00F408AC" w:rsidRDefault="0035648F" w:rsidP="00233294">
            <w:pPr>
              <w:pStyle w:val="Normal6a"/>
            </w:pPr>
            <w:r w:rsidRPr="00F408AC">
              <w:rPr>
                <w:b/>
                <w:i/>
              </w:rPr>
              <w:t>_________________</w:t>
            </w:r>
          </w:p>
        </w:tc>
      </w:tr>
      <w:tr w:rsidR="0035648F" w:rsidRPr="00F408AC" w:rsidTr="00233294">
        <w:trPr>
          <w:jc w:val="center"/>
        </w:trPr>
        <w:tc>
          <w:tcPr>
            <w:tcW w:w="4876" w:type="dxa"/>
            <w:tcBorders>
              <w:top w:val="nil"/>
              <w:left w:val="nil"/>
              <w:bottom w:val="nil"/>
              <w:right w:val="nil"/>
            </w:tcBorders>
          </w:tcPr>
          <w:p w:rsidR="0035648F" w:rsidRPr="00F408AC" w:rsidRDefault="0035648F" w:rsidP="00233294"/>
        </w:tc>
        <w:tc>
          <w:tcPr>
            <w:tcW w:w="4876" w:type="dxa"/>
            <w:tcBorders>
              <w:top w:val="nil"/>
              <w:left w:val="nil"/>
              <w:bottom w:val="nil"/>
              <w:right w:val="nil"/>
            </w:tcBorders>
          </w:tcPr>
          <w:p w:rsidR="0035648F" w:rsidRPr="00F408AC" w:rsidRDefault="0035648F" w:rsidP="00233294">
            <w:pPr>
              <w:pStyle w:val="Normal6a"/>
            </w:pPr>
            <w:r w:rsidRPr="00F408AC">
              <w:rPr>
                <w:b/>
                <w:i/>
                <w:vertAlign w:val="superscript"/>
              </w:rPr>
              <w:t>1 bis</w:t>
            </w:r>
            <w:r w:rsidRPr="00F408AC">
              <w:rPr>
                <w:b/>
                <w:i/>
              </w:rPr>
              <w:t xml:space="preserve"> Arrêt de la Cour </w:t>
            </w:r>
            <w:r w:rsidR="00EE4EBB">
              <w:rPr>
                <w:b/>
                <w:i/>
              </w:rPr>
              <w:t xml:space="preserve">de Justice </w:t>
            </w:r>
            <w:r w:rsidRPr="00F408AC">
              <w:rPr>
                <w:b/>
                <w:i/>
              </w:rPr>
              <w:t xml:space="preserve">du 4 octobre 2024, </w:t>
            </w:r>
            <w:proofErr w:type="spellStart"/>
            <w:r w:rsidRPr="00F408AC">
              <w:rPr>
                <w:b/>
                <w:i/>
              </w:rPr>
              <w:t>Mirin</w:t>
            </w:r>
            <w:proofErr w:type="spellEnd"/>
            <w:r w:rsidRPr="00F408AC">
              <w:rPr>
                <w:b/>
                <w:i/>
              </w:rPr>
              <w:t>, C-4/23, ECLI:EU:C:2024:845.</w:t>
            </w:r>
          </w:p>
        </w:tc>
      </w:tr>
    </w:tbl>
    <w:p w:rsidR="0035648F" w:rsidRPr="00F408AC" w:rsidRDefault="0035648F" w:rsidP="0035648F"/>
    <w:p w:rsidR="0035648F" w:rsidRPr="00F408AC" w:rsidRDefault="0035648F" w:rsidP="0035648F">
      <w:pPr>
        <w:pStyle w:val="AmNumberTabs"/>
      </w:pPr>
      <w:r w:rsidRPr="00F408AC">
        <w:t>Amendement</w:t>
      </w:r>
      <w:r w:rsidRPr="00F408AC">
        <w:tab/>
      </w:r>
      <w:r w:rsidRPr="00F408AC">
        <w:tab/>
        <w:t>5</w:t>
      </w:r>
    </w:p>
    <w:p w:rsidR="0035648F" w:rsidRPr="00F408AC" w:rsidRDefault="0035648F" w:rsidP="0035648F">
      <w:pPr>
        <w:pStyle w:val="NormalBold12b"/>
      </w:pPr>
      <w:r w:rsidRPr="00F408AC">
        <w:t>Proposition de règlement</w:t>
      </w:r>
    </w:p>
    <w:p w:rsidR="0035648F" w:rsidRPr="00F408AC" w:rsidRDefault="0035648F" w:rsidP="0035648F">
      <w:pPr>
        <w:pStyle w:val="NormalBold"/>
      </w:pPr>
      <w:r w:rsidRPr="00F408AC">
        <w:t>Considérant 26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5648F" w:rsidRPr="00F408AC" w:rsidTr="00233294">
        <w:trPr>
          <w:jc w:val="center"/>
        </w:trPr>
        <w:tc>
          <w:tcPr>
            <w:tcW w:w="9752" w:type="dxa"/>
            <w:gridSpan w:val="2"/>
          </w:tcPr>
          <w:p w:rsidR="0035648F" w:rsidRPr="00F408AC" w:rsidRDefault="0035648F" w:rsidP="00233294">
            <w:pPr>
              <w:keepNext/>
            </w:pPr>
          </w:p>
        </w:tc>
      </w:tr>
      <w:tr w:rsidR="0035648F" w:rsidRPr="00F408AC" w:rsidTr="00233294">
        <w:trPr>
          <w:jc w:val="center"/>
        </w:trPr>
        <w:tc>
          <w:tcPr>
            <w:tcW w:w="4876" w:type="dxa"/>
          </w:tcPr>
          <w:p w:rsidR="0035648F" w:rsidRPr="00F408AC" w:rsidRDefault="0035648F" w:rsidP="00233294">
            <w:pPr>
              <w:pStyle w:val="ColumnHeading"/>
              <w:keepNext/>
            </w:pPr>
            <w:r w:rsidRPr="00F408AC">
              <w:t>Texte proposé par la Commission</w:t>
            </w:r>
          </w:p>
        </w:tc>
        <w:tc>
          <w:tcPr>
            <w:tcW w:w="4876" w:type="dxa"/>
          </w:tcPr>
          <w:p w:rsidR="0035648F" w:rsidRPr="00F408AC" w:rsidRDefault="0035648F" w:rsidP="00233294">
            <w:pPr>
              <w:pStyle w:val="ColumnHeading"/>
              <w:keepNext/>
            </w:pPr>
            <w:r w:rsidRPr="00F408AC">
              <w:t>Amendement</w:t>
            </w:r>
          </w:p>
        </w:tc>
      </w:tr>
      <w:tr w:rsidR="0035648F" w:rsidRPr="00F408AC" w:rsidTr="00233294">
        <w:trPr>
          <w:jc w:val="center"/>
        </w:trPr>
        <w:tc>
          <w:tcPr>
            <w:tcW w:w="4876" w:type="dxa"/>
          </w:tcPr>
          <w:p w:rsidR="0035648F" w:rsidRPr="00F408AC" w:rsidRDefault="0035648F" w:rsidP="00233294">
            <w:pPr>
              <w:pStyle w:val="Normal6"/>
            </w:pPr>
            <w:r w:rsidRPr="00F408AC">
              <w:t>(26)</w:t>
            </w:r>
            <w:r w:rsidRPr="00F408AC">
              <w:tab/>
              <w:t>Lorsque des difficultés se présentent pour recueillir les éléments d’identification biométriques, les États membres devraient veiller à ce que des procédures appropriées soient mises en place pour respecter la dignité de la personne concernée. Par conséquent, il y a lieu de tenir compte de considérations particulières relatives au genre et aux besoins spécifiques des enfants et des personnes vulnérables.</w:t>
            </w:r>
          </w:p>
        </w:tc>
        <w:tc>
          <w:tcPr>
            <w:tcW w:w="4876" w:type="dxa"/>
          </w:tcPr>
          <w:p w:rsidR="0035648F" w:rsidRPr="00F408AC" w:rsidRDefault="0035648F" w:rsidP="00233294">
            <w:pPr>
              <w:pStyle w:val="Normal6"/>
              <w:rPr>
                <w:b/>
                <w:i/>
                <w:szCs w:val="24"/>
              </w:rPr>
            </w:pPr>
            <w:r w:rsidRPr="00F408AC">
              <w:t>(26)</w:t>
            </w:r>
            <w:r w:rsidRPr="00F408AC">
              <w:tab/>
              <w:t xml:space="preserve">Lorsque des difficultés se présentent pour recueillir les éléments d’identification biométriques, les États membres devraient veiller à ce que des procédures appropriées soient mises en place pour respecter la dignité de la personne concernée. Par conséquent, il y a lieu de tenir compte de considérations particulières relatives au genre et aux besoins spécifiques des enfants et des personnes vulnérables. </w:t>
            </w:r>
            <w:r w:rsidRPr="00F408AC">
              <w:rPr>
                <w:b/>
                <w:i/>
              </w:rPr>
              <w:t>Le personnel qualifié devrait recevoir une formation sur les bonnes pratiques aux fins du recueil des éléments d’identification biométriques des enfants et des personnes vulnérables, afin d’assurer la prise en compte des besoins spécifiques au genre et à l’âge ainsi que le respect de la dignité de chaque individu.</w:t>
            </w:r>
          </w:p>
        </w:tc>
      </w:tr>
    </w:tbl>
    <w:p w:rsidR="0035648F" w:rsidRPr="00F408AC" w:rsidRDefault="0035648F" w:rsidP="0035648F"/>
    <w:p w:rsidR="0035648F" w:rsidRPr="00F408AC" w:rsidRDefault="0035648F" w:rsidP="0035648F">
      <w:pPr>
        <w:pStyle w:val="AmNumberTabs"/>
      </w:pPr>
      <w:r w:rsidRPr="00F408AC">
        <w:t>Amendement</w:t>
      </w:r>
      <w:r w:rsidRPr="00F408AC">
        <w:tab/>
      </w:r>
      <w:r w:rsidRPr="00F408AC">
        <w:tab/>
        <w:t>6</w:t>
      </w:r>
    </w:p>
    <w:p w:rsidR="0035648F" w:rsidRPr="00F408AC" w:rsidRDefault="0035648F" w:rsidP="0035648F">
      <w:pPr>
        <w:pStyle w:val="NormalBold12b"/>
      </w:pPr>
      <w:r w:rsidRPr="00F408AC">
        <w:t>Proposition de règlement</w:t>
      </w:r>
    </w:p>
    <w:p w:rsidR="0035648F" w:rsidRPr="00F408AC" w:rsidRDefault="0035648F" w:rsidP="0035648F">
      <w:pPr>
        <w:pStyle w:val="NormalBold"/>
      </w:pPr>
      <w:r w:rsidRPr="00F408AC">
        <w:t>Considérant 32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5648F" w:rsidRPr="00F408AC" w:rsidTr="00233294">
        <w:trPr>
          <w:jc w:val="center"/>
        </w:trPr>
        <w:tc>
          <w:tcPr>
            <w:tcW w:w="9752" w:type="dxa"/>
            <w:gridSpan w:val="2"/>
          </w:tcPr>
          <w:p w:rsidR="0035648F" w:rsidRPr="00F408AC" w:rsidRDefault="0035648F" w:rsidP="00233294">
            <w:pPr>
              <w:keepNext/>
            </w:pPr>
          </w:p>
        </w:tc>
      </w:tr>
      <w:tr w:rsidR="0035648F" w:rsidRPr="00F408AC" w:rsidTr="00233294">
        <w:trPr>
          <w:jc w:val="center"/>
        </w:trPr>
        <w:tc>
          <w:tcPr>
            <w:tcW w:w="4876" w:type="dxa"/>
          </w:tcPr>
          <w:p w:rsidR="0035648F" w:rsidRPr="00F408AC" w:rsidRDefault="0035648F" w:rsidP="00233294">
            <w:pPr>
              <w:pStyle w:val="ColumnHeading"/>
              <w:keepNext/>
            </w:pPr>
            <w:r w:rsidRPr="00F408AC">
              <w:t>Texte proposé par la Commission</w:t>
            </w:r>
          </w:p>
        </w:tc>
        <w:tc>
          <w:tcPr>
            <w:tcW w:w="4876" w:type="dxa"/>
          </w:tcPr>
          <w:p w:rsidR="0035648F" w:rsidRPr="00F408AC" w:rsidRDefault="0035648F" w:rsidP="00233294">
            <w:pPr>
              <w:pStyle w:val="ColumnHeading"/>
              <w:keepNext/>
            </w:pPr>
            <w:r w:rsidRPr="00F408AC">
              <w:t>Amendement</w:t>
            </w:r>
          </w:p>
        </w:tc>
      </w:tr>
      <w:tr w:rsidR="0035648F" w:rsidRPr="00F408AC" w:rsidTr="00233294">
        <w:trPr>
          <w:jc w:val="center"/>
        </w:trPr>
        <w:tc>
          <w:tcPr>
            <w:tcW w:w="4876" w:type="dxa"/>
          </w:tcPr>
          <w:p w:rsidR="0035648F" w:rsidRPr="00F408AC" w:rsidRDefault="0035648F" w:rsidP="00233294">
            <w:pPr>
              <w:pStyle w:val="Normal6"/>
            </w:pPr>
            <w:r w:rsidRPr="00F408AC">
              <w:t>(32)</w:t>
            </w:r>
            <w:r w:rsidRPr="00F408AC">
              <w:tab/>
              <w:t xml:space="preserve">Les États membres devraient échanger entre eux les informations nécessaires pour accéder aux informations contenues sur le support de stockage sécurisé, les authentifier et les vérifier. Les </w:t>
            </w:r>
            <w:r w:rsidRPr="00F408AC">
              <w:lastRenderedPageBreak/>
              <w:t>formats utilisés pour le support de stockage sécurisé devraient être interopérables, notamment pour ce qui est des points de passage frontaliers automatisés.</w:t>
            </w:r>
          </w:p>
        </w:tc>
        <w:tc>
          <w:tcPr>
            <w:tcW w:w="4876" w:type="dxa"/>
          </w:tcPr>
          <w:p w:rsidR="0035648F" w:rsidRPr="00F408AC" w:rsidRDefault="0035648F" w:rsidP="00233294">
            <w:pPr>
              <w:pStyle w:val="Normal6"/>
              <w:rPr>
                <w:b/>
                <w:i/>
                <w:szCs w:val="24"/>
              </w:rPr>
            </w:pPr>
            <w:r w:rsidRPr="00F408AC">
              <w:lastRenderedPageBreak/>
              <w:t>(32)</w:t>
            </w:r>
            <w:r w:rsidRPr="00F408AC">
              <w:tab/>
              <w:t xml:space="preserve">Les États membres devraient échanger entre eux les informations nécessaires pour accéder aux informations contenues sur le support de stockage sécurisé, les authentifier et les vérifier. Les </w:t>
            </w:r>
            <w:r w:rsidRPr="00F408AC">
              <w:lastRenderedPageBreak/>
              <w:t>formats utilisés pour le support de stockage sécurisé devraient être interopérables, notamment pour ce qui est des points de passage frontaliers automatisés.</w:t>
            </w:r>
            <w:r w:rsidRPr="00F408AC">
              <w:rPr>
                <w:b/>
                <w:i/>
              </w:rPr>
              <w:t xml:space="preserve"> La Commission devrait promouvoir la coopération des États membres à l’appui de ces objectifs.</w:t>
            </w:r>
          </w:p>
        </w:tc>
      </w:tr>
    </w:tbl>
    <w:p w:rsidR="0035648F" w:rsidRPr="00F408AC" w:rsidRDefault="0035648F" w:rsidP="0035648F"/>
    <w:p w:rsidR="0035648F" w:rsidRPr="00F408AC" w:rsidRDefault="0035648F" w:rsidP="0035648F">
      <w:pPr>
        <w:pStyle w:val="AmNumberTabs"/>
      </w:pPr>
      <w:r w:rsidRPr="00F408AC">
        <w:t>Amendement</w:t>
      </w:r>
      <w:r w:rsidRPr="00F408AC">
        <w:tab/>
      </w:r>
      <w:r w:rsidRPr="00F408AC">
        <w:tab/>
        <w:t>7</w:t>
      </w:r>
    </w:p>
    <w:p w:rsidR="0035648F" w:rsidRPr="00F408AC" w:rsidRDefault="0035648F" w:rsidP="0035648F">
      <w:pPr>
        <w:pStyle w:val="NormalBold12b"/>
      </w:pPr>
      <w:r w:rsidRPr="00F408AC">
        <w:t>Proposition de règlement</w:t>
      </w:r>
    </w:p>
    <w:p w:rsidR="0035648F" w:rsidRPr="00F408AC" w:rsidRDefault="0035648F" w:rsidP="0035648F">
      <w:pPr>
        <w:pStyle w:val="NormalBold"/>
      </w:pPr>
      <w:r w:rsidRPr="00F408AC">
        <w:t>Considérant 43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648F" w:rsidRPr="00F408AC" w:rsidTr="00233294">
        <w:trPr>
          <w:trHeight w:hRule="exact" w:val="240"/>
          <w:jc w:val="center"/>
        </w:trPr>
        <w:tc>
          <w:tcPr>
            <w:tcW w:w="9752" w:type="dxa"/>
            <w:gridSpan w:val="2"/>
            <w:tcBorders>
              <w:top w:val="nil"/>
              <w:left w:val="nil"/>
              <w:bottom w:val="nil"/>
              <w:right w:val="nil"/>
            </w:tcBorders>
          </w:tcPr>
          <w:p w:rsidR="0035648F" w:rsidRPr="00F408AC" w:rsidRDefault="0035648F" w:rsidP="00233294"/>
        </w:tc>
      </w:tr>
      <w:tr w:rsidR="0035648F" w:rsidRPr="00F408AC" w:rsidTr="00233294">
        <w:trPr>
          <w:trHeight w:val="240"/>
          <w:jc w:val="center"/>
        </w:trPr>
        <w:tc>
          <w:tcPr>
            <w:tcW w:w="4876" w:type="dxa"/>
            <w:tcBorders>
              <w:top w:val="nil"/>
              <w:left w:val="nil"/>
              <w:bottom w:val="nil"/>
              <w:right w:val="nil"/>
            </w:tcBorders>
          </w:tcPr>
          <w:p w:rsidR="0035648F" w:rsidRPr="00F408AC" w:rsidRDefault="0035648F" w:rsidP="00233294">
            <w:pPr>
              <w:pStyle w:val="AmColumnHeading"/>
            </w:pPr>
            <w:r w:rsidRPr="00F408AC">
              <w:t>Texte proposé par la Commission</w:t>
            </w:r>
          </w:p>
        </w:tc>
        <w:tc>
          <w:tcPr>
            <w:tcW w:w="4876" w:type="dxa"/>
            <w:tcBorders>
              <w:top w:val="nil"/>
              <w:left w:val="nil"/>
              <w:bottom w:val="nil"/>
              <w:right w:val="nil"/>
            </w:tcBorders>
          </w:tcPr>
          <w:p w:rsidR="0035648F" w:rsidRPr="00F408AC" w:rsidRDefault="0035648F" w:rsidP="00233294">
            <w:pPr>
              <w:pStyle w:val="AmColumnHeading"/>
            </w:pPr>
            <w:r w:rsidRPr="00F408AC">
              <w:t>Amendement</w:t>
            </w:r>
          </w:p>
        </w:tc>
      </w:tr>
      <w:tr w:rsidR="0035648F" w:rsidRPr="00F408AC" w:rsidTr="00233294">
        <w:trPr>
          <w:jc w:val="center"/>
        </w:trPr>
        <w:tc>
          <w:tcPr>
            <w:tcW w:w="4876" w:type="dxa"/>
            <w:tcBorders>
              <w:top w:val="nil"/>
              <w:left w:val="nil"/>
              <w:bottom w:val="nil"/>
              <w:right w:val="nil"/>
            </w:tcBorders>
          </w:tcPr>
          <w:p w:rsidR="0035648F" w:rsidRPr="00F408AC" w:rsidRDefault="0035648F" w:rsidP="00233294">
            <w:pPr>
              <w:pStyle w:val="Normal6a"/>
            </w:pPr>
            <w:r w:rsidRPr="00F408AC">
              <w:t>(43)</w:t>
            </w:r>
            <w:r w:rsidRPr="00F408AC">
              <w:tab/>
              <w:t>Conformément à l’accord interinstitutionnel du 13 avril 2016</w:t>
            </w:r>
            <w:proofErr w:type="gramStart"/>
            <w:r w:rsidRPr="00F408AC">
              <w:t xml:space="preserve"> «Mieux</w:t>
            </w:r>
            <w:proofErr w:type="gramEnd"/>
            <w:r w:rsidRPr="00F408AC">
              <w:t xml:space="preserve"> légiférer»</w:t>
            </w:r>
            <w:r w:rsidRPr="00F408AC">
              <w:rPr>
                <w:vertAlign w:val="superscript"/>
              </w:rPr>
              <w:t>9</w:t>
            </w:r>
            <w:r w:rsidRPr="00F408AC">
              <w:rPr>
                <w:b/>
                <w:i/>
              </w:rPr>
              <w:t xml:space="preserve"> </w:t>
            </w:r>
            <w:r w:rsidRPr="00F408AC">
              <w:t xml:space="preserve">, la Commission devrait, </w:t>
            </w:r>
            <w:r w:rsidRPr="00F408AC">
              <w:rPr>
                <w:b/>
                <w:i/>
              </w:rPr>
              <w:t xml:space="preserve">au plus tôt </w:t>
            </w:r>
            <w:r w:rsidRPr="00F408AC">
              <w:t>six</w:t>
            </w:r>
            <w:r w:rsidRPr="00F408AC">
              <w:rPr>
                <w:b/>
                <w:i/>
              </w:rPr>
              <w:t xml:space="preserve"> </w:t>
            </w:r>
            <w:r w:rsidRPr="00F408AC">
              <w:t xml:space="preserve">ans après la date </w:t>
            </w:r>
            <w:r w:rsidRPr="00F408AC">
              <w:rPr>
                <w:b/>
                <w:i/>
              </w:rPr>
              <w:t>d’application</w:t>
            </w:r>
            <w:r w:rsidRPr="00F408AC">
              <w:t xml:space="preserve"> du présent règlement, évaluer celui-ci, y compris sur la base des informations recueillies selon des modalités de suivi spécifiques, afin d’évaluer ses effets réels et la nécessité de toute nouvelle action. Aux fins du suivi, les États membres devraient collecter des statistiques sur le nombre de cartes d’identité et de documents de séjour qu’ils ont délivrés.</w:t>
            </w:r>
          </w:p>
        </w:tc>
        <w:tc>
          <w:tcPr>
            <w:tcW w:w="4876" w:type="dxa"/>
            <w:tcBorders>
              <w:top w:val="nil"/>
              <w:left w:val="nil"/>
              <w:bottom w:val="nil"/>
              <w:right w:val="nil"/>
            </w:tcBorders>
          </w:tcPr>
          <w:p w:rsidR="0035648F" w:rsidRPr="00F408AC" w:rsidRDefault="0035648F" w:rsidP="00233294">
            <w:pPr>
              <w:pStyle w:val="Normal6a"/>
            </w:pPr>
            <w:r w:rsidRPr="00F408AC">
              <w:t>(43)</w:t>
            </w:r>
            <w:r w:rsidRPr="00F408AC">
              <w:tab/>
            </w:r>
            <w:r w:rsidRPr="00F408AC">
              <w:rPr>
                <w:b/>
                <w:i/>
              </w:rPr>
              <w:t>La Commission devrait faire rapport sur la mise en œuvre du présent règlement, deux ans puis onze ans après son entrée en vigueur, y compris sur la pertinence du niveau de sécurité prévu, en tenant compte de son incidence sur les droits fondamentaux et les principes en matière de protection des données.</w:t>
            </w:r>
            <w:r w:rsidRPr="00F408AC">
              <w:t xml:space="preserve"> Conformément à l’accord interinstitutionnel du 13 avril 2016</w:t>
            </w:r>
            <w:proofErr w:type="gramStart"/>
            <w:r w:rsidRPr="00F408AC">
              <w:t xml:space="preserve"> «Mieux</w:t>
            </w:r>
            <w:proofErr w:type="gramEnd"/>
            <w:r w:rsidRPr="00F408AC">
              <w:t xml:space="preserve"> légiférer»</w:t>
            </w:r>
            <w:r w:rsidRPr="00F408AC">
              <w:rPr>
                <w:vertAlign w:val="superscript"/>
              </w:rPr>
              <w:t>9</w:t>
            </w:r>
            <w:r w:rsidRPr="00F408AC">
              <w:t>, la Commission devrait, six</w:t>
            </w:r>
            <w:r w:rsidRPr="00F408AC">
              <w:rPr>
                <w:b/>
                <w:i/>
              </w:rPr>
              <w:t> </w:t>
            </w:r>
            <w:r w:rsidRPr="00F408AC">
              <w:t xml:space="preserve">ans après la date </w:t>
            </w:r>
            <w:r w:rsidRPr="00F408AC">
              <w:rPr>
                <w:b/>
                <w:i/>
              </w:rPr>
              <w:t>d’entrée en vigueur</w:t>
            </w:r>
            <w:r w:rsidRPr="00F408AC">
              <w:t xml:space="preserve"> du présent règlement</w:t>
            </w:r>
            <w:r w:rsidRPr="00F408AC">
              <w:rPr>
                <w:b/>
                <w:i/>
              </w:rPr>
              <w:t>, et tous les six ans par la suite</w:t>
            </w:r>
            <w:r w:rsidRPr="00F408AC">
              <w:t>, évaluer celui-ci, y compris sur la base des informations recueillies selon des modalités de suivi spécifiques, afin d’évaluer ses effets réels et la nécessité de toute nouvelle action. Aux fins du suivi, les États membres devraient collecter des statistiques sur le nombre de cartes d’identité et de documents de séjour qu’ils ont délivrés.</w:t>
            </w:r>
          </w:p>
        </w:tc>
      </w:tr>
      <w:tr w:rsidR="0035648F" w:rsidRPr="00F408AC" w:rsidTr="00233294">
        <w:trPr>
          <w:jc w:val="center"/>
        </w:trPr>
        <w:tc>
          <w:tcPr>
            <w:tcW w:w="4876" w:type="dxa"/>
            <w:tcBorders>
              <w:top w:val="nil"/>
              <w:left w:val="nil"/>
              <w:bottom w:val="nil"/>
              <w:right w:val="nil"/>
            </w:tcBorders>
          </w:tcPr>
          <w:p w:rsidR="0035648F" w:rsidRPr="00F408AC" w:rsidRDefault="0035648F" w:rsidP="00233294">
            <w:pPr>
              <w:pStyle w:val="Normal6a"/>
            </w:pPr>
            <w:r w:rsidRPr="00F408AC">
              <w:rPr>
                <w:b/>
                <w:i/>
              </w:rPr>
              <w:t>_________________</w:t>
            </w:r>
          </w:p>
        </w:tc>
        <w:tc>
          <w:tcPr>
            <w:tcW w:w="4876" w:type="dxa"/>
            <w:tcBorders>
              <w:top w:val="nil"/>
              <w:left w:val="nil"/>
              <w:bottom w:val="nil"/>
              <w:right w:val="nil"/>
            </w:tcBorders>
          </w:tcPr>
          <w:p w:rsidR="0035648F" w:rsidRPr="00F408AC" w:rsidRDefault="0035648F" w:rsidP="00233294">
            <w:pPr>
              <w:pStyle w:val="Normal6a"/>
            </w:pPr>
            <w:r w:rsidRPr="00F408AC">
              <w:rPr>
                <w:b/>
                <w:i/>
              </w:rPr>
              <w:t>_________________</w:t>
            </w:r>
          </w:p>
        </w:tc>
      </w:tr>
      <w:tr w:rsidR="0035648F" w:rsidRPr="00584652" w:rsidTr="00233294">
        <w:trPr>
          <w:jc w:val="center"/>
        </w:trPr>
        <w:tc>
          <w:tcPr>
            <w:tcW w:w="4876" w:type="dxa"/>
            <w:tcBorders>
              <w:top w:val="nil"/>
              <w:left w:val="nil"/>
              <w:bottom w:val="nil"/>
              <w:right w:val="nil"/>
            </w:tcBorders>
          </w:tcPr>
          <w:p w:rsidR="0035648F" w:rsidRPr="00310030" w:rsidRDefault="0035648F" w:rsidP="00233294">
            <w:pPr>
              <w:pStyle w:val="Normal6a"/>
              <w:rPr>
                <w:lang w:val="fi-FI"/>
              </w:rPr>
            </w:pPr>
            <w:r w:rsidRPr="00310030">
              <w:rPr>
                <w:lang w:val="fi-FI"/>
              </w:rPr>
              <w:t>JO L 123 du 12.5.2016, p. 1, ELI: http://data.europa.eu/eli/agree_interinstit/2016/512/oj.</w:t>
            </w:r>
          </w:p>
        </w:tc>
        <w:tc>
          <w:tcPr>
            <w:tcW w:w="4876" w:type="dxa"/>
            <w:tcBorders>
              <w:top w:val="nil"/>
              <w:left w:val="nil"/>
              <w:bottom w:val="nil"/>
              <w:right w:val="nil"/>
            </w:tcBorders>
          </w:tcPr>
          <w:p w:rsidR="0035648F" w:rsidRPr="00310030" w:rsidRDefault="0035648F" w:rsidP="00233294">
            <w:pPr>
              <w:pStyle w:val="Normal6a"/>
              <w:rPr>
                <w:lang w:val="fi-FI"/>
              </w:rPr>
            </w:pPr>
            <w:r w:rsidRPr="00310030">
              <w:rPr>
                <w:lang w:val="fi-FI"/>
              </w:rPr>
              <w:t>JO L 123 du 12.5.2016, p. 1, ELI: http://data.europa.eu/eli/agree_interinstit/2016/512/oj.</w:t>
            </w:r>
          </w:p>
        </w:tc>
      </w:tr>
    </w:tbl>
    <w:p w:rsidR="0035648F" w:rsidRPr="00310030" w:rsidRDefault="0035648F" w:rsidP="0035648F">
      <w:pPr>
        <w:rPr>
          <w:lang w:val="fi-FI"/>
        </w:rPr>
      </w:pPr>
    </w:p>
    <w:p w:rsidR="0035648F" w:rsidRPr="00F408AC" w:rsidRDefault="0035648F" w:rsidP="0035648F">
      <w:pPr>
        <w:pStyle w:val="AmNumberTabs"/>
      </w:pPr>
      <w:r w:rsidRPr="00F408AC">
        <w:t>Amendement</w:t>
      </w:r>
      <w:r w:rsidRPr="00F408AC">
        <w:tab/>
      </w:r>
      <w:r w:rsidRPr="00F408AC">
        <w:tab/>
        <w:t>8</w:t>
      </w:r>
    </w:p>
    <w:p w:rsidR="0035648F" w:rsidRPr="00F408AC" w:rsidRDefault="0035648F" w:rsidP="0035648F">
      <w:pPr>
        <w:pStyle w:val="NormalBold12b"/>
      </w:pPr>
      <w:r w:rsidRPr="00F408AC">
        <w:t>Proposition de règlement</w:t>
      </w:r>
    </w:p>
    <w:p w:rsidR="0035648F" w:rsidRPr="00F408AC" w:rsidRDefault="0035648F" w:rsidP="0035648F">
      <w:pPr>
        <w:pStyle w:val="NormalBold"/>
      </w:pPr>
      <w:r w:rsidRPr="00F408AC">
        <w:t>Article 3 – paragraphe 2 – alinéa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648F" w:rsidRPr="00F408AC" w:rsidTr="00233294">
        <w:trPr>
          <w:trHeight w:hRule="exact" w:val="240"/>
          <w:jc w:val="center"/>
        </w:trPr>
        <w:tc>
          <w:tcPr>
            <w:tcW w:w="9752" w:type="dxa"/>
            <w:gridSpan w:val="2"/>
            <w:tcBorders>
              <w:top w:val="nil"/>
              <w:left w:val="nil"/>
              <w:bottom w:val="nil"/>
              <w:right w:val="nil"/>
            </w:tcBorders>
          </w:tcPr>
          <w:p w:rsidR="0035648F" w:rsidRPr="00F408AC" w:rsidRDefault="0035648F" w:rsidP="00233294"/>
        </w:tc>
      </w:tr>
      <w:tr w:rsidR="0035648F" w:rsidRPr="00F408AC" w:rsidTr="00233294">
        <w:trPr>
          <w:trHeight w:val="240"/>
          <w:jc w:val="center"/>
        </w:trPr>
        <w:tc>
          <w:tcPr>
            <w:tcW w:w="4876" w:type="dxa"/>
            <w:tcBorders>
              <w:top w:val="nil"/>
              <w:left w:val="nil"/>
              <w:bottom w:val="nil"/>
              <w:right w:val="nil"/>
            </w:tcBorders>
          </w:tcPr>
          <w:p w:rsidR="0035648F" w:rsidRPr="00F408AC" w:rsidRDefault="0035648F" w:rsidP="00233294">
            <w:pPr>
              <w:pStyle w:val="AmColumnHeading"/>
            </w:pPr>
            <w:r w:rsidRPr="00F408AC">
              <w:lastRenderedPageBreak/>
              <w:t>Texte proposé par la Commission</w:t>
            </w:r>
          </w:p>
        </w:tc>
        <w:tc>
          <w:tcPr>
            <w:tcW w:w="4876" w:type="dxa"/>
            <w:tcBorders>
              <w:top w:val="nil"/>
              <w:left w:val="nil"/>
              <w:bottom w:val="nil"/>
              <w:right w:val="nil"/>
            </w:tcBorders>
          </w:tcPr>
          <w:p w:rsidR="0035648F" w:rsidRPr="00F408AC" w:rsidRDefault="0035648F" w:rsidP="00233294">
            <w:pPr>
              <w:pStyle w:val="AmColumnHeading"/>
            </w:pPr>
            <w:r w:rsidRPr="00F408AC">
              <w:t>Amendement</w:t>
            </w:r>
          </w:p>
        </w:tc>
      </w:tr>
      <w:tr w:rsidR="0035648F" w:rsidRPr="00F408AC" w:rsidTr="00233294">
        <w:trPr>
          <w:jc w:val="center"/>
        </w:trPr>
        <w:tc>
          <w:tcPr>
            <w:tcW w:w="4876" w:type="dxa"/>
            <w:tcBorders>
              <w:top w:val="nil"/>
              <w:left w:val="nil"/>
              <w:bottom w:val="nil"/>
              <w:right w:val="nil"/>
            </w:tcBorders>
          </w:tcPr>
          <w:p w:rsidR="0035648F" w:rsidRPr="00F408AC" w:rsidRDefault="0035648F" w:rsidP="00233294">
            <w:pPr>
              <w:pStyle w:val="Normal6a"/>
            </w:pPr>
            <w:r w:rsidRPr="00F408AC">
              <w:t>Par dérogation au premier alinéa, le numéro du document peut être inséré dans la zone I et la désignation du genre de la personne est facultative.</w:t>
            </w:r>
          </w:p>
        </w:tc>
        <w:tc>
          <w:tcPr>
            <w:tcW w:w="4876" w:type="dxa"/>
            <w:tcBorders>
              <w:top w:val="nil"/>
              <w:left w:val="nil"/>
              <w:bottom w:val="nil"/>
              <w:right w:val="nil"/>
            </w:tcBorders>
          </w:tcPr>
          <w:p w:rsidR="0035648F" w:rsidRPr="00F408AC" w:rsidRDefault="0035648F" w:rsidP="00EE4EBB">
            <w:pPr>
              <w:pStyle w:val="Normal6a"/>
            </w:pPr>
            <w:r w:rsidRPr="00F408AC">
              <w:t xml:space="preserve">Par dérogation au premier alinéa, le numéro du document peut être inséré dans la zone I et la désignation du genre de la personne est facultative. </w:t>
            </w:r>
            <w:r w:rsidRPr="00F408AC">
              <w:rPr>
                <w:b/>
                <w:i/>
              </w:rPr>
              <w:t xml:space="preserve">Lorsqu’un État membre inclut le genre d’une personne dans un document relevant du présent règlement, les spécifications du document 9303 de l’OACI «F», «M» ou «X», ou l’initiale unique correspondante utilisée dans la </w:t>
            </w:r>
            <w:r w:rsidR="00EE4EBB">
              <w:rPr>
                <w:b/>
                <w:i/>
              </w:rPr>
              <w:t xml:space="preserve">ou </w:t>
            </w:r>
            <w:r w:rsidRPr="00F408AC">
              <w:rPr>
                <w:b/>
                <w:i/>
              </w:rPr>
              <w:t>les langues officielles de cet État membre, sont utilisées, selon le cas.</w:t>
            </w:r>
          </w:p>
        </w:tc>
      </w:tr>
    </w:tbl>
    <w:p w:rsidR="0035648F" w:rsidRPr="00F408AC" w:rsidRDefault="0035648F" w:rsidP="0035648F"/>
    <w:p w:rsidR="0035648F" w:rsidRPr="00F408AC" w:rsidRDefault="0035648F" w:rsidP="0035648F">
      <w:pPr>
        <w:pStyle w:val="AmNumberTabs"/>
      </w:pPr>
      <w:r w:rsidRPr="00F408AC">
        <w:t>Amendement</w:t>
      </w:r>
      <w:r w:rsidRPr="00F408AC">
        <w:tab/>
      </w:r>
      <w:r w:rsidRPr="00F408AC">
        <w:tab/>
        <w:t>9</w:t>
      </w:r>
    </w:p>
    <w:p w:rsidR="0035648F" w:rsidRPr="00F408AC" w:rsidRDefault="0035648F" w:rsidP="0035648F">
      <w:pPr>
        <w:pStyle w:val="NormalBold12b"/>
      </w:pPr>
      <w:r w:rsidRPr="00F408AC">
        <w:t>Proposition de règlement</w:t>
      </w:r>
    </w:p>
    <w:p w:rsidR="0035648F" w:rsidRPr="00F408AC" w:rsidRDefault="0035648F" w:rsidP="0035648F">
      <w:pPr>
        <w:pStyle w:val="NormalBold"/>
      </w:pPr>
      <w:r w:rsidRPr="00F408AC">
        <w:t>Article 3 – paragraphe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648F" w:rsidRPr="00F408AC" w:rsidTr="00233294">
        <w:trPr>
          <w:trHeight w:hRule="exact" w:val="240"/>
          <w:jc w:val="center"/>
        </w:trPr>
        <w:tc>
          <w:tcPr>
            <w:tcW w:w="9752" w:type="dxa"/>
            <w:gridSpan w:val="2"/>
            <w:tcBorders>
              <w:top w:val="nil"/>
              <w:left w:val="nil"/>
              <w:bottom w:val="nil"/>
              <w:right w:val="nil"/>
            </w:tcBorders>
          </w:tcPr>
          <w:p w:rsidR="0035648F" w:rsidRPr="00F408AC" w:rsidRDefault="0035648F" w:rsidP="00233294"/>
        </w:tc>
      </w:tr>
      <w:tr w:rsidR="0035648F" w:rsidRPr="00F408AC" w:rsidTr="00233294">
        <w:trPr>
          <w:trHeight w:val="240"/>
          <w:jc w:val="center"/>
        </w:trPr>
        <w:tc>
          <w:tcPr>
            <w:tcW w:w="4876" w:type="dxa"/>
            <w:tcBorders>
              <w:top w:val="nil"/>
              <w:left w:val="nil"/>
              <w:bottom w:val="nil"/>
              <w:right w:val="nil"/>
            </w:tcBorders>
          </w:tcPr>
          <w:p w:rsidR="0035648F" w:rsidRPr="00F408AC" w:rsidRDefault="0035648F" w:rsidP="00233294">
            <w:pPr>
              <w:pStyle w:val="AmColumnHeading"/>
            </w:pPr>
            <w:r w:rsidRPr="00F408AC">
              <w:t>Texte proposé par la Commission</w:t>
            </w:r>
          </w:p>
        </w:tc>
        <w:tc>
          <w:tcPr>
            <w:tcW w:w="4876" w:type="dxa"/>
            <w:tcBorders>
              <w:top w:val="nil"/>
              <w:left w:val="nil"/>
              <w:bottom w:val="nil"/>
              <w:right w:val="nil"/>
            </w:tcBorders>
          </w:tcPr>
          <w:p w:rsidR="0035648F" w:rsidRPr="00F408AC" w:rsidRDefault="0035648F" w:rsidP="00233294">
            <w:pPr>
              <w:pStyle w:val="AmColumnHeading"/>
            </w:pPr>
            <w:r w:rsidRPr="00F408AC">
              <w:t>Amendement</w:t>
            </w:r>
          </w:p>
        </w:tc>
      </w:tr>
      <w:tr w:rsidR="0035648F" w:rsidRPr="00F408AC" w:rsidTr="00233294">
        <w:trPr>
          <w:jc w:val="center"/>
        </w:trPr>
        <w:tc>
          <w:tcPr>
            <w:tcW w:w="4876" w:type="dxa"/>
            <w:tcBorders>
              <w:top w:val="nil"/>
              <w:left w:val="nil"/>
              <w:bottom w:val="nil"/>
              <w:right w:val="nil"/>
            </w:tcBorders>
          </w:tcPr>
          <w:p w:rsidR="0035648F" w:rsidRPr="00F408AC" w:rsidRDefault="0035648F" w:rsidP="00233294">
            <w:pPr>
              <w:pStyle w:val="Normal6"/>
            </w:pPr>
            <w:r w:rsidRPr="00F408AC">
              <w:t>5.</w:t>
            </w:r>
            <w:r w:rsidRPr="00F408AC">
              <w:tab/>
              <w:t xml:space="preserve">Les cartes d’identité intègrent un support de stockage hautement sécurisé qui contient une image faciale du titulaire de la carte et deux empreintes digitales dans des formats numériques interopérables. Pour le recueil </w:t>
            </w:r>
            <w:r w:rsidRPr="00F408AC">
              <w:rPr>
                <w:b/>
                <w:i/>
              </w:rPr>
              <w:t>des</w:t>
            </w:r>
            <w:r w:rsidRPr="00F408AC">
              <w:t xml:space="preserve"> éléments d’identification biométriques, les États membres appliquent les spécifications techniques établies par la décision d’exécution C(2018) 7767</w:t>
            </w:r>
            <w:r w:rsidRPr="00F408AC">
              <w:rPr>
                <w:b/>
                <w:i/>
              </w:rPr>
              <w:t> </w:t>
            </w:r>
            <w:r w:rsidRPr="00F408AC">
              <w:t>de la Commission</w:t>
            </w:r>
            <w:r w:rsidRPr="00F408AC">
              <w:rPr>
                <w:b/>
                <w:i/>
                <w:vertAlign w:val="superscript"/>
              </w:rPr>
              <w:t>12</w:t>
            </w:r>
            <w:r w:rsidRPr="00F408AC">
              <w:t>, telle que modifiée par la décision d’exécution C(2021) 3726</w:t>
            </w:r>
            <w:r w:rsidRPr="00F408AC">
              <w:rPr>
                <w:b/>
                <w:i/>
              </w:rPr>
              <w:t> </w:t>
            </w:r>
            <w:r w:rsidRPr="00F408AC">
              <w:t>de la Commission</w:t>
            </w:r>
            <w:r w:rsidRPr="00F408AC">
              <w:rPr>
                <w:b/>
                <w:i/>
                <w:vertAlign w:val="superscript"/>
              </w:rPr>
              <w:t>13</w:t>
            </w:r>
            <w:r w:rsidRPr="00F408AC">
              <w:t>.</w:t>
            </w:r>
          </w:p>
        </w:tc>
        <w:tc>
          <w:tcPr>
            <w:tcW w:w="4876" w:type="dxa"/>
            <w:tcBorders>
              <w:top w:val="nil"/>
              <w:left w:val="nil"/>
              <w:bottom w:val="nil"/>
              <w:right w:val="nil"/>
            </w:tcBorders>
          </w:tcPr>
          <w:p w:rsidR="0035648F" w:rsidRPr="00F408AC" w:rsidRDefault="0035648F" w:rsidP="00233294">
            <w:pPr>
              <w:pStyle w:val="Normal6a"/>
            </w:pPr>
            <w:r w:rsidRPr="00F408AC">
              <w:t>5.</w:t>
            </w:r>
            <w:r w:rsidRPr="00F408AC">
              <w:tab/>
              <w:t xml:space="preserve">Les cartes d’identité intègrent un support de stockage hautement sécurisé qui contient une image faciale du titulaire de la carte et deux empreintes digitales dans des formats numériques interopérables. Pour le recueil </w:t>
            </w:r>
            <w:r w:rsidRPr="00F408AC">
              <w:rPr>
                <w:b/>
                <w:i/>
              </w:rPr>
              <w:t>de ces deux</w:t>
            </w:r>
            <w:r w:rsidRPr="00F408AC">
              <w:t xml:space="preserve"> </w:t>
            </w:r>
            <w:r w:rsidR="00EE4EBB" w:rsidRPr="0019185B">
              <w:rPr>
                <w:b/>
                <w:i/>
              </w:rPr>
              <w:t>types d</w:t>
            </w:r>
            <w:r w:rsidR="00EE4EBB">
              <w:t>’</w:t>
            </w:r>
            <w:r w:rsidRPr="00F408AC">
              <w:t>éléments d’identification biométriques, les États membres appliquent les spécifications techniques établies par la décision d’exécution C(2018) 7767</w:t>
            </w:r>
            <w:r w:rsidRPr="00F408AC">
              <w:rPr>
                <w:b/>
                <w:i/>
              </w:rPr>
              <w:t xml:space="preserve"> </w:t>
            </w:r>
            <w:r w:rsidRPr="00F408AC">
              <w:t>de la Commission, telle que modifiée par la décision d’exécution C(2021) 3726</w:t>
            </w:r>
            <w:r w:rsidRPr="00F408AC">
              <w:rPr>
                <w:b/>
                <w:i/>
              </w:rPr>
              <w:t xml:space="preserve"> </w:t>
            </w:r>
            <w:r w:rsidRPr="00F408AC">
              <w:t>de la Commission.</w:t>
            </w:r>
          </w:p>
        </w:tc>
      </w:tr>
      <w:tr w:rsidR="0035648F" w:rsidRPr="00F408AC" w:rsidTr="00233294">
        <w:trPr>
          <w:jc w:val="center"/>
        </w:trPr>
        <w:tc>
          <w:tcPr>
            <w:tcW w:w="4876" w:type="dxa"/>
            <w:tcBorders>
              <w:top w:val="nil"/>
              <w:left w:val="nil"/>
              <w:bottom w:val="nil"/>
              <w:right w:val="nil"/>
            </w:tcBorders>
          </w:tcPr>
          <w:p w:rsidR="0035648F" w:rsidRPr="00F408AC" w:rsidRDefault="0035648F" w:rsidP="00233294">
            <w:pPr>
              <w:pStyle w:val="Normal6a"/>
            </w:pPr>
            <w:r w:rsidRPr="00F408AC">
              <w:rPr>
                <w:b/>
                <w:i/>
              </w:rPr>
              <w:t>_________________</w:t>
            </w:r>
          </w:p>
        </w:tc>
        <w:tc>
          <w:tcPr>
            <w:tcW w:w="4876" w:type="dxa"/>
            <w:tcBorders>
              <w:top w:val="nil"/>
              <w:left w:val="nil"/>
              <w:bottom w:val="nil"/>
              <w:right w:val="nil"/>
            </w:tcBorders>
          </w:tcPr>
          <w:p w:rsidR="0035648F" w:rsidRPr="00F408AC" w:rsidRDefault="0035648F" w:rsidP="00233294">
            <w:pPr>
              <w:pStyle w:val="Normal6a"/>
            </w:pPr>
            <w:r w:rsidRPr="00F408AC">
              <w:rPr>
                <w:b/>
                <w:i/>
              </w:rPr>
              <w:t>_________________</w:t>
            </w:r>
          </w:p>
        </w:tc>
      </w:tr>
      <w:tr w:rsidR="0035648F" w:rsidRPr="00F408AC" w:rsidTr="00233294">
        <w:trPr>
          <w:jc w:val="center"/>
        </w:trPr>
        <w:tc>
          <w:tcPr>
            <w:tcW w:w="4876" w:type="dxa"/>
            <w:tcBorders>
              <w:top w:val="nil"/>
              <w:left w:val="nil"/>
              <w:bottom w:val="nil"/>
              <w:right w:val="nil"/>
            </w:tcBorders>
          </w:tcPr>
          <w:p w:rsidR="0035648F" w:rsidRPr="00F408AC" w:rsidRDefault="0035648F" w:rsidP="00233294">
            <w:pPr>
              <w:pStyle w:val="Normal6a"/>
            </w:pPr>
            <w:r w:rsidRPr="00F408AC">
              <w:rPr>
                <w:vertAlign w:val="superscript"/>
              </w:rPr>
              <w:t xml:space="preserve">12 </w:t>
            </w:r>
            <w:r w:rsidRPr="00F408AC">
              <w:t>Décision d’exécution C(2018) 7767 de la Commission du 30 novembre 2018 établissant les spécifications techniques du modèle uniforme de titre de séjour destiné aux ressortissants de pays tiers, et abrogeant la décision C(2002) 3069.</w:t>
            </w:r>
          </w:p>
        </w:tc>
        <w:tc>
          <w:tcPr>
            <w:tcW w:w="4876" w:type="dxa"/>
            <w:tcBorders>
              <w:top w:val="nil"/>
              <w:left w:val="nil"/>
              <w:bottom w:val="nil"/>
              <w:right w:val="nil"/>
            </w:tcBorders>
          </w:tcPr>
          <w:p w:rsidR="0035648F" w:rsidRPr="00F408AC" w:rsidRDefault="0035648F" w:rsidP="00233294">
            <w:pPr>
              <w:pStyle w:val="Normal6a"/>
            </w:pPr>
            <w:r w:rsidRPr="00F408AC">
              <w:rPr>
                <w:vertAlign w:val="superscript"/>
              </w:rPr>
              <w:t xml:space="preserve">12 </w:t>
            </w:r>
            <w:r w:rsidRPr="00F408AC">
              <w:t>Décision d’exécution C(2018) 7767 de la Commission du 30 novembre 2018 établissant les spécifications techniques du modèle uniforme de titre de séjour destiné aux ressortissants de pays tiers, et abrogeant la décision C(2002) 3069.</w:t>
            </w:r>
          </w:p>
        </w:tc>
      </w:tr>
      <w:tr w:rsidR="0035648F" w:rsidRPr="00F408AC" w:rsidTr="00233294">
        <w:trPr>
          <w:jc w:val="center"/>
        </w:trPr>
        <w:tc>
          <w:tcPr>
            <w:tcW w:w="4876" w:type="dxa"/>
            <w:tcBorders>
              <w:top w:val="nil"/>
              <w:left w:val="nil"/>
              <w:bottom w:val="nil"/>
              <w:right w:val="nil"/>
            </w:tcBorders>
          </w:tcPr>
          <w:p w:rsidR="0035648F" w:rsidRPr="00F408AC" w:rsidRDefault="0035648F" w:rsidP="00233294">
            <w:pPr>
              <w:pStyle w:val="Normal6a"/>
            </w:pPr>
            <w:r w:rsidRPr="00F408AC">
              <w:rPr>
                <w:vertAlign w:val="superscript"/>
              </w:rPr>
              <w:t xml:space="preserve">13 </w:t>
            </w:r>
            <w:r w:rsidRPr="00F408AC">
              <w:t>Décision d’exécution C(2021) 3726 de la Commission du 4 juin 2021 modifiant l’annexe III de la décision d’exécution C(2018) 7767 en ce qui concerne la liste des références normatives.</w:t>
            </w:r>
          </w:p>
        </w:tc>
        <w:tc>
          <w:tcPr>
            <w:tcW w:w="4876" w:type="dxa"/>
            <w:tcBorders>
              <w:top w:val="nil"/>
              <w:left w:val="nil"/>
              <w:bottom w:val="nil"/>
              <w:right w:val="nil"/>
            </w:tcBorders>
          </w:tcPr>
          <w:p w:rsidR="0035648F" w:rsidRPr="00F408AC" w:rsidRDefault="0035648F" w:rsidP="00233294">
            <w:pPr>
              <w:pStyle w:val="Normal6a"/>
            </w:pPr>
            <w:r w:rsidRPr="00F408AC">
              <w:rPr>
                <w:vertAlign w:val="superscript"/>
              </w:rPr>
              <w:t xml:space="preserve">13 </w:t>
            </w:r>
            <w:r w:rsidRPr="00F408AC">
              <w:t>Décision d’exécution C(2021) 3726 de la Commission du 4 juin 2021 modifiant l’annexe III de la décision d’exécution C(2018) 7767 en ce qui concerne la liste des références normatives.</w:t>
            </w:r>
          </w:p>
        </w:tc>
      </w:tr>
    </w:tbl>
    <w:p w:rsidR="0035648F" w:rsidRPr="00F408AC" w:rsidRDefault="0035648F" w:rsidP="0035648F"/>
    <w:p w:rsidR="0035648F" w:rsidRPr="00F408AC" w:rsidRDefault="0035648F" w:rsidP="0035648F">
      <w:pPr>
        <w:pStyle w:val="AmNumberTabs"/>
      </w:pPr>
      <w:r w:rsidRPr="00F408AC">
        <w:lastRenderedPageBreak/>
        <w:t>Amendement</w:t>
      </w:r>
      <w:r w:rsidRPr="00F408AC">
        <w:tab/>
      </w:r>
      <w:r w:rsidRPr="00F408AC">
        <w:tab/>
        <w:t>10</w:t>
      </w:r>
    </w:p>
    <w:p w:rsidR="0035648F" w:rsidRPr="00F408AC" w:rsidRDefault="0035648F" w:rsidP="0035648F">
      <w:pPr>
        <w:pStyle w:val="NormalBold12b"/>
      </w:pPr>
      <w:r w:rsidRPr="00F408AC">
        <w:t>Proposition de règlement</w:t>
      </w:r>
    </w:p>
    <w:p w:rsidR="0035648F" w:rsidRPr="00F408AC" w:rsidRDefault="0035648F" w:rsidP="0035648F">
      <w:pPr>
        <w:pStyle w:val="NormalBold"/>
      </w:pPr>
      <w:r w:rsidRPr="00F408AC">
        <w:t>Article 10 – paragraphe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648F" w:rsidRPr="00F408AC" w:rsidTr="00233294">
        <w:trPr>
          <w:trHeight w:hRule="exact" w:val="240"/>
          <w:jc w:val="center"/>
        </w:trPr>
        <w:tc>
          <w:tcPr>
            <w:tcW w:w="9752" w:type="dxa"/>
            <w:gridSpan w:val="2"/>
            <w:tcBorders>
              <w:top w:val="nil"/>
              <w:left w:val="nil"/>
              <w:bottom w:val="nil"/>
              <w:right w:val="nil"/>
            </w:tcBorders>
          </w:tcPr>
          <w:p w:rsidR="0035648F" w:rsidRPr="00F408AC" w:rsidRDefault="0035648F" w:rsidP="00233294"/>
        </w:tc>
      </w:tr>
      <w:tr w:rsidR="0035648F" w:rsidRPr="00F408AC" w:rsidTr="00233294">
        <w:trPr>
          <w:trHeight w:val="240"/>
          <w:jc w:val="center"/>
        </w:trPr>
        <w:tc>
          <w:tcPr>
            <w:tcW w:w="4876" w:type="dxa"/>
            <w:tcBorders>
              <w:top w:val="nil"/>
              <w:left w:val="nil"/>
              <w:bottom w:val="nil"/>
              <w:right w:val="nil"/>
            </w:tcBorders>
          </w:tcPr>
          <w:p w:rsidR="0035648F" w:rsidRPr="00F408AC" w:rsidRDefault="0035648F" w:rsidP="00233294">
            <w:pPr>
              <w:pStyle w:val="AmColumnHeading"/>
            </w:pPr>
            <w:r w:rsidRPr="00F408AC">
              <w:t>Texte proposé par la Commission</w:t>
            </w:r>
          </w:p>
        </w:tc>
        <w:tc>
          <w:tcPr>
            <w:tcW w:w="4876" w:type="dxa"/>
            <w:tcBorders>
              <w:top w:val="nil"/>
              <w:left w:val="nil"/>
              <w:bottom w:val="nil"/>
              <w:right w:val="nil"/>
            </w:tcBorders>
          </w:tcPr>
          <w:p w:rsidR="0035648F" w:rsidRPr="00F408AC" w:rsidRDefault="0035648F" w:rsidP="00233294">
            <w:pPr>
              <w:pStyle w:val="AmColumnHeading"/>
            </w:pPr>
            <w:r w:rsidRPr="00F408AC">
              <w:t>Amendement</w:t>
            </w:r>
          </w:p>
        </w:tc>
      </w:tr>
      <w:tr w:rsidR="0035648F" w:rsidRPr="00F408AC" w:rsidTr="00233294">
        <w:trPr>
          <w:jc w:val="center"/>
        </w:trPr>
        <w:tc>
          <w:tcPr>
            <w:tcW w:w="4876" w:type="dxa"/>
            <w:tcBorders>
              <w:top w:val="nil"/>
              <w:left w:val="nil"/>
              <w:bottom w:val="nil"/>
              <w:right w:val="nil"/>
            </w:tcBorders>
          </w:tcPr>
          <w:p w:rsidR="0035648F" w:rsidRPr="00F408AC" w:rsidRDefault="0035648F" w:rsidP="00233294">
            <w:pPr>
              <w:pStyle w:val="Normal6a"/>
            </w:pPr>
            <w:r w:rsidRPr="00F408AC">
              <w:t>3.</w:t>
            </w:r>
            <w:r w:rsidRPr="00F408AC">
              <w:tab/>
            </w:r>
            <w:r w:rsidRPr="00F408AC">
              <w:rPr>
                <w:b/>
                <w:i/>
              </w:rPr>
              <w:t>Sauf s’ils sont nécessaires aux finalités du traitement dans le respect du droit de l’Union et du droit national,</w:t>
            </w:r>
            <w:r w:rsidRPr="00F408AC">
              <w:t xml:space="preserve"> les éléments d’identification biométriques stockés aux fins de la personnalisation des cartes d’identité ou des documents de séjour sont conservés de manière très sécurisée et uniquement jusqu’à la date de remise du document et, en tout état de cause, pas plus de 90</w:t>
            </w:r>
            <w:r w:rsidRPr="00F408AC">
              <w:rPr>
                <w:b/>
                <w:i/>
              </w:rPr>
              <w:t> </w:t>
            </w:r>
            <w:r w:rsidRPr="00F408AC">
              <w:t>jours à compter de la date de délivrance du document. Après ce délai, ces éléments d’identification biométriques sont immédiatement effacés ou détruits.</w:t>
            </w:r>
          </w:p>
        </w:tc>
        <w:tc>
          <w:tcPr>
            <w:tcW w:w="4876" w:type="dxa"/>
            <w:tcBorders>
              <w:top w:val="nil"/>
              <w:left w:val="nil"/>
              <w:bottom w:val="nil"/>
              <w:right w:val="nil"/>
            </w:tcBorders>
          </w:tcPr>
          <w:p w:rsidR="0035648F" w:rsidRPr="00F408AC" w:rsidRDefault="0035648F" w:rsidP="00233294">
            <w:pPr>
              <w:pStyle w:val="Normal6a"/>
            </w:pPr>
            <w:r w:rsidRPr="00F408AC">
              <w:t>3.</w:t>
            </w:r>
            <w:r w:rsidRPr="00F408AC">
              <w:tab/>
              <w:t>Les éléments d’identification biométriques stockés aux fins de la personnalisation des cartes d’identité ou des documents de séjour sont conservés de manière très sécurisée et uniquement jusqu’à la date de remise du document et, en tout état de cause, pas plus de 90</w:t>
            </w:r>
            <w:r w:rsidRPr="00F408AC">
              <w:rPr>
                <w:b/>
                <w:i/>
              </w:rPr>
              <w:t xml:space="preserve"> </w:t>
            </w:r>
            <w:r w:rsidRPr="00F408AC">
              <w:t xml:space="preserve">jours à compter de la date de délivrance du document. Après ce délai, ces éléments d’identification biométriques sont immédiatement effacés ou détruits. </w:t>
            </w:r>
            <w:r w:rsidRPr="00F408AC">
              <w:rPr>
                <w:b/>
                <w:i/>
              </w:rPr>
              <w:t>Le traitement de ces données à d’autres fins est soumis aux limitations et conditions prévues par le droit national ou le droit de l’Union en matière de protection des données.</w:t>
            </w:r>
          </w:p>
        </w:tc>
      </w:tr>
    </w:tbl>
    <w:p w:rsidR="0035648F" w:rsidRPr="00F408AC" w:rsidRDefault="0035648F" w:rsidP="0035648F"/>
    <w:p w:rsidR="0035648F" w:rsidRPr="00F408AC" w:rsidRDefault="0035648F" w:rsidP="0035648F">
      <w:pPr>
        <w:pStyle w:val="AmNumberTabs"/>
      </w:pPr>
      <w:r w:rsidRPr="00F408AC">
        <w:t>Amendement</w:t>
      </w:r>
      <w:r w:rsidRPr="00F408AC">
        <w:tab/>
      </w:r>
      <w:r w:rsidRPr="00F408AC">
        <w:tab/>
        <w:t>11</w:t>
      </w:r>
    </w:p>
    <w:p w:rsidR="0035648F" w:rsidRPr="00F408AC" w:rsidRDefault="0035648F" w:rsidP="0035648F">
      <w:pPr>
        <w:pStyle w:val="NormalBold12b"/>
      </w:pPr>
      <w:r w:rsidRPr="00F408AC">
        <w:t>Proposition de règlement</w:t>
      </w:r>
    </w:p>
    <w:p w:rsidR="0035648F" w:rsidRPr="00F408AC" w:rsidRDefault="0035648F" w:rsidP="0035648F">
      <w:pPr>
        <w:pStyle w:val="NormalBold"/>
      </w:pPr>
      <w:r w:rsidRPr="00F408AC">
        <w:t>Article 11 – paragraphe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648F" w:rsidRPr="00F408AC" w:rsidTr="00233294">
        <w:trPr>
          <w:trHeight w:hRule="exact" w:val="240"/>
          <w:jc w:val="center"/>
        </w:trPr>
        <w:tc>
          <w:tcPr>
            <w:tcW w:w="9752" w:type="dxa"/>
            <w:gridSpan w:val="2"/>
            <w:tcBorders>
              <w:top w:val="nil"/>
              <w:left w:val="nil"/>
              <w:bottom w:val="nil"/>
              <w:right w:val="nil"/>
            </w:tcBorders>
          </w:tcPr>
          <w:p w:rsidR="0035648F" w:rsidRPr="00F408AC" w:rsidRDefault="0035648F" w:rsidP="00233294"/>
        </w:tc>
      </w:tr>
      <w:tr w:rsidR="0035648F" w:rsidRPr="00F408AC" w:rsidTr="00233294">
        <w:trPr>
          <w:trHeight w:val="240"/>
          <w:jc w:val="center"/>
        </w:trPr>
        <w:tc>
          <w:tcPr>
            <w:tcW w:w="4876" w:type="dxa"/>
            <w:tcBorders>
              <w:top w:val="nil"/>
              <w:left w:val="nil"/>
              <w:bottom w:val="nil"/>
              <w:right w:val="nil"/>
            </w:tcBorders>
          </w:tcPr>
          <w:p w:rsidR="0035648F" w:rsidRPr="00F408AC" w:rsidRDefault="0035648F" w:rsidP="00233294">
            <w:pPr>
              <w:pStyle w:val="AmColumnHeading"/>
            </w:pPr>
            <w:r w:rsidRPr="00F408AC">
              <w:t>Texte proposé par la Commission</w:t>
            </w:r>
          </w:p>
        </w:tc>
        <w:tc>
          <w:tcPr>
            <w:tcW w:w="4876" w:type="dxa"/>
            <w:tcBorders>
              <w:top w:val="nil"/>
              <w:left w:val="nil"/>
              <w:bottom w:val="nil"/>
              <w:right w:val="nil"/>
            </w:tcBorders>
          </w:tcPr>
          <w:p w:rsidR="0035648F" w:rsidRPr="00F408AC" w:rsidRDefault="0035648F" w:rsidP="00233294">
            <w:pPr>
              <w:pStyle w:val="AmColumnHeading"/>
            </w:pPr>
            <w:r w:rsidRPr="00F408AC">
              <w:t>Amendement</w:t>
            </w:r>
          </w:p>
        </w:tc>
      </w:tr>
      <w:tr w:rsidR="0035648F" w:rsidRPr="00F408AC" w:rsidTr="00233294">
        <w:trPr>
          <w:jc w:val="center"/>
        </w:trPr>
        <w:tc>
          <w:tcPr>
            <w:tcW w:w="4876" w:type="dxa"/>
            <w:tcBorders>
              <w:top w:val="nil"/>
              <w:left w:val="nil"/>
              <w:bottom w:val="nil"/>
              <w:right w:val="nil"/>
            </w:tcBorders>
          </w:tcPr>
          <w:p w:rsidR="0035648F" w:rsidRPr="00F408AC" w:rsidRDefault="0035648F" w:rsidP="00233294">
            <w:pPr>
              <w:pStyle w:val="Normal6a"/>
            </w:pPr>
            <w:r w:rsidRPr="00F408AC">
              <w:t>4.</w:t>
            </w:r>
            <w:r w:rsidRPr="00F408AC">
              <w:tab/>
              <w:t>La coopération avec les prestataires de services extérieurs n’exclut pas la responsabilité d’un État membre qui peut découler du droit de l’Union ou du droit national en cas de manquement aux obligations en matière de données à caractère personnel.</w:t>
            </w:r>
          </w:p>
        </w:tc>
        <w:tc>
          <w:tcPr>
            <w:tcW w:w="4876" w:type="dxa"/>
            <w:tcBorders>
              <w:top w:val="nil"/>
              <w:left w:val="nil"/>
              <w:bottom w:val="nil"/>
              <w:right w:val="nil"/>
            </w:tcBorders>
          </w:tcPr>
          <w:p w:rsidR="0035648F" w:rsidRPr="00F408AC" w:rsidRDefault="0035648F" w:rsidP="00233294">
            <w:pPr>
              <w:pStyle w:val="Normal6a"/>
            </w:pPr>
            <w:r w:rsidRPr="00F408AC">
              <w:t>4.</w:t>
            </w:r>
            <w:r w:rsidRPr="00F408AC">
              <w:tab/>
              <w:t xml:space="preserve">La coopération avec les prestataires de services extérieurs n’exclut pas la responsabilité d’un État membre qui peut découler du droit de l’Union ou du droit national en cas de manquement aux obligations en matière de données à caractère personnel. </w:t>
            </w:r>
            <w:r w:rsidRPr="00F408AC">
              <w:rPr>
                <w:b/>
                <w:i/>
              </w:rPr>
              <w:t>Les États membres veillent à ce que tous les prestataires extérieurs respectent le droit de l’Union et le droit national en matière de protection des données, et des mesures appropriées sont adoptées pour éviter tout accès non autorisé à des données à caractère personnel et toute utilisation abusive de ces données au cours des processus externalisés.</w:t>
            </w:r>
          </w:p>
        </w:tc>
      </w:tr>
    </w:tbl>
    <w:p w:rsidR="0035648F" w:rsidRPr="00F408AC" w:rsidRDefault="0035648F" w:rsidP="0035648F"/>
    <w:p w:rsidR="0035648F" w:rsidRPr="00F408AC" w:rsidRDefault="0035648F" w:rsidP="0035648F">
      <w:pPr>
        <w:pStyle w:val="AmNumberTabs"/>
      </w:pPr>
      <w:r w:rsidRPr="00F408AC">
        <w:lastRenderedPageBreak/>
        <w:t>Amendement</w:t>
      </w:r>
      <w:r w:rsidRPr="00F408AC">
        <w:tab/>
      </w:r>
      <w:r w:rsidRPr="00F408AC">
        <w:tab/>
        <w:t>12</w:t>
      </w:r>
    </w:p>
    <w:p w:rsidR="0035648F" w:rsidRPr="00F408AC" w:rsidRDefault="0035648F" w:rsidP="0035648F">
      <w:pPr>
        <w:pStyle w:val="NormalBold12b"/>
      </w:pPr>
      <w:r w:rsidRPr="00F408AC">
        <w:t>Proposition de règlement</w:t>
      </w:r>
    </w:p>
    <w:p w:rsidR="0035648F" w:rsidRPr="00F408AC" w:rsidRDefault="0035648F" w:rsidP="0035648F">
      <w:pPr>
        <w:pStyle w:val="NormalBold"/>
      </w:pPr>
      <w:r w:rsidRPr="00F408AC">
        <w:t>Article 11 – paragraphe 6 – alinéa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648F" w:rsidRPr="00F408AC" w:rsidTr="00233294">
        <w:trPr>
          <w:jc w:val="center"/>
        </w:trPr>
        <w:tc>
          <w:tcPr>
            <w:tcW w:w="9752" w:type="dxa"/>
            <w:gridSpan w:val="2"/>
          </w:tcPr>
          <w:p w:rsidR="0035648F" w:rsidRPr="00F408AC" w:rsidRDefault="0035648F" w:rsidP="00233294">
            <w:pPr>
              <w:keepNext/>
            </w:pPr>
          </w:p>
        </w:tc>
      </w:tr>
      <w:tr w:rsidR="0035648F" w:rsidRPr="00F408AC" w:rsidTr="00233294">
        <w:trPr>
          <w:jc w:val="center"/>
        </w:trPr>
        <w:tc>
          <w:tcPr>
            <w:tcW w:w="4876" w:type="dxa"/>
          </w:tcPr>
          <w:p w:rsidR="0035648F" w:rsidRPr="00F408AC" w:rsidRDefault="0035648F" w:rsidP="00233294">
            <w:pPr>
              <w:pStyle w:val="ColumnHeading"/>
              <w:keepNext/>
            </w:pPr>
            <w:r w:rsidRPr="00F408AC">
              <w:t>Texte proposé par la Commission</w:t>
            </w:r>
          </w:p>
        </w:tc>
        <w:tc>
          <w:tcPr>
            <w:tcW w:w="4876" w:type="dxa"/>
          </w:tcPr>
          <w:p w:rsidR="0035648F" w:rsidRPr="00F408AC" w:rsidRDefault="0035648F" w:rsidP="00233294">
            <w:pPr>
              <w:pStyle w:val="ColumnHeading"/>
              <w:keepNext/>
            </w:pPr>
            <w:r w:rsidRPr="00F408AC">
              <w:t>Amendement</w:t>
            </w:r>
          </w:p>
        </w:tc>
      </w:tr>
      <w:tr w:rsidR="0035648F" w:rsidRPr="00F408AC" w:rsidTr="00233294">
        <w:trPr>
          <w:jc w:val="center"/>
        </w:trPr>
        <w:tc>
          <w:tcPr>
            <w:tcW w:w="4876" w:type="dxa"/>
          </w:tcPr>
          <w:p w:rsidR="0035648F" w:rsidRPr="00F408AC" w:rsidRDefault="0035648F" w:rsidP="00233294">
            <w:pPr>
              <w:pStyle w:val="Normal6"/>
            </w:pPr>
            <w:r w:rsidRPr="00F408AC">
              <w:rPr>
                <w:b/>
                <w:i/>
              </w:rPr>
              <w:t>Les données biométriques stockées</w:t>
            </w:r>
            <w:r w:rsidRPr="00F408AC">
              <w:t xml:space="preserve"> sur le support de stockage des cartes d’identité et des titres de séjour </w:t>
            </w:r>
            <w:r w:rsidRPr="00F408AC">
              <w:rPr>
                <w:b/>
                <w:i/>
              </w:rPr>
              <w:t>ne sont utilisées,</w:t>
            </w:r>
            <w:r w:rsidRPr="00F408AC">
              <w:t xml:space="preserve"> conformément au droit de l’Union </w:t>
            </w:r>
            <w:r w:rsidRPr="00F408AC">
              <w:rPr>
                <w:b/>
                <w:i/>
              </w:rPr>
              <w:t>et au droit national</w:t>
            </w:r>
            <w:r w:rsidRPr="00F408AC">
              <w:t>, que pour vérifier:</w:t>
            </w:r>
          </w:p>
        </w:tc>
        <w:tc>
          <w:tcPr>
            <w:tcW w:w="4876" w:type="dxa"/>
          </w:tcPr>
          <w:p w:rsidR="0035648F" w:rsidRPr="00F408AC" w:rsidRDefault="0035648F" w:rsidP="00233294">
            <w:pPr>
              <w:pStyle w:val="Normal6"/>
              <w:rPr>
                <w:szCs w:val="24"/>
              </w:rPr>
            </w:pPr>
            <w:r w:rsidRPr="00F408AC">
              <w:rPr>
                <w:b/>
                <w:i/>
              </w:rPr>
              <w:t>L’image faciale du titulaire</w:t>
            </w:r>
            <w:r w:rsidRPr="00F408AC">
              <w:t xml:space="preserve"> stockée sur le support de stockage des cartes d’identité et des titres de séjour </w:t>
            </w:r>
            <w:r w:rsidRPr="0019185B">
              <w:rPr>
                <w:b/>
                <w:i/>
              </w:rPr>
              <w:t>n’est consultée</w:t>
            </w:r>
            <w:r w:rsidRPr="00F408AC">
              <w:t xml:space="preserve">, conformément au droit de l’Union </w:t>
            </w:r>
            <w:r w:rsidRPr="0019185B">
              <w:rPr>
                <w:b/>
                <w:i/>
              </w:rPr>
              <w:t>en matière de</w:t>
            </w:r>
            <w:r w:rsidRPr="00F408AC">
              <w:t xml:space="preserve"> </w:t>
            </w:r>
            <w:r w:rsidRPr="00F408AC">
              <w:rPr>
                <w:b/>
                <w:i/>
              </w:rPr>
              <w:t>protection des données</w:t>
            </w:r>
            <w:r w:rsidRPr="00F408AC">
              <w:t xml:space="preserve">, </w:t>
            </w:r>
            <w:r w:rsidRPr="00F408AC">
              <w:rPr>
                <w:b/>
                <w:i/>
              </w:rPr>
              <w:t>que par le personnel dûment autorisé des autorités nationales compétentes, des agences de l’Union et des entités privées</w:t>
            </w:r>
            <w:r w:rsidRPr="00F408AC">
              <w:t xml:space="preserve"> pour vérifier:</w:t>
            </w:r>
          </w:p>
        </w:tc>
      </w:tr>
    </w:tbl>
    <w:p w:rsidR="0035648F" w:rsidRPr="00F408AC" w:rsidRDefault="0035648F" w:rsidP="0035648F"/>
    <w:p w:rsidR="0035648F" w:rsidRPr="00F408AC" w:rsidRDefault="0035648F" w:rsidP="0035648F">
      <w:pPr>
        <w:pStyle w:val="AmNumberTabs"/>
      </w:pPr>
      <w:r w:rsidRPr="00F408AC">
        <w:t>Amendement</w:t>
      </w:r>
      <w:r w:rsidRPr="00F408AC">
        <w:tab/>
      </w:r>
      <w:r w:rsidRPr="00F408AC">
        <w:tab/>
        <w:t>13</w:t>
      </w:r>
    </w:p>
    <w:p w:rsidR="0035648F" w:rsidRPr="00F408AC" w:rsidRDefault="0035648F" w:rsidP="0035648F">
      <w:pPr>
        <w:pStyle w:val="NormalBold12b"/>
      </w:pPr>
      <w:r w:rsidRPr="00F408AC">
        <w:t>Proposition de règlement</w:t>
      </w:r>
    </w:p>
    <w:p w:rsidR="0035648F" w:rsidRPr="00F408AC" w:rsidRDefault="0035648F" w:rsidP="0035648F">
      <w:pPr>
        <w:pStyle w:val="NormalBold"/>
      </w:pPr>
      <w:r w:rsidRPr="00F408AC">
        <w:t>Article 11 – paragraphe 6 – alinéa 1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5648F" w:rsidRPr="00F408AC" w:rsidTr="00233294">
        <w:trPr>
          <w:jc w:val="center"/>
        </w:trPr>
        <w:tc>
          <w:tcPr>
            <w:tcW w:w="9752" w:type="dxa"/>
            <w:gridSpan w:val="2"/>
          </w:tcPr>
          <w:p w:rsidR="0035648F" w:rsidRPr="00F408AC" w:rsidRDefault="0035648F" w:rsidP="00233294">
            <w:pPr>
              <w:keepNext/>
            </w:pPr>
          </w:p>
        </w:tc>
      </w:tr>
      <w:tr w:rsidR="0035648F" w:rsidRPr="00F408AC" w:rsidTr="00233294">
        <w:trPr>
          <w:jc w:val="center"/>
        </w:trPr>
        <w:tc>
          <w:tcPr>
            <w:tcW w:w="4876" w:type="dxa"/>
          </w:tcPr>
          <w:p w:rsidR="0035648F" w:rsidRPr="00F408AC" w:rsidRDefault="0035648F" w:rsidP="00233294">
            <w:pPr>
              <w:pStyle w:val="ColumnHeading"/>
              <w:keepNext/>
            </w:pPr>
            <w:r w:rsidRPr="00F408AC">
              <w:t>Texte proposé par la Commission</w:t>
            </w:r>
          </w:p>
        </w:tc>
        <w:tc>
          <w:tcPr>
            <w:tcW w:w="4876" w:type="dxa"/>
          </w:tcPr>
          <w:p w:rsidR="0035648F" w:rsidRPr="00F408AC" w:rsidRDefault="0035648F" w:rsidP="00233294">
            <w:pPr>
              <w:pStyle w:val="ColumnHeading"/>
              <w:keepNext/>
            </w:pPr>
            <w:r w:rsidRPr="00F408AC">
              <w:t>Amendement</w:t>
            </w:r>
          </w:p>
        </w:tc>
      </w:tr>
      <w:tr w:rsidR="0035648F" w:rsidRPr="00F408AC" w:rsidTr="00233294">
        <w:trPr>
          <w:jc w:val="center"/>
        </w:trPr>
        <w:tc>
          <w:tcPr>
            <w:tcW w:w="4876" w:type="dxa"/>
          </w:tcPr>
          <w:p w:rsidR="0035648F" w:rsidRPr="00F408AC" w:rsidRDefault="0035648F" w:rsidP="00233294">
            <w:pPr>
              <w:pStyle w:val="Normal6"/>
            </w:pPr>
          </w:p>
        </w:tc>
        <w:tc>
          <w:tcPr>
            <w:tcW w:w="4876" w:type="dxa"/>
          </w:tcPr>
          <w:p w:rsidR="0035648F" w:rsidRPr="00F408AC" w:rsidRDefault="0035648F" w:rsidP="00172394">
            <w:pPr>
              <w:pStyle w:val="Normal6"/>
              <w:rPr>
                <w:b/>
                <w:i/>
                <w:szCs w:val="24"/>
              </w:rPr>
            </w:pPr>
            <w:r w:rsidRPr="00F408AC">
              <w:rPr>
                <w:b/>
                <w:i/>
              </w:rPr>
              <w:t xml:space="preserve">La consultation de l’image faciale par des entités privées requiert également le consentement du titulaire, à moins que la consultation indépendamment du consentement ne soit strictement nécessaire aux fins énoncées au premier alinéa et prévue par le droit de l’Union ou le droit national </w:t>
            </w:r>
            <w:r w:rsidR="00172394">
              <w:rPr>
                <w:b/>
                <w:i/>
              </w:rPr>
              <w:t>conforme au</w:t>
            </w:r>
            <w:r w:rsidRPr="00F408AC">
              <w:rPr>
                <w:b/>
                <w:i/>
              </w:rPr>
              <w:t xml:space="preserve"> droit de l’Union en matière de protection des données.</w:t>
            </w:r>
          </w:p>
        </w:tc>
      </w:tr>
    </w:tbl>
    <w:p w:rsidR="0035648F" w:rsidRPr="00F408AC" w:rsidRDefault="0035648F" w:rsidP="0035648F"/>
    <w:p w:rsidR="0035648F" w:rsidRPr="00F408AC" w:rsidRDefault="0035648F" w:rsidP="0035648F">
      <w:pPr>
        <w:pStyle w:val="AmNumberTabs"/>
      </w:pPr>
      <w:r w:rsidRPr="00F408AC">
        <w:t>Amendement</w:t>
      </w:r>
      <w:r w:rsidRPr="00F408AC">
        <w:tab/>
      </w:r>
      <w:r w:rsidRPr="00F408AC">
        <w:tab/>
        <w:t>14</w:t>
      </w:r>
    </w:p>
    <w:p w:rsidR="0035648F" w:rsidRPr="00F408AC" w:rsidRDefault="0035648F" w:rsidP="0035648F">
      <w:pPr>
        <w:pStyle w:val="NormalBold12b"/>
      </w:pPr>
      <w:r w:rsidRPr="00F408AC">
        <w:t>Proposition de règlement</w:t>
      </w:r>
    </w:p>
    <w:p w:rsidR="0035648F" w:rsidRPr="00F408AC" w:rsidRDefault="0035648F" w:rsidP="0035648F">
      <w:pPr>
        <w:pStyle w:val="NormalBold"/>
      </w:pPr>
      <w:r w:rsidRPr="00F408AC">
        <w:t>Article 11 – paragraphe 6 – alinéa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5648F" w:rsidRPr="00F408AC" w:rsidTr="00233294">
        <w:trPr>
          <w:jc w:val="center"/>
        </w:trPr>
        <w:tc>
          <w:tcPr>
            <w:tcW w:w="9752" w:type="dxa"/>
            <w:gridSpan w:val="2"/>
          </w:tcPr>
          <w:p w:rsidR="0035648F" w:rsidRPr="00F408AC" w:rsidRDefault="0035648F" w:rsidP="00233294">
            <w:pPr>
              <w:keepNext/>
            </w:pPr>
          </w:p>
        </w:tc>
      </w:tr>
      <w:tr w:rsidR="0035648F" w:rsidRPr="00F408AC" w:rsidTr="00233294">
        <w:trPr>
          <w:jc w:val="center"/>
        </w:trPr>
        <w:tc>
          <w:tcPr>
            <w:tcW w:w="4876" w:type="dxa"/>
          </w:tcPr>
          <w:p w:rsidR="0035648F" w:rsidRPr="00F408AC" w:rsidRDefault="0035648F" w:rsidP="00233294">
            <w:pPr>
              <w:pStyle w:val="ColumnHeading"/>
              <w:keepNext/>
            </w:pPr>
            <w:r w:rsidRPr="00F408AC">
              <w:t>Texte proposé par la Commission</w:t>
            </w:r>
          </w:p>
        </w:tc>
        <w:tc>
          <w:tcPr>
            <w:tcW w:w="4876" w:type="dxa"/>
          </w:tcPr>
          <w:p w:rsidR="0035648F" w:rsidRPr="00F408AC" w:rsidRDefault="0035648F" w:rsidP="00233294">
            <w:pPr>
              <w:pStyle w:val="ColumnHeading"/>
              <w:keepNext/>
            </w:pPr>
            <w:r w:rsidRPr="00F408AC">
              <w:t>Amendement</w:t>
            </w:r>
          </w:p>
        </w:tc>
      </w:tr>
      <w:tr w:rsidR="0035648F" w:rsidRPr="00F408AC" w:rsidTr="00233294">
        <w:trPr>
          <w:jc w:val="center"/>
        </w:trPr>
        <w:tc>
          <w:tcPr>
            <w:tcW w:w="4876" w:type="dxa"/>
          </w:tcPr>
          <w:p w:rsidR="0035648F" w:rsidRPr="00F408AC" w:rsidRDefault="0035648F" w:rsidP="00233294">
            <w:pPr>
              <w:pStyle w:val="Normal6"/>
            </w:pPr>
            <w:r w:rsidRPr="00F408AC">
              <w:t>Les deux empreintes digitales stockées sur le support de stockage ne peuvent être consultées que par le personnel dûment autorisé des autorités nationales compétentes et des agences de l’Union.</w:t>
            </w:r>
          </w:p>
        </w:tc>
        <w:tc>
          <w:tcPr>
            <w:tcW w:w="4876" w:type="dxa"/>
          </w:tcPr>
          <w:p w:rsidR="0035648F" w:rsidRPr="00F408AC" w:rsidRDefault="0035648F" w:rsidP="00233294">
            <w:pPr>
              <w:pStyle w:val="Normal6"/>
              <w:rPr>
                <w:szCs w:val="24"/>
              </w:rPr>
            </w:pPr>
            <w:r w:rsidRPr="00F408AC">
              <w:t xml:space="preserve">Les deux empreintes digitales </w:t>
            </w:r>
            <w:r w:rsidRPr="00F408AC">
              <w:rPr>
                <w:b/>
                <w:i/>
              </w:rPr>
              <w:t xml:space="preserve">du titulaire </w:t>
            </w:r>
            <w:r w:rsidRPr="00F408AC">
              <w:t>stockées sur le support de stockage ne peuvent être consultées que par le personnel dûment autorisé des autorités nationales compétentes et des agences de l’Union</w:t>
            </w:r>
            <w:r w:rsidRPr="00F408AC">
              <w:rPr>
                <w:b/>
                <w:i/>
              </w:rPr>
              <w:t xml:space="preserve">, aux fins énoncées au premier </w:t>
            </w:r>
            <w:r w:rsidRPr="00F408AC">
              <w:rPr>
                <w:b/>
                <w:i/>
              </w:rPr>
              <w:lastRenderedPageBreak/>
              <w:t>alinéa, conformément au droit de l’Union et au droit national en matière de protection des données</w:t>
            </w:r>
            <w:r w:rsidRPr="00F408AC">
              <w:t>.</w:t>
            </w:r>
          </w:p>
        </w:tc>
      </w:tr>
    </w:tbl>
    <w:p w:rsidR="0035648F" w:rsidRPr="00F408AC" w:rsidRDefault="0035648F" w:rsidP="0035648F"/>
    <w:p w:rsidR="0035648F" w:rsidRPr="00F408AC" w:rsidRDefault="0035648F" w:rsidP="0035648F">
      <w:pPr>
        <w:pStyle w:val="AmNumberTabs"/>
      </w:pPr>
      <w:r w:rsidRPr="00F408AC">
        <w:t>Amendement</w:t>
      </w:r>
      <w:r w:rsidRPr="00F408AC">
        <w:tab/>
      </w:r>
      <w:r w:rsidRPr="00F408AC">
        <w:tab/>
        <w:t>15</w:t>
      </w:r>
    </w:p>
    <w:p w:rsidR="0035648F" w:rsidRPr="00F408AC" w:rsidRDefault="0035648F" w:rsidP="0035648F">
      <w:pPr>
        <w:pStyle w:val="NormalBold12b"/>
      </w:pPr>
      <w:r w:rsidRPr="00F408AC">
        <w:t>Proposition de règlement</w:t>
      </w:r>
    </w:p>
    <w:p w:rsidR="0035648F" w:rsidRPr="00F408AC" w:rsidRDefault="0035648F" w:rsidP="0035648F">
      <w:pPr>
        <w:pStyle w:val="NormalBold"/>
      </w:pPr>
      <w:r w:rsidRPr="00F408AC">
        <w:t>Article 13 – titre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648F" w:rsidRPr="00F408AC" w:rsidTr="00233294">
        <w:trPr>
          <w:trHeight w:hRule="exact" w:val="240"/>
          <w:jc w:val="center"/>
        </w:trPr>
        <w:tc>
          <w:tcPr>
            <w:tcW w:w="9752" w:type="dxa"/>
            <w:gridSpan w:val="2"/>
            <w:tcBorders>
              <w:top w:val="nil"/>
              <w:left w:val="nil"/>
              <w:bottom w:val="nil"/>
              <w:right w:val="nil"/>
            </w:tcBorders>
          </w:tcPr>
          <w:p w:rsidR="0035648F" w:rsidRPr="00F408AC" w:rsidRDefault="0035648F" w:rsidP="00233294"/>
        </w:tc>
      </w:tr>
      <w:tr w:rsidR="0035648F" w:rsidRPr="00F408AC" w:rsidTr="00233294">
        <w:trPr>
          <w:trHeight w:val="240"/>
          <w:jc w:val="center"/>
        </w:trPr>
        <w:tc>
          <w:tcPr>
            <w:tcW w:w="4876" w:type="dxa"/>
            <w:tcBorders>
              <w:top w:val="nil"/>
              <w:left w:val="nil"/>
              <w:bottom w:val="nil"/>
              <w:right w:val="nil"/>
            </w:tcBorders>
          </w:tcPr>
          <w:p w:rsidR="0035648F" w:rsidRPr="00F408AC" w:rsidRDefault="0035648F" w:rsidP="00233294">
            <w:pPr>
              <w:pStyle w:val="AmColumnHeading"/>
            </w:pPr>
            <w:r w:rsidRPr="00F408AC">
              <w:t>Texte proposé par la Commission</w:t>
            </w:r>
          </w:p>
        </w:tc>
        <w:tc>
          <w:tcPr>
            <w:tcW w:w="4876" w:type="dxa"/>
            <w:tcBorders>
              <w:top w:val="nil"/>
              <w:left w:val="nil"/>
              <w:bottom w:val="nil"/>
              <w:right w:val="nil"/>
            </w:tcBorders>
          </w:tcPr>
          <w:p w:rsidR="0035648F" w:rsidRPr="00F408AC" w:rsidRDefault="0035648F" w:rsidP="00233294">
            <w:pPr>
              <w:pStyle w:val="AmColumnHeading"/>
            </w:pPr>
            <w:r w:rsidRPr="00F408AC">
              <w:t>Amendement</w:t>
            </w:r>
          </w:p>
        </w:tc>
      </w:tr>
      <w:tr w:rsidR="0035648F" w:rsidRPr="00F408AC" w:rsidTr="00233294">
        <w:trPr>
          <w:jc w:val="center"/>
        </w:trPr>
        <w:tc>
          <w:tcPr>
            <w:tcW w:w="4876" w:type="dxa"/>
            <w:tcBorders>
              <w:top w:val="nil"/>
              <w:left w:val="nil"/>
              <w:bottom w:val="nil"/>
              <w:right w:val="nil"/>
            </w:tcBorders>
          </w:tcPr>
          <w:p w:rsidR="0035648F" w:rsidRPr="00F408AC" w:rsidRDefault="0035648F" w:rsidP="00233294">
            <w:pPr>
              <w:pStyle w:val="Normal6a"/>
            </w:pPr>
            <w:r w:rsidRPr="00F408AC">
              <w:t>Évaluation</w:t>
            </w:r>
          </w:p>
        </w:tc>
        <w:tc>
          <w:tcPr>
            <w:tcW w:w="4876" w:type="dxa"/>
            <w:tcBorders>
              <w:top w:val="nil"/>
              <w:left w:val="nil"/>
              <w:bottom w:val="nil"/>
              <w:right w:val="nil"/>
            </w:tcBorders>
          </w:tcPr>
          <w:p w:rsidR="0035648F" w:rsidRPr="00F408AC" w:rsidRDefault="0035648F" w:rsidP="00233294">
            <w:pPr>
              <w:pStyle w:val="Normal6a"/>
            </w:pPr>
            <w:r w:rsidRPr="00F408AC">
              <w:rPr>
                <w:b/>
                <w:i/>
              </w:rPr>
              <w:t>Rapports et</w:t>
            </w:r>
            <w:r w:rsidRPr="00F408AC">
              <w:t xml:space="preserve"> évaluation</w:t>
            </w:r>
          </w:p>
        </w:tc>
      </w:tr>
    </w:tbl>
    <w:p w:rsidR="0035648F" w:rsidRPr="00F408AC" w:rsidRDefault="0035648F" w:rsidP="0035648F"/>
    <w:p w:rsidR="0035648F" w:rsidRPr="00F408AC" w:rsidRDefault="0035648F" w:rsidP="0035648F">
      <w:pPr>
        <w:pStyle w:val="AmNumberTabs"/>
      </w:pPr>
      <w:r w:rsidRPr="00F408AC">
        <w:t>Amendement</w:t>
      </w:r>
      <w:r w:rsidRPr="00F408AC">
        <w:tab/>
      </w:r>
      <w:r w:rsidRPr="00F408AC">
        <w:tab/>
        <w:t>16</w:t>
      </w:r>
    </w:p>
    <w:p w:rsidR="0035648F" w:rsidRPr="00F408AC" w:rsidRDefault="0035648F" w:rsidP="0035648F">
      <w:pPr>
        <w:pStyle w:val="NormalBold12b"/>
      </w:pPr>
      <w:r w:rsidRPr="00F408AC">
        <w:t>Proposition de règlement</w:t>
      </w:r>
    </w:p>
    <w:p w:rsidR="0035648F" w:rsidRPr="00F408AC" w:rsidRDefault="0035648F" w:rsidP="0035648F">
      <w:pPr>
        <w:pStyle w:val="NormalBold"/>
      </w:pPr>
      <w:r w:rsidRPr="00F408AC">
        <w:t>Article 13 – paragraphe -1 (nouveau)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648F" w:rsidRPr="00F408AC" w:rsidTr="00233294">
        <w:trPr>
          <w:trHeight w:hRule="exact" w:val="240"/>
          <w:jc w:val="center"/>
        </w:trPr>
        <w:tc>
          <w:tcPr>
            <w:tcW w:w="9752" w:type="dxa"/>
            <w:gridSpan w:val="2"/>
            <w:tcBorders>
              <w:top w:val="nil"/>
              <w:left w:val="nil"/>
              <w:bottom w:val="nil"/>
              <w:right w:val="nil"/>
            </w:tcBorders>
          </w:tcPr>
          <w:p w:rsidR="0035648F" w:rsidRPr="00F408AC" w:rsidRDefault="0035648F" w:rsidP="00233294"/>
        </w:tc>
      </w:tr>
      <w:tr w:rsidR="0035648F" w:rsidRPr="00F408AC" w:rsidTr="00233294">
        <w:trPr>
          <w:trHeight w:val="240"/>
          <w:jc w:val="center"/>
        </w:trPr>
        <w:tc>
          <w:tcPr>
            <w:tcW w:w="4876" w:type="dxa"/>
            <w:tcBorders>
              <w:top w:val="nil"/>
              <w:left w:val="nil"/>
              <w:bottom w:val="nil"/>
              <w:right w:val="nil"/>
            </w:tcBorders>
          </w:tcPr>
          <w:p w:rsidR="0035648F" w:rsidRPr="00F408AC" w:rsidRDefault="0035648F" w:rsidP="00233294">
            <w:pPr>
              <w:pStyle w:val="AmColumnHeading"/>
            </w:pPr>
            <w:r w:rsidRPr="00F408AC">
              <w:t>Texte proposé par la Commission</w:t>
            </w:r>
          </w:p>
        </w:tc>
        <w:tc>
          <w:tcPr>
            <w:tcW w:w="4876" w:type="dxa"/>
            <w:tcBorders>
              <w:top w:val="nil"/>
              <w:left w:val="nil"/>
              <w:bottom w:val="nil"/>
              <w:right w:val="nil"/>
            </w:tcBorders>
          </w:tcPr>
          <w:p w:rsidR="0035648F" w:rsidRPr="00F408AC" w:rsidRDefault="0035648F" w:rsidP="00233294">
            <w:pPr>
              <w:pStyle w:val="AmColumnHeading"/>
            </w:pPr>
            <w:r w:rsidRPr="00F408AC">
              <w:t>Amendement</w:t>
            </w:r>
          </w:p>
        </w:tc>
      </w:tr>
      <w:tr w:rsidR="0035648F" w:rsidRPr="00F408AC" w:rsidTr="00233294">
        <w:trPr>
          <w:jc w:val="center"/>
        </w:trPr>
        <w:tc>
          <w:tcPr>
            <w:tcW w:w="4876" w:type="dxa"/>
            <w:tcBorders>
              <w:top w:val="nil"/>
              <w:left w:val="nil"/>
              <w:bottom w:val="nil"/>
              <w:right w:val="nil"/>
            </w:tcBorders>
          </w:tcPr>
          <w:p w:rsidR="0035648F" w:rsidRPr="00F408AC" w:rsidRDefault="0035648F" w:rsidP="00233294">
            <w:pPr>
              <w:pStyle w:val="Normal6a"/>
            </w:pPr>
          </w:p>
        </w:tc>
        <w:tc>
          <w:tcPr>
            <w:tcW w:w="4876" w:type="dxa"/>
            <w:tcBorders>
              <w:top w:val="nil"/>
              <w:left w:val="nil"/>
              <w:bottom w:val="nil"/>
              <w:right w:val="nil"/>
            </w:tcBorders>
          </w:tcPr>
          <w:p w:rsidR="0035648F" w:rsidRPr="00F408AC" w:rsidRDefault="0035648F" w:rsidP="00233294">
            <w:pPr>
              <w:pStyle w:val="Normal6a"/>
            </w:pPr>
            <w:r w:rsidRPr="00F408AC">
              <w:rPr>
                <w:b/>
                <w:i/>
              </w:rPr>
              <w:t>-1.</w:t>
            </w:r>
            <w:r w:rsidRPr="00F408AC">
              <w:rPr>
                <w:b/>
                <w:i/>
              </w:rPr>
              <w:tab/>
              <w:t xml:space="preserve">Au plus tard [deux ans après </w:t>
            </w:r>
            <w:r w:rsidR="00172394">
              <w:rPr>
                <w:b/>
                <w:i/>
              </w:rPr>
              <w:t>la date d</w:t>
            </w:r>
            <w:r w:rsidRPr="00F408AC">
              <w:rPr>
                <w:b/>
                <w:i/>
              </w:rPr>
              <w:t xml:space="preserve">’entrée en vigueur du présent règlement] puis au plus tard [onze ans après </w:t>
            </w:r>
            <w:r w:rsidR="00172394">
              <w:rPr>
                <w:b/>
                <w:i/>
              </w:rPr>
              <w:t>la date d</w:t>
            </w:r>
            <w:r w:rsidRPr="00F408AC">
              <w:rPr>
                <w:b/>
                <w:i/>
              </w:rPr>
              <w:t>’entrée en vigueur du présent règlement] la Commission présente au Parlement européen, au Conseil et au Comité économique et social européen un rapport sur la mise en œuvre du présent règlement, en particulier sur la protection des droits fondamentaux et des données à caractère personnel.</w:t>
            </w:r>
          </w:p>
        </w:tc>
      </w:tr>
    </w:tbl>
    <w:p w:rsidR="0035648F" w:rsidRPr="00F408AC" w:rsidRDefault="0035648F" w:rsidP="0035648F"/>
    <w:p w:rsidR="0035648F" w:rsidRPr="00F408AC" w:rsidRDefault="0035648F" w:rsidP="0035648F">
      <w:pPr>
        <w:pStyle w:val="AmNumberTabs"/>
      </w:pPr>
      <w:r w:rsidRPr="00F408AC">
        <w:t>Amendement</w:t>
      </w:r>
      <w:r w:rsidRPr="00F408AC">
        <w:tab/>
      </w:r>
      <w:r w:rsidRPr="00F408AC">
        <w:tab/>
        <w:t>17</w:t>
      </w:r>
    </w:p>
    <w:p w:rsidR="0035648F" w:rsidRPr="00F408AC" w:rsidRDefault="0035648F" w:rsidP="0035648F">
      <w:pPr>
        <w:pStyle w:val="NormalBold12b"/>
      </w:pPr>
      <w:r w:rsidRPr="00F408AC">
        <w:t>Proposition de règlement</w:t>
      </w:r>
    </w:p>
    <w:p w:rsidR="0035648F" w:rsidRPr="00F408AC" w:rsidRDefault="0035648F" w:rsidP="0035648F">
      <w:pPr>
        <w:pStyle w:val="NormalBold"/>
      </w:pPr>
      <w:r w:rsidRPr="00F408AC">
        <w:t>Article 13 – paragraphe 1 – partie introductive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648F" w:rsidRPr="00F408AC" w:rsidTr="00233294">
        <w:trPr>
          <w:trHeight w:hRule="exact" w:val="240"/>
          <w:jc w:val="center"/>
        </w:trPr>
        <w:tc>
          <w:tcPr>
            <w:tcW w:w="9752" w:type="dxa"/>
            <w:gridSpan w:val="2"/>
            <w:tcBorders>
              <w:top w:val="nil"/>
              <w:left w:val="nil"/>
              <w:bottom w:val="nil"/>
              <w:right w:val="nil"/>
            </w:tcBorders>
          </w:tcPr>
          <w:p w:rsidR="0035648F" w:rsidRPr="00F408AC" w:rsidRDefault="0035648F" w:rsidP="00233294"/>
        </w:tc>
      </w:tr>
      <w:tr w:rsidR="0035648F" w:rsidRPr="00F408AC" w:rsidTr="00233294">
        <w:trPr>
          <w:trHeight w:val="240"/>
          <w:jc w:val="center"/>
        </w:trPr>
        <w:tc>
          <w:tcPr>
            <w:tcW w:w="4876" w:type="dxa"/>
            <w:tcBorders>
              <w:top w:val="nil"/>
              <w:left w:val="nil"/>
              <w:bottom w:val="nil"/>
              <w:right w:val="nil"/>
            </w:tcBorders>
          </w:tcPr>
          <w:p w:rsidR="0035648F" w:rsidRPr="00F408AC" w:rsidRDefault="0035648F" w:rsidP="00233294">
            <w:pPr>
              <w:pStyle w:val="AmColumnHeading"/>
            </w:pPr>
            <w:r w:rsidRPr="00F408AC">
              <w:t>Texte proposé par la Commission</w:t>
            </w:r>
          </w:p>
        </w:tc>
        <w:tc>
          <w:tcPr>
            <w:tcW w:w="4876" w:type="dxa"/>
            <w:tcBorders>
              <w:top w:val="nil"/>
              <w:left w:val="nil"/>
              <w:bottom w:val="nil"/>
              <w:right w:val="nil"/>
            </w:tcBorders>
          </w:tcPr>
          <w:p w:rsidR="0035648F" w:rsidRPr="00F408AC" w:rsidRDefault="0035648F" w:rsidP="00233294">
            <w:pPr>
              <w:pStyle w:val="AmColumnHeading"/>
            </w:pPr>
            <w:r w:rsidRPr="00F408AC">
              <w:t>Amendement</w:t>
            </w:r>
          </w:p>
        </w:tc>
      </w:tr>
      <w:tr w:rsidR="0035648F" w:rsidRPr="00F408AC" w:rsidTr="00233294">
        <w:trPr>
          <w:jc w:val="center"/>
        </w:trPr>
        <w:tc>
          <w:tcPr>
            <w:tcW w:w="4876" w:type="dxa"/>
            <w:tcBorders>
              <w:top w:val="nil"/>
              <w:left w:val="nil"/>
              <w:bottom w:val="nil"/>
              <w:right w:val="nil"/>
            </w:tcBorders>
          </w:tcPr>
          <w:p w:rsidR="0035648F" w:rsidRPr="00F408AC" w:rsidRDefault="0035648F" w:rsidP="00233294">
            <w:pPr>
              <w:pStyle w:val="Normal6a"/>
            </w:pPr>
            <w:r w:rsidRPr="00F408AC">
              <w:t>1.</w:t>
            </w:r>
            <w:r w:rsidRPr="00F408AC">
              <w:tab/>
              <w:t xml:space="preserve">Au plus </w:t>
            </w:r>
            <w:r w:rsidRPr="00F408AC">
              <w:rPr>
                <w:b/>
                <w:i/>
              </w:rPr>
              <w:t>tôt</w:t>
            </w:r>
            <w:r w:rsidRPr="00F408AC">
              <w:t xml:space="preserve"> [six ans après l’entrée en vigueur du présent règlement], la Commission procède à une évaluation du présent règlement et présente un rapport sur ses principales conclusions au Parlement européen, au Conseil et au Comité économique et social européen. Le rapport porte en particulier sur les points </w:t>
            </w:r>
            <w:r w:rsidRPr="00F408AC">
              <w:lastRenderedPageBreak/>
              <w:t>suivants:</w:t>
            </w:r>
          </w:p>
        </w:tc>
        <w:tc>
          <w:tcPr>
            <w:tcW w:w="4876" w:type="dxa"/>
            <w:tcBorders>
              <w:top w:val="nil"/>
              <w:left w:val="nil"/>
              <w:bottom w:val="nil"/>
              <w:right w:val="nil"/>
            </w:tcBorders>
          </w:tcPr>
          <w:p w:rsidR="0035648F" w:rsidRPr="00F408AC" w:rsidRDefault="0035648F" w:rsidP="00233294">
            <w:pPr>
              <w:pStyle w:val="Normal6a"/>
            </w:pPr>
            <w:r w:rsidRPr="00F408AC">
              <w:lastRenderedPageBreak/>
              <w:t>1.</w:t>
            </w:r>
            <w:r w:rsidRPr="00F408AC">
              <w:tab/>
              <w:t xml:space="preserve">Au plus </w:t>
            </w:r>
            <w:r w:rsidRPr="00F408AC">
              <w:rPr>
                <w:b/>
                <w:i/>
              </w:rPr>
              <w:t>tard</w:t>
            </w:r>
            <w:r w:rsidRPr="00F408AC">
              <w:t xml:space="preserve"> [six ans après l’entrée en vigueur du présent règlement]</w:t>
            </w:r>
            <w:r w:rsidRPr="00F408AC">
              <w:rPr>
                <w:b/>
                <w:i/>
              </w:rPr>
              <w:t>, et tous les six ans par la suite</w:t>
            </w:r>
            <w:r w:rsidRPr="00F408AC">
              <w:t xml:space="preserve">, la Commission procède à une évaluation du présent règlement et présente un rapport sur ses principales conclusions au Parlement européen, au Conseil et au Comité économique et social européen. Le rapport </w:t>
            </w:r>
            <w:r w:rsidRPr="00F408AC">
              <w:lastRenderedPageBreak/>
              <w:t>porte en particulier sur les points suivants:</w:t>
            </w:r>
          </w:p>
        </w:tc>
      </w:tr>
    </w:tbl>
    <w:p w:rsidR="0035648F" w:rsidRPr="00F408AC" w:rsidRDefault="0035648F" w:rsidP="0035648F"/>
    <w:p w:rsidR="0035648F" w:rsidRPr="00F408AC" w:rsidRDefault="0035648F" w:rsidP="0035648F">
      <w:pPr>
        <w:pStyle w:val="AmNumberTabs"/>
      </w:pPr>
      <w:r w:rsidRPr="00F408AC">
        <w:t>Amendement</w:t>
      </w:r>
      <w:r w:rsidRPr="00F408AC">
        <w:tab/>
      </w:r>
      <w:r w:rsidRPr="00F408AC">
        <w:tab/>
        <w:t>18</w:t>
      </w:r>
    </w:p>
    <w:p w:rsidR="0035648F" w:rsidRPr="00F408AC" w:rsidRDefault="0035648F" w:rsidP="0035648F">
      <w:pPr>
        <w:pStyle w:val="NormalBold12b"/>
      </w:pPr>
      <w:r w:rsidRPr="00F408AC">
        <w:t>Proposition de règlement</w:t>
      </w:r>
    </w:p>
    <w:p w:rsidR="0035648F" w:rsidRPr="00F408AC" w:rsidRDefault="0035648F" w:rsidP="0035648F">
      <w:pPr>
        <w:pStyle w:val="NormalBold"/>
      </w:pPr>
      <w:r w:rsidRPr="00F408AC">
        <w:t>Article 13 – paragraphe 1 – point d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648F" w:rsidRPr="00F408AC" w:rsidTr="00233294">
        <w:trPr>
          <w:trHeight w:hRule="exact" w:val="240"/>
          <w:jc w:val="center"/>
        </w:trPr>
        <w:tc>
          <w:tcPr>
            <w:tcW w:w="9752" w:type="dxa"/>
            <w:gridSpan w:val="2"/>
            <w:tcBorders>
              <w:top w:val="nil"/>
              <w:left w:val="nil"/>
              <w:bottom w:val="nil"/>
              <w:right w:val="nil"/>
            </w:tcBorders>
          </w:tcPr>
          <w:p w:rsidR="0035648F" w:rsidRPr="00F408AC" w:rsidRDefault="0035648F" w:rsidP="00233294"/>
        </w:tc>
      </w:tr>
      <w:tr w:rsidR="0035648F" w:rsidRPr="00F408AC" w:rsidTr="00233294">
        <w:trPr>
          <w:trHeight w:val="240"/>
          <w:jc w:val="center"/>
        </w:trPr>
        <w:tc>
          <w:tcPr>
            <w:tcW w:w="4876" w:type="dxa"/>
            <w:tcBorders>
              <w:top w:val="nil"/>
              <w:left w:val="nil"/>
              <w:bottom w:val="nil"/>
              <w:right w:val="nil"/>
            </w:tcBorders>
          </w:tcPr>
          <w:p w:rsidR="0035648F" w:rsidRPr="00F408AC" w:rsidRDefault="0035648F" w:rsidP="00233294">
            <w:pPr>
              <w:pStyle w:val="AmColumnHeading"/>
            </w:pPr>
            <w:r w:rsidRPr="00F408AC">
              <w:t>Texte proposé par la Commission</w:t>
            </w:r>
          </w:p>
        </w:tc>
        <w:tc>
          <w:tcPr>
            <w:tcW w:w="4876" w:type="dxa"/>
            <w:tcBorders>
              <w:top w:val="nil"/>
              <w:left w:val="nil"/>
              <w:bottom w:val="nil"/>
              <w:right w:val="nil"/>
            </w:tcBorders>
          </w:tcPr>
          <w:p w:rsidR="0035648F" w:rsidRPr="00F408AC" w:rsidRDefault="0035648F" w:rsidP="00233294">
            <w:pPr>
              <w:pStyle w:val="AmColumnHeading"/>
            </w:pPr>
            <w:r w:rsidRPr="00F408AC">
              <w:t>Amendement</w:t>
            </w:r>
          </w:p>
        </w:tc>
      </w:tr>
      <w:tr w:rsidR="0035648F" w:rsidRPr="00F408AC" w:rsidTr="00233294">
        <w:trPr>
          <w:jc w:val="center"/>
        </w:trPr>
        <w:tc>
          <w:tcPr>
            <w:tcW w:w="4876" w:type="dxa"/>
            <w:tcBorders>
              <w:top w:val="nil"/>
              <w:left w:val="nil"/>
              <w:bottom w:val="nil"/>
              <w:right w:val="nil"/>
            </w:tcBorders>
          </w:tcPr>
          <w:p w:rsidR="0035648F" w:rsidRPr="00F408AC" w:rsidRDefault="0035648F" w:rsidP="00233294">
            <w:pPr>
              <w:pStyle w:val="Normal6a"/>
            </w:pPr>
          </w:p>
        </w:tc>
        <w:tc>
          <w:tcPr>
            <w:tcW w:w="4876" w:type="dxa"/>
            <w:tcBorders>
              <w:top w:val="nil"/>
              <w:left w:val="nil"/>
              <w:bottom w:val="nil"/>
              <w:right w:val="nil"/>
            </w:tcBorders>
          </w:tcPr>
          <w:p w:rsidR="0035648F" w:rsidRPr="00F408AC" w:rsidRDefault="0035648F" w:rsidP="00233294">
            <w:pPr>
              <w:pStyle w:val="Normal6a"/>
            </w:pPr>
            <w:r w:rsidRPr="00F408AC">
              <w:rPr>
                <w:b/>
                <w:i/>
              </w:rPr>
              <w:t>d bis)</w:t>
            </w:r>
            <w:r w:rsidRPr="00F408AC">
              <w:tab/>
            </w:r>
            <w:r w:rsidRPr="00F408AC">
              <w:rPr>
                <w:b/>
                <w:i/>
              </w:rPr>
              <w:t>la nécessité d’introduire des éléments de sécurité communs pour les documents d’identification utilisés à titre provisoire, afin d’en faciliter la reconnaissance;</w:t>
            </w:r>
          </w:p>
        </w:tc>
      </w:tr>
    </w:tbl>
    <w:p w:rsidR="0035648F" w:rsidRPr="00F408AC" w:rsidRDefault="0035648F" w:rsidP="0035648F"/>
    <w:p w:rsidR="0035648F" w:rsidRPr="00F408AC" w:rsidRDefault="0035648F" w:rsidP="0035648F">
      <w:pPr>
        <w:pStyle w:val="AmNumberTabs"/>
      </w:pPr>
      <w:r w:rsidRPr="00F408AC">
        <w:t>Amendement</w:t>
      </w:r>
      <w:r w:rsidRPr="00F408AC">
        <w:tab/>
      </w:r>
      <w:r w:rsidRPr="00F408AC">
        <w:tab/>
        <w:t>19</w:t>
      </w:r>
    </w:p>
    <w:p w:rsidR="0035648F" w:rsidRPr="00F408AC" w:rsidRDefault="0035648F" w:rsidP="0035648F">
      <w:pPr>
        <w:pStyle w:val="NormalBold12b"/>
      </w:pPr>
      <w:r w:rsidRPr="00F408AC">
        <w:t>Proposition de règlement</w:t>
      </w:r>
    </w:p>
    <w:p w:rsidR="0035648F" w:rsidRPr="00F408AC" w:rsidRDefault="0035648F" w:rsidP="0035648F">
      <w:pPr>
        <w:pStyle w:val="NormalBold"/>
      </w:pPr>
      <w:r w:rsidRPr="00F408AC">
        <w:t>Article 13 – paragraphe 1 – point d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5648F" w:rsidRPr="00F408AC" w:rsidTr="00233294">
        <w:trPr>
          <w:trHeight w:hRule="exact" w:val="240"/>
          <w:jc w:val="center"/>
        </w:trPr>
        <w:tc>
          <w:tcPr>
            <w:tcW w:w="9752" w:type="dxa"/>
            <w:gridSpan w:val="2"/>
            <w:tcBorders>
              <w:top w:val="nil"/>
              <w:left w:val="nil"/>
              <w:bottom w:val="nil"/>
              <w:right w:val="nil"/>
            </w:tcBorders>
          </w:tcPr>
          <w:p w:rsidR="0035648F" w:rsidRPr="00F408AC" w:rsidRDefault="0035648F" w:rsidP="00233294"/>
        </w:tc>
      </w:tr>
      <w:tr w:rsidR="0035648F" w:rsidRPr="00F408AC" w:rsidTr="00233294">
        <w:trPr>
          <w:trHeight w:val="240"/>
          <w:jc w:val="center"/>
        </w:trPr>
        <w:tc>
          <w:tcPr>
            <w:tcW w:w="4876" w:type="dxa"/>
            <w:tcBorders>
              <w:top w:val="nil"/>
              <w:left w:val="nil"/>
              <w:bottom w:val="nil"/>
              <w:right w:val="nil"/>
            </w:tcBorders>
          </w:tcPr>
          <w:p w:rsidR="0035648F" w:rsidRPr="00F408AC" w:rsidRDefault="0035648F" w:rsidP="00233294">
            <w:pPr>
              <w:pStyle w:val="AmColumnHeading"/>
            </w:pPr>
            <w:r w:rsidRPr="00F408AC">
              <w:t>Texte proposé par la Commission</w:t>
            </w:r>
          </w:p>
        </w:tc>
        <w:tc>
          <w:tcPr>
            <w:tcW w:w="4876" w:type="dxa"/>
            <w:tcBorders>
              <w:top w:val="nil"/>
              <w:left w:val="nil"/>
              <w:bottom w:val="nil"/>
              <w:right w:val="nil"/>
            </w:tcBorders>
          </w:tcPr>
          <w:p w:rsidR="0035648F" w:rsidRPr="00F408AC" w:rsidRDefault="0035648F" w:rsidP="00233294">
            <w:pPr>
              <w:pStyle w:val="AmColumnHeading"/>
            </w:pPr>
            <w:r w:rsidRPr="00F408AC">
              <w:t>Amendement</w:t>
            </w:r>
          </w:p>
        </w:tc>
      </w:tr>
      <w:tr w:rsidR="0035648F" w:rsidRPr="00F408AC" w:rsidTr="00233294">
        <w:trPr>
          <w:jc w:val="center"/>
        </w:trPr>
        <w:tc>
          <w:tcPr>
            <w:tcW w:w="4876" w:type="dxa"/>
            <w:tcBorders>
              <w:top w:val="nil"/>
              <w:left w:val="nil"/>
              <w:bottom w:val="nil"/>
              <w:right w:val="nil"/>
            </w:tcBorders>
          </w:tcPr>
          <w:p w:rsidR="0035648F" w:rsidRPr="00F408AC" w:rsidRDefault="0035648F" w:rsidP="00233294">
            <w:pPr>
              <w:pStyle w:val="Normal6a"/>
            </w:pPr>
          </w:p>
        </w:tc>
        <w:tc>
          <w:tcPr>
            <w:tcW w:w="4876" w:type="dxa"/>
            <w:tcBorders>
              <w:top w:val="nil"/>
              <w:left w:val="nil"/>
              <w:bottom w:val="nil"/>
              <w:right w:val="nil"/>
            </w:tcBorders>
          </w:tcPr>
          <w:p w:rsidR="0035648F" w:rsidRPr="00F408AC" w:rsidRDefault="0035648F" w:rsidP="00233294">
            <w:pPr>
              <w:pStyle w:val="Normal6a"/>
            </w:pPr>
            <w:r w:rsidRPr="00F408AC">
              <w:rPr>
                <w:b/>
                <w:i/>
              </w:rPr>
              <w:t>d ter)</w:t>
            </w:r>
            <w:r w:rsidRPr="00F408AC">
              <w:tab/>
            </w:r>
            <w:r w:rsidRPr="00F408AC">
              <w:rPr>
                <w:b/>
                <w:i/>
              </w:rPr>
              <w:t>la nécessité d’harmoniser davantage les éléments de sécurité des documents de séjour.</w:t>
            </w:r>
          </w:p>
        </w:tc>
      </w:tr>
    </w:tbl>
    <w:p w:rsidR="00E365E1" w:rsidRPr="00F408AC" w:rsidRDefault="00E365E1" w:rsidP="00662A45"/>
    <w:sectPr w:rsidR="00E365E1" w:rsidRPr="00F408AC" w:rsidSect="00F408A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2A45" w:rsidRPr="00F408AC" w:rsidRDefault="00662A45">
      <w:r w:rsidRPr="00F408AC">
        <w:separator/>
      </w:r>
    </w:p>
  </w:endnote>
  <w:endnote w:type="continuationSeparator" w:id="0">
    <w:p w:rsidR="00662A45" w:rsidRPr="00F408AC" w:rsidRDefault="00662A45">
      <w:r w:rsidRPr="00F408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08A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08A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08A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2A45" w:rsidRPr="00F408AC" w:rsidRDefault="00662A45">
      <w:r w:rsidRPr="00F408AC">
        <w:separator/>
      </w:r>
    </w:p>
  </w:footnote>
  <w:footnote w:type="continuationSeparator" w:id="0">
    <w:p w:rsidR="00662A45" w:rsidRPr="00F408AC" w:rsidRDefault="00662A45">
      <w:r w:rsidRPr="00F408A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08A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08A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08A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1/2025"/>
    <w:docVar w:name="dvlangue" w:val="FR"/>
    <w:docVar w:name="dvnumam" w:val="0"/>
    <w:docVar w:name="dvpe" w:val="766.606"/>
    <w:docVar w:name="dvrapporteur" w:val="Rapporteur: "/>
    <w:docVar w:name="dvstar" w:val="*"/>
    <w:docVar w:name="dvtitre" w:val="Résolution législative du Parlement européen du ... 2025 sur la proposition de règlement du Conseil relatif au renforcement de la sécurité des cartes d’identité des citoyens de l’Union et des documents de séjour délivrés aux citoyens de l’Union et aux membres de leur famille exerçant leur droit à la libre circulation(COM(2024)0316 – C10-0112/2024 – 2024/0187(CNS))"/>
  </w:docVars>
  <w:rsids>
    <w:rsidRoot w:val="00662A45"/>
    <w:rsid w:val="00002272"/>
    <w:rsid w:val="00064002"/>
    <w:rsid w:val="000677B9"/>
    <w:rsid w:val="000831BA"/>
    <w:rsid w:val="000A42CC"/>
    <w:rsid w:val="000E7DD9"/>
    <w:rsid w:val="0010095E"/>
    <w:rsid w:val="00125B37"/>
    <w:rsid w:val="00172394"/>
    <w:rsid w:val="00187494"/>
    <w:rsid w:val="0019185B"/>
    <w:rsid w:val="001E6167"/>
    <w:rsid w:val="001F32AE"/>
    <w:rsid w:val="002767FF"/>
    <w:rsid w:val="002B18FE"/>
    <w:rsid w:val="002B5493"/>
    <w:rsid w:val="00310030"/>
    <w:rsid w:val="00343214"/>
    <w:rsid w:val="0035648F"/>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4652"/>
    <w:rsid w:val="005C2568"/>
    <w:rsid w:val="005F1B17"/>
    <w:rsid w:val="006037C0"/>
    <w:rsid w:val="00662A45"/>
    <w:rsid w:val="006631B6"/>
    <w:rsid w:val="00680577"/>
    <w:rsid w:val="006F74FA"/>
    <w:rsid w:val="00731ADD"/>
    <w:rsid w:val="00734777"/>
    <w:rsid w:val="00747932"/>
    <w:rsid w:val="00751A4A"/>
    <w:rsid w:val="00756632"/>
    <w:rsid w:val="00762C74"/>
    <w:rsid w:val="00786EC0"/>
    <w:rsid w:val="007B2BA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4EBB"/>
    <w:rsid w:val="00F04346"/>
    <w:rsid w:val="00F075DC"/>
    <w:rsid w:val="00F149E9"/>
    <w:rsid w:val="00F408A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A28187"/>
  <w15:chartTrackingRefBased/>
  <w15:docId w15:val="{8C35CAFC-BE48-4705-B1B0-9DCCA6177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5648F"/>
    <w:pPr>
      <w:spacing w:before="480" w:after="240"/>
    </w:pPr>
  </w:style>
  <w:style w:type="paragraph" w:customStyle="1" w:styleId="Normal6a">
    <w:name w:val="Normal6a"/>
    <w:basedOn w:val="Normal"/>
    <w:rsid w:val="0035648F"/>
    <w:pPr>
      <w:spacing w:after="120"/>
    </w:pPr>
  </w:style>
  <w:style w:type="paragraph" w:customStyle="1" w:styleId="NormalBold">
    <w:name w:val="NormalBold"/>
    <w:basedOn w:val="Normal"/>
    <w:link w:val="NormalBoldChar"/>
    <w:rsid w:val="0035648F"/>
    <w:rPr>
      <w:b/>
    </w:rPr>
  </w:style>
  <w:style w:type="paragraph" w:customStyle="1" w:styleId="NormalHanging12a">
    <w:name w:val="NormalHanging12a"/>
    <w:basedOn w:val="Normal"/>
    <w:rsid w:val="0035648F"/>
    <w:pPr>
      <w:spacing w:after="240"/>
      <w:ind w:left="567" w:hanging="567"/>
    </w:pPr>
  </w:style>
  <w:style w:type="paragraph" w:customStyle="1" w:styleId="AmColumnHeading">
    <w:name w:val="AmColumnHeading"/>
    <w:basedOn w:val="Normal"/>
    <w:rsid w:val="0035648F"/>
    <w:pPr>
      <w:spacing w:after="240"/>
      <w:jc w:val="center"/>
    </w:pPr>
    <w:rPr>
      <w:i/>
    </w:rPr>
  </w:style>
  <w:style w:type="paragraph" w:customStyle="1" w:styleId="AmNumberTabs">
    <w:name w:val="AmNumberTabs"/>
    <w:basedOn w:val="Normal"/>
    <w:link w:val="AmNumberTabsChar"/>
    <w:rsid w:val="0035648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5648F"/>
    <w:pPr>
      <w:spacing w:before="240"/>
    </w:pPr>
    <w:rPr>
      <w:b/>
    </w:rPr>
  </w:style>
  <w:style w:type="paragraph" w:customStyle="1" w:styleId="Normal6">
    <w:name w:val="Normal6"/>
    <w:basedOn w:val="Normal"/>
    <w:link w:val="Normal6Char"/>
    <w:rsid w:val="0035648F"/>
    <w:pPr>
      <w:spacing w:after="120"/>
    </w:pPr>
  </w:style>
  <w:style w:type="character" w:customStyle="1" w:styleId="NormalBoldChar">
    <w:name w:val="NormalBold Char"/>
    <w:basedOn w:val="DefaultParagraphFont"/>
    <w:link w:val="NormalBold"/>
    <w:rsid w:val="0035648F"/>
    <w:rPr>
      <w:b/>
      <w:sz w:val="24"/>
      <w:lang w:val="fr-FR"/>
    </w:rPr>
  </w:style>
  <w:style w:type="character" w:customStyle="1" w:styleId="Normal6Char">
    <w:name w:val="Normal6 Char"/>
    <w:basedOn w:val="DefaultParagraphFont"/>
    <w:link w:val="Normal6"/>
    <w:rsid w:val="0035648F"/>
    <w:rPr>
      <w:sz w:val="24"/>
      <w:lang w:val="fr-FR"/>
    </w:rPr>
  </w:style>
  <w:style w:type="paragraph" w:customStyle="1" w:styleId="ColumnHeading">
    <w:name w:val="ColumnHeading"/>
    <w:basedOn w:val="Normal"/>
    <w:rsid w:val="0035648F"/>
    <w:pPr>
      <w:spacing w:after="240"/>
      <w:jc w:val="center"/>
    </w:pPr>
    <w:rPr>
      <w:i/>
    </w:rPr>
  </w:style>
  <w:style w:type="character" w:customStyle="1" w:styleId="NormalBold12bChar">
    <w:name w:val="NormalBold12b Char"/>
    <w:basedOn w:val="DefaultParagraphFont"/>
    <w:link w:val="NormalBold12b"/>
    <w:rsid w:val="0035648F"/>
    <w:rPr>
      <w:b/>
      <w:sz w:val="24"/>
      <w:lang w:val="fr-FR"/>
    </w:rPr>
  </w:style>
  <w:style w:type="character" w:customStyle="1" w:styleId="AmNumberTabsChar">
    <w:name w:val="AmNumberTabs Char"/>
    <w:basedOn w:val="DefaultParagraphFont"/>
    <w:link w:val="AmNumberTabs"/>
    <w:rsid w:val="0035648F"/>
    <w:rPr>
      <w:b/>
      <w:sz w:val="24"/>
      <w:lang w:val="fr-FR"/>
    </w:rPr>
  </w:style>
  <w:style w:type="paragraph" w:styleId="BalloonText">
    <w:name w:val="Balloon Text"/>
    <w:basedOn w:val="Normal"/>
    <w:link w:val="BalloonTextChar"/>
    <w:rsid w:val="00EE4EBB"/>
    <w:rPr>
      <w:rFonts w:ascii="Segoe UI" w:hAnsi="Segoe UI" w:cs="Segoe UI"/>
      <w:sz w:val="18"/>
      <w:szCs w:val="18"/>
    </w:rPr>
  </w:style>
  <w:style w:type="character" w:customStyle="1" w:styleId="BalloonTextChar">
    <w:name w:val="Balloon Text Char"/>
    <w:basedOn w:val="DefaultParagraphFont"/>
    <w:link w:val="BalloonText"/>
    <w:rsid w:val="00EE4EBB"/>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04822-4934-4E69-BE00-41EE33A2F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2916</Words>
  <Characters>16556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2025-04-02T10:49:00Z</dcterms:created>
  <dcterms:modified xsi:type="dcterms:W3CDTF">2025-04-02T10:49:00Z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A10-0041/2025</vt:lpwstr>
  </property>
  <property fmtid="{D5CDD505-2E9C-101B-9397-08002B2CF9AE}" pid="4" name="&lt;Type&gt;">
    <vt:lpwstr>RR</vt:lpwstr>
  </property>
</Properties>
</file>