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2B1F" w:rsidTr="0010095E">
        <w:trPr>
          <w:trHeight w:hRule="exact" w:val="1418"/>
        </w:trPr>
        <w:tc>
          <w:tcPr>
            <w:tcW w:w="6804" w:type="dxa"/>
            <w:shd w:val="clear" w:color="auto" w:fill="auto"/>
            <w:vAlign w:val="center"/>
          </w:tcPr>
          <w:p w:rsidR="00751A4A" w:rsidRPr="00D22B1F" w:rsidRDefault="0009289C" w:rsidP="0010095E">
            <w:pPr>
              <w:pStyle w:val="EPName"/>
            </w:pPr>
            <w:r w:rsidRPr="00D22B1F">
              <w:t>Europees Parlement</w:t>
            </w:r>
          </w:p>
          <w:p w:rsidR="00751A4A" w:rsidRPr="00D22B1F" w:rsidRDefault="005F1B17" w:rsidP="005F1B17">
            <w:pPr>
              <w:pStyle w:val="EPTerm"/>
              <w:rPr>
                <w:rStyle w:val="HideTWBExt"/>
                <w:noProof w:val="0"/>
                <w:vanish w:val="0"/>
                <w:color w:val="auto"/>
              </w:rPr>
            </w:pPr>
            <w:r w:rsidRPr="00D22B1F">
              <w:t>2024</w:t>
            </w:r>
            <w:r w:rsidR="00817416" w:rsidRPr="00D22B1F">
              <w:t>-202</w:t>
            </w:r>
            <w:r w:rsidRPr="00D22B1F">
              <w:t>9</w:t>
            </w:r>
          </w:p>
        </w:tc>
        <w:tc>
          <w:tcPr>
            <w:tcW w:w="2268" w:type="dxa"/>
            <w:shd w:val="clear" w:color="auto" w:fill="auto"/>
          </w:tcPr>
          <w:p w:rsidR="00751A4A" w:rsidRPr="00D22B1F" w:rsidRDefault="00187494" w:rsidP="0010095E">
            <w:pPr>
              <w:pStyle w:val="EPLogo"/>
            </w:pPr>
            <w:r w:rsidRPr="00D22B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2B1F" w:rsidRDefault="00D058B8" w:rsidP="004C5D52">
      <w:pPr>
        <w:pStyle w:val="LineTop"/>
      </w:pPr>
    </w:p>
    <w:p w:rsidR="00680577" w:rsidRPr="00D22B1F" w:rsidRDefault="0009289C" w:rsidP="00680577">
      <w:pPr>
        <w:pStyle w:val="EPBodyTA1"/>
      </w:pPr>
      <w:r w:rsidRPr="00D22B1F">
        <w:t>AANGENOMEN TEKSTEN</w:t>
      </w:r>
    </w:p>
    <w:p w:rsidR="00D058B8" w:rsidRPr="00D22B1F" w:rsidRDefault="00D058B8" w:rsidP="00D058B8">
      <w:pPr>
        <w:pStyle w:val="LineBottom"/>
      </w:pPr>
    </w:p>
    <w:p w:rsidR="0009289C" w:rsidRPr="00D22B1F" w:rsidRDefault="0009289C" w:rsidP="0009289C">
      <w:pPr>
        <w:pStyle w:val="ATHeading1"/>
      </w:pPr>
      <w:bookmarkStart w:id="0" w:name="TANumber"/>
      <w:r w:rsidRPr="00D22B1F">
        <w:t>P10_</w:t>
      </w:r>
      <w:proofErr w:type="gramStart"/>
      <w:r w:rsidRPr="00D22B1F">
        <w:t>TA(</w:t>
      </w:r>
      <w:proofErr w:type="gramEnd"/>
      <w:r w:rsidRPr="00D22B1F">
        <w:t>2025)00</w:t>
      </w:r>
      <w:r w:rsidR="00D22B1F" w:rsidRPr="00D22B1F">
        <w:t>56</w:t>
      </w:r>
      <w:bookmarkEnd w:id="0"/>
    </w:p>
    <w:p w:rsidR="0009289C" w:rsidRPr="00D22B1F" w:rsidRDefault="0009289C" w:rsidP="0009289C">
      <w:pPr>
        <w:pStyle w:val="ATHeading2"/>
      </w:pPr>
      <w:bookmarkStart w:id="1" w:name="title"/>
      <w:r w:rsidRPr="00D22B1F">
        <w:t>Versterking van de beveiliging van identiteitskaarten van burgers van de Unie en van verblijfsdocumenten afgegeven aan burgers van de Unie en hun familieleden die hun recht van vrij verkeer uitoefenen</w:t>
      </w:r>
      <w:bookmarkEnd w:id="1"/>
    </w:p>
    <w:p w:rsidR="0009289C" w:rsidRPr="00D22B1F" w:rsidRDefault="0009289C" w:rsidP="0009289C">
      <w:pPr>
        <w:rPr>
          <w:i/>
          <w:vanish/>
        </w:rPr>
      </w:pPr>
      <w:r w:rsidRPr="00D22B1F">
        <w:rPr>
          <w:i/>
        </w:rPr>
        <w:fldChar w:fldCharType="begin"/>
      </w:r>
      <w:r w:rsidRPr="00D22B1F">
        <w:rPr>
          <w:i/>
        </w:rPr>
        <w:instrText xml:space="preserve"> TC"(</w:instrText>
      </w:r>
      <w:bookmarkStart w:id="2" w:name="DocNumber"/>
      <w:r w:rsidRPr="00D22B1F">
        <w:rPr>
          <w:i/>
        </w:rPr>
        <w:instrText>A10-0041/2025</w:instrText>
      </w:r>
      <w:bookmarkEnd w:id="2"/>
      <w:r w:rsidRPr="00D22B1F">
        <w:rPr>
          <w:i/>
        </w:rPr>
        <w:instrText xml:space="preserve"> - Rapporteur: Malik Azmani)"\l3 \n&gt; \* MERGEFORMAT </w:instrText>
      </w:r>
      <w:r w:rsidRPr="00D22B1F">
        <w:rPr>
          <w:i/>
        </w:rPr>
        <w:fldChar w:fldCharType="end"/>
      </w:r>
    </w:p>
    <w:p w:rsidR="0009289C" w:rsidRPr="00D22B1F" w:rsidRDefault="0009289C" w:rsidP="0009289C">
      <w:pPr>
        <w:rPr>
          <w:vanish/>
        </w:rPr>
      </w:pPr>
      <w:bookmarkStart w:id="3" w:name="Commission"/>
      <w:r w:rsidRPr="00D22B1F">
        <w:rPr>
          <w:vanish/>
        </w:rPr>
        <w:t>Commissie burgerlijke vrijheden, justitie en binnenlandse zaken</w:t>
      </w:r>
      <w:bookmarkEnd w:id="3"/>
    </w:p>
    <w:p w:rsidR="0009289C" w:rsidRPr="00D22B1F" w:rsidRDefault="0009289C" w:rsidP="0009289C">
      <w:pPr>
        <w:rPr>
          <w:vanish/>
        </w:rPr>
      </w:pPr>
      <w:bookmarkStart w:id="4" w:name="PE"/>
      <w:r w:rsidRPr="00D22B1F">
        <w:rPr>
          <w:vanish/>
        </w:rPr>
        <w:t>PE766.606</w:t>
      </w:r>
      <w:bookmarkEnd w:id="4"/>
    </w:p>
    <w:p w:rsidR="0009289C" w:rsidRPr="00D22B1F" w:rsidRDefault="0009289C" w:rsidP="0009289C">
      <w:pPr>
        <w:pStyle w:val="ATHeading3"/>
      </w:pPr>
      <w:bookmarkStart w:id="5" w:name="Sujet"/>
      <w:r w:rsidRPr="00D22B1F">
        <w:t xml:space="preserve">Wetgevingsresolutie van het Europees Parlement van </w:t>
      </w:r>
      <w:r w:rsidR="00710EC7" w:rsidRPr="00D22B1F">
        <w:t>2</w:t>
      </w:r>
      <w:r w:rsidRPr="00D22B1F">
        <w:t xml:space="preserve"> april 2025 over het voorstel voor een verordening van de Raad betreffende de versterking van de beveiliging van identiteitskaarten van burgers van de Unie en van verblijfsdocumenten afgegeven aan burgers van de Unie en hun familieleden die hun recht van vrij verkeer uitoefenen</w:t>
      </w:r>
      <w:bookmarkEnd w:id="5"/>
      <w:r w:rsidRPr="00D22B1F">
        <w:t xml:space="preserve"> </w:t>
      </w:r>
      <w:bookmarkStart w:id="6" w:name="References"/>
      <w:r w:rsidRPr="00D22B1F">
        <w:t>(COM(2024)0316 – C10-0112/2024 – 2024/0187(CNS))</w:t>
      </w:r>
      <w:bookmarkEnd w:id="6"/>
    </w:p>
    <w:p w:rsidR="00AD1C9F" w:rsidRPr="00D22B1F" w:rsidRDefault="00AD1C9F" w:rsidP="00AD1C9F">
      <w:pPr>
        <w:pStyle w:val="NormalBold"/>
      </w:pPr>
      <w:r w:rsidRPr="00D22B1F">
        <w:t>(Bijzondere wetgevingsprocedure – raadpleging)</w:t>
      </w:r>
    </w:p>
    <w:p w:rsidR="00AD1C9F" w:rsidRPr="00D22B1F" w:rsidRDefault="00AD1C9F" w:rsidP="00AD1C9F">
      <w:pPr>
        <w:pStyle w:val="EPComma"/>
      </w:pPr>
      <w:r w:rsidRPr="00D22B1F">
        <w:rPr>
          <w:i/>
        </w:rPr>
        <w:t>Het Europees Parlement</w:t>
      </w:r>
      <w:r w:rsidRPr="00D22B1F">
        <w:t>,</w:t>
      </w:r>
    </w:p>
    <w:p w:rsidR="00AD1C9F" w:rsidRPr="00D22B1F" w:rsidRDefault="00AD1C9F" w:rsidP="00AD1C9F">
      <w:pPr>
        <w:pStyle w:val="NormalHanging12a"/>
      </w:pPr>
      <w:r w:rsidRPr="00D22B1F">
        <w:t>–</w:t>
      </w:r>
      <w:r w:rsidRPr="00D22B1F">
        <w:tab/>
        <w:t>gezien het voorstel van de Commissie aan de Raad (</w:t>
      </w:r>
      <w:proofErr w:type="gramStart"/>
      <w:r w:rsidRPr="00D22B1F">
        <w:t>COM(</w:t>
      </w:r>
      <w:proofErr w:type="gramEnd"/>
      <w:r w:rsidRPr="00D22B1F">
        <w:t>2024)0316),</w:t>
      </w:r>
    </w:p>
    <w:p w:rsidR="00AD1C9F" w:rsidRPr="00D22B1F" w:rsidRDefault="00AD1C9F" w:rsidP="00AD1C9F">
      <w:pPr>
        <w:pStyle w:val="NormalHanging12a"/>
      </w:pPr>
      <w:r w:rsidRPr="00D22B1F">
        <w:t>–</w:t>
      </w:r>
      <w:r w:rsidRPr="00D22B1F">
        <w:tab/>
        <w:t>gezien artikel 77, lid 3, van het Verdrag betreffende de werking van de Europese Unie, op grond waarvan het Parlement door de Raad is geraadpleegd (C10</w:t>
      </w:r>
      <w:r w:rsidRPr="00D22B1F">
        <w:noBreakHyphen/>
        <w:t>0112/2024),</w:t>
      </w:r>
    </w:p>
    <w:p w:rsidR="00AD1C9F" w:rsidRPr="00D22B1F" w:rsidRDefault="00AD1C9F" w:rsidP="00AD1C9F">
      <w:pPr>
        <w:pStyle w:val="NormalHanging12a"/>
      </w:pPr>
      <w:r w:rsidRPr="00D22B1F">
        <w:t>–</w:t>
      </w:r>
      <w:r w:rsidRPr="00D22B1F">
        <w:tab/>
        <w:t>gezien artikel 84 van zijn Reglement,</w:t>
      </w:r>
    </w:p>
    <w:p w:rsidR="00AD1C9F" w:rsidRPr="00D22B1F" w:rsidRDefault="00AD1C9F" w:rsidP="00AD1C9F">
      <w:pPr>
        <w:pStyle w:val="NormalHanging12a"/>
      </w:pPr>
      <w:r w:rsidRPr="00D22B1F">
        <w:t>–</w:t>
      </w:r>
      <w:r w:rsidRPr="00D22B1F">
        <w:tab/>
        <w:t>gezien het verslag van de Commissie burgerlijke vrijheden, justitie en binnenlandse zaken (A10-0041/2025),</w:t>
      </w:r>
    </w:p>
    <w:p w:rsidR="00AD1C9F" w:rsidRPr="00D22B1F" w:rsidRDefault="00AD1C9F" w:rsidP="00AD1C9F">
      <w:pPr>
        <w:pStyle w:val="NormalHanging12a"/>
      </w:pPr>
      <w:r w:rsidRPr="00D22B1F">
        <w:t>1.</w:t>
      </w:r>
      <w:r w:rsidRPr="00D22B1F">
        <w:tab/>
        <w:t>hecht zijn goedkeuring aan het Commissievoorstel, zoals geamendeerd door het Parlement;</w:t>
      </w:r>
    </w:p>
    <w:p w:rsidR="00AD1C9F" w:rsidRPr="00D22B1F" w:rsidRDefault="00AD1C9F" w:rsidP="00AD1C9F">
      <w:pPr>
        <w:pStyle w:val="NormalHanging12a"/>
      </w:pPr>
      <w:r w:rsidRPr="00D22B1F">
        <w:t>2.</w:t>
      </w:r>
      <w:r w:rsidRPr="00D22B1F">
        <w:tab/>
        <w:t>verzoekt de Commissie haar voorstel krachtens artikel 293, lid 2, van het Verdrag betreffende de werking van de Europese Unie dienovereenkomstig te wijzigen;</w:t>
      </w:r>
    </w:p>
    <w:p w:rsidR="00AD1C9F" w:rsidRPr="00D22B1F" w:rsidRDefault="00AD1C9F" w:rsidP="00AD1C9F">
      <w:pPr>
        <w:pStyle w:val="NormalHanging12a"/>
      </w:pPr>
      <w:r w:rsidRPr="00D22B1F">
        <w:t>3.</w:t>
      </w:r>
      <w:r w:rsidRPr="00D22B1F">
        <w:tab/>
        <w:t>verzoekt de Raad, wanneer deze voornemens is af te wijken van de door het Parlement goedgekeurde tekst, het Parlement hiervan op de hoogte te stellen;</w:t>
      </w:r>
    </w:p>
    <w:p w:rsidR="00AD1C9F" w:rsidRPr="00D22B1F" w:rsidRDefault="00AD1C9F" w:rsidP="00AD1C9F">
      <w:pPr>
        <w:pStyle w:val="NormalHanging12a"/>
      </w:pPr>
      <w:r w:rsidRPr="00D22B1F">
        <w:t>4.</w:t>
      </w:r>
      <w:r w:rsidRPr="00D22B1F">
        <w:tab/>
        <w:t>vraagt de Raad om het Parlement opnieuw te raadplegen indien de Raad voornemens is ingrijpende wijzigingen aan te brengen in het Commissievoorstel;</w:t>
      </w:r>
    </w:p>
    <w:p w:rsidR="00AD1C9F" w:rsidRPr="00D22B1F" w:rsidRDefault="00AD1C9F" w:rsidP="00AD1C9F">
      <w:pPr>
        <w:pStyle w:val="NormalHanging12a"/>
      </w:pPr>
      <w:r w:rsidRPr="00D22B1F">
        <w:t>5.</w:t>
      </w:r>
      <w:r w:rsidRPr="00D22B1F">
        <w:tab/>
        <w:t>verzoekt zijn Voorzitter het standpunt van het Parlement te doen toekomen aan de Raad en aan de Commissie alsmede aan de nationale parlementen.</w:t>
      </w:r>
    </w:p>
    <w:p w:rsidR="00A07DA2" w:rsidRPr="00D22B1F" w:rsidRDefault="00A07DA2">
      <w:pPr>
        <w:widowControl/>
        <w:rPr>
          <w:b/>
        </w:rPr>
      </w:pPr>
      <w:r w:rsidRPr="00D22B1F">
        <w:br w:type="page"/>
      </w:r>
    </w:p>
    <w:p w:rsidR="00AD1C9F" w:rsidRPr="00D22B1F" w:rsidRDefault="00AD1C9F" w:rsidP="00AD1C9F">
      <w:pPr>
        <w:pStyle w:val="AmNumberTabs"/>
        <w:keepNext/>
      </w:pPr>
      <w:r w:rsidRPr="00D22B1F">
        <w:lastRenderedPageBreak/>
        <w:t>Amendement</w:t>
      </w:r>
      <w:r w:rsidRPr="00D22B1F">
        <w:tab/>
      </w:r>
      <w:r w:rsidRPr="00D22B1F">
        <w:tab/>
        <w:t>1</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Overweging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(19)</w:t>
            </w:r>
            <w:r w:rsidRPr="00D22B1F">
              <w:tab/>
              <w:t>Deze verordening voorziet niet in een rechtsgrond voor het opzetten of bijhouden van nationale databanken voor de opslag van biometrische gegevens in de lidstaten</w:t>
            </w:r>
            <w:r w:rsidRPr="00D22B1F">
              <w:rPr>
                <w:b/>
                <w:bCs/>
                <w:i/>
                <w:iCs/>
              </w:rPr>
              <w:t>; dit is een kwestie van nationale wetgeving die moet voldoen aan het Unierecht inzake gegevensbescherming, met inbegrip van de vereisten inzake noodzakelijkheid en evenredigheid</w:t>
            </w:r>
            <w:r w:rsidRPr="00D22B1F">
              <w:t>. De verordening voorziet evenmin in een rechtsgrond voor het opzetten of bijhouden van een gecentraliseerde databank op Unieniveau.</w:t>
            </w:r>
          </w:p>
        </w:tc>
        <w:tc>
          <w:tcPr>
            <w:tcW w:w="4876" w:type="dxa"/>
            <w:tcBorders>
              <w:top w:val="nil"/>
              <w:left w:val="nil"/>
              <w:bottom w:val="nil"/>
              <w:right w:val="nil"/>
            </w:tcBorders>
          </w:tcPr>
          <w:p w:rsidR="00AD1C9F" w:rsidRPr="00D22B1F" w:rsidRDefault="00AD1C9F" w:rsidP="001D56B6">
            <w:pPr>
              <w:pStyle w:val="Normal6a"/>
            </w:pPr>
            <w:r w:rsidRPr="00D22B1F">
              <w:t>(19)</w:t>
            </w:r>
            <w:r w:rsidRPr="00D22B1F">
              <w:tab/>
              <w:t xml:space="preserve">Deze verordening voorziet niet in een rechtsgrond voor het opzetten of bijhouden van nationale databanken voor de opslag van biometrische gegevens in de lidstaten. De verordening voorziet evenmin in een rechtsgrond voor het opzetten of bijhouden van een gecentraliseerde databank op Unieniveau. </w:t>
            </w:r>
            <w:r w:rsidRPr="00D22B1F">
              <w:rPr>
                <w:b/>
                <w:i/>
              </w:rPr>
              <w:t>Zoals de Europese Toezichthouder voor gegevensbescherming in zijn advies 21/2024 reeds aangaf, moet voor het opzetten of bijhouden van nationale databanken voor de opslag van biometrische gegevens in de lidstaten of, in voorkomend geval, het opzetten of bijhouden van een gecentraliseerde databank op Unieniveau, alsook voor het mogelijke gebruik van die gegevens voor andere doeleinden, worden voldaan aan een strikte noodzakelijkheids- en evenredigheidstoets zoals bedoeld in het Handvest, overeenkomstig de toepasselijke jurisprudentie van het Hof van Justitie.</w:t>
            </w:r>
          </w:p>
        </w:tc>
      </w:tr>
    </w:tbl>
    <w:p w:rsidR="00AD1C9F" w:rsidRPr="00D22B1F" w:rsidRDefault="00AD1C9F" w:rsidP="00AD1C9F">
      <w:pPr>
        <w:pStyle w:val="AmNumberTabs"/>
      </w:pPr>
      <w:r w:rsidRPr="00D22B1F">
        <w:t>Amendement</w:t>
      </w:r>
      <w:r w:rsidRPr="00D22B1F">
        <w:tab/>
      </w:r>
      <w:r w:rsidRPr="00D22B1F">
        <w:tab/>
        <w:t>2</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Overweging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1C9F" w:rsidRPr="00D22B1F" w:rsidTr="001D56B6">
        <w:trPr>
          <w:jc w:val="center"/>
        </w:trPr>
        <w:tc>
          <w:tcPr>
            <w:tcW w:w="9752" w:type="dxa"/>
            <w:gridSpan w:val="2"/>
          </w:tcPr>
          <w:p w:rsidR="00AD1C9F" w:rsidRPr="00D22B1F" w:rsidRDefault="00AD1C9F" w:rsidP="001D56B6">
            <w:pPr>
              <w:keepNext/>
            </w:pPr>
          </w:p>
        </w:tc>
      </w:tr>
      <w:tr w:rsidR="00AD1C9F" w:rsidRPr="00D22B1F" w:rsidTr="001D56B6">
        <w:trPr>
          <w:jc w:val="center"/>
        </w:trPr>
        <w:tc>
          <w:tcPr>
            <w:tcW w:w="4876" w:type="dxa"/>
          </w:tcPr>
          <w:p w:rsidR="00AD1C9F" w:rsidRPr="00D22B1F" w:rsidRDefault="00AD1C9F" w:rsidP="001D56B6">
            <w:pPr>
              <w:pStyle w:val="ColumnHeading"/>
              <w:keepNext/>
            </w:pPr>
            <w:r w:rsidRPr="00D22B1F">
              <w:t>Door de Commissie voorgestelde tekst</w:t>
            </w:r>
          </w:p>
        </w:tc>
        <w:tc>
          <w:tcPr>
            <w:tcW w:w="4876" w:type="dxa"/>
          </w:tcPr>
          <w:p w:rsidR="00AD1C9F" w:rsidRPr="00D22B1F" w:rsidRDefault="00AD1C9F" w:rsidP="001D56B6">
            <w:pPr>
              <w:pStyle w:val="ColumnHeading"/>
              <w:keepNext/>
            </w:pPr>
            <w:r w:rsidRPr="00D22B1F">
              <w:t>Amendement</w:t>
            </w:r>
          </w:p>
        </w:tc>
      </w:tr>
      <w:tr w:rsidR="00AD1C9F" w:rsidRPr="00D22B1F" w:rsidTr="001D56B6">
        <w:trPr>
          <w:jc w:val="center"/>
        </w:trPr>
        <w:tc>
          <w:tcPr>
            <w:tcW w:w="4876" w:type="dxa"/>
          </w:tcPr>
          <w:p w:rsidR="00AD1C9F" w:rsidRPr="00D22B1F" w:rsidRDefault="00AD1C9F" w:rsidP="001D56B6">
            <w:pPr>
              <w:pStyle w:val="Normal6"/>
            </w:pPr>
            <w:r w:rsidRPr="00D22B1F">
              <w:t>(20)</w:t>
            </w:r>
            <w:r w:rsidRPr="00D22B1F">
              <w:tab/>
            </w:r>
            <w:r w:rsidRPr="00D22B1F">
              <w:rPr>
                <w:b/>
                <w:bCs/>
                <w:i/>
                <w:iCs/>
              </w:rPr>
              <w:t>Biometrische gegevens moeten worden verzameld en</w:t>
            </w:r>
            <w:r w:rsidRPr="00D22B1F">
              <w:t xml:space="preserve"> opgeslagen op het opslagmedium van identiteitskaarten en verblijfsdocumenten, zodat de authenticiteit van het document en de identiteit van de houder kunnen worden geverifieerd.</w:t>
            </w:r>
            <w:r w:rsidRPr="00D22B1F">
              <w:rPr>
                <w:i/>
              </w:rPr>
              <w:t xml:space="preserve"> </w:t>
            </w:r>
            <w:r w:rsidRPr="00D22B1F">
              <w:rPr>
                <w:b/>
                <w:i/>
              </w:rPr>
              <w:t xml:space="preserve">Gezien de elektronische handtekening op het opslagmedium van identiteitskaarten, is de identificatie van de houder aan de hand van het opslagmedium, dat dezelfde biografische gegevens bevat als die welke op het </w:t>
            </w:r>
            <w:r w:rsidRPr="00D22B1F">
              <w:rPr>
                <w:b/>
                <w:i/>
              </w:rPr>
              <w:lastRenderedPageBreak/>
              <w:t>document worden gedrukt, betrouwbaarder dan een visuele controle van het document.</w:t>
            </w:r>
            <w:r w:rsidRPr="00D22B1F">
              <w:rPr>
                <w:i/>
              </w:rPr>
              <w:t xml:space="preserve"> </w:t>
            </w:r>
            <w:r w:rsidRPr="00D22B1F">
              <w:rPr>
                <w:b/>
                <w:bCs/>
                <w:i/>
                <w:iCs/>
              </w:rPr>
              <w:t>Burgers van de Unie moeten de op het opslagmedium van hun identiteitskaart opgeslagen gegevens dus kunnen gebruiken om zich bij particuliere entiteiten te identificeren.</w:t>
            </w:r>
            <w:r w:rsidRPr="00D22B1F">
              <w:rPr>
                <w:b/>
                <w:i/>
              </w:rPr>
              <w:t xml:space="preserve"> </w:t>
            </w:r>
            <w:r w:rsidRPr="00D22B1F">
              <w:rPr>
                <w:b/>
                <w:bCs/>
                <w:i/>
                <w:iCs/>
              </w:rPr>
              <w:t>De verificatie van de op het opslagmedium opgeslagen vingerafdrukken mag echter alleen worden verricht door naar behoren gemachtigd personeel en alleen wanneer de afgifte van een identiteitskaart of verblijfsvergunning wettelijk vereist is.</w:t>
            </w:r>
          </w:p>
        </w:tc>
        <w:tc>
          <w:tcPr>
            <w:tcW w:w="4876" w:type="dxa"/>
          </w:tcPr>
          <w:p w:rsidR="00AD1C9F" w:rsidRPr="00D22B1F" w:rsidRDefault="00AD1C9F" w:rsidP="001D56B6">
            <w:pPr>
              <w:pStyle w:val="Normal6"/>
              <w:rPr>
                <w:szCs w:val="24"/>
              </w:rPr>
            </w:pPr>
            <w:r w:rsidRPr="00D22B1F">
              <w:lastRenderedPageBreak/>
              <w:t>(20)</w:t>
            </w:r>
            <w:r w:rsidRPr="00D22B1F">
              <w:tab/>
            </w:r>
            <w:r w:rsidRPr="00D22B1F">
              <w:rPr>
                <w:b/>
                <w:bCs/>
                <w:i/>
                <w:iCs/>
              </w:rPr>
              <w:t>Alleen naar behoren gemachtigde personeelsleden van de bevoegde nationale autoriteiten, agentschappen van de Unie en private entiteiten hebben toegang tot de gezichtsopname die is</w:t>
            </w:r>
            <w:r w:rsidRPr="00D22B1F">
              <w:t xml:space="preserve"> opgeslagen op het opslagmedium van identiteitskaarten en verblijfsdocumenten, zodat de authenticiteit van het document en de identiteit van de houder kunnen worden geverifieerd.</w:t>
            </w:r>
            <w:r w:rsidRPr="00D22B1F">
              <w:rPr>
                <w:b/>
                <w:i/>
              </w:rPr>
              <w:t xml:space="preserve"> </w:t>
            </w:r>
            <w:r w:rsidRPr="00D22B1F">
              <w:rPr>
                <w:b/>
                <w:bCs/>
                <w:i/>
                <w:iCs/>
              </w:rPr>
              <w:t xml:space="preserve">Deze toegang moet in overeenstemming zijn met de Uniewetgeving inzake </w:t>
            </w:r>
            <w:r w:rsidRPr="00D22B1F">
              <w:rPr>
                <w:b/>
                <w:bCs/>
                <w:i/>
                <w:iCs/>
              </w:rPr>
              <w:lastRenderedPageBreak/>
              <w:t>gegevensbescherming.</w:t>
            </w:r>
            <w:r w:rsidRPr="00D22B1F">
              <w:rPr>
                <w:b/>
                <w:i/>
              </w:rPr>
              <w:t xml:space="preserve"> </w:t>
            </w:r>
            <w:r w:rsidRPr="00D22B1F">
              <w:rPr>
                <w:b/>
                <w:bCs/>
                <w:i/>
                <w:iCs/>
              </w:rPr>
              <w:t>De gezichtsopname mag niet langer worden bewaard dan nodig is voor die doeleinden, moet worden verwijderd zodra die doeleinden zijn bereikt en mag niet worden doorgegeven aan derde landen of internationale organisaties, tenzij de Uniewetgeving inzake gegevensbescherming dit toestaat.</w:t>
            </w:r>
            <w:r w:rsidRPr="00D22B1F">
              <w:rPr>
                <w:b/>
                <w:i/>
              </w:rPr>
              <w:t xml:space="preserve"> </w:t>
            </w:r>
            <w:r w:rsidRPr="00D22B1F">
              <w:rPr>
                <w:b/>
                <w:bCs/>
                <w:i/>
                <w:iCs/>
              </w:rPr>
              <w:t>Deze waarborgen zijn bedoeld om passende bescherming van de gezichtsopname te garanderen zonder het gebruik ervan te verbieden.</w:t>
            </w:r>
          </w:p>
        </w:tc>
      </w:tr>
    </w:tbl>
    <w:p w:rsidR="00AD1C9F" w:rsidRPr="00D22B1F" w:rsidRDefault="00AD1C9F" w:rsidP="00AD1C9F">
      <w:pPr>
        <w:pStyle w:val="AmNumberTabs"/>
      </w:pPr>
      <w:r w:rsidRPr="00D22B1F">
        <w:lastRenderedPageBreak/>
        <w:t>Amendement</w:t>
      </w:r>
      <w:r w:rsidRPr="00D22B1F">
        <w:tab/>
      </w:r>
      <w:r w:rsidRPr="00D22B1F">
        <w:tab/>
        <w:t>3</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Overweging 20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1C9F" w:rsidRPr="00D22B1F" w:rsidTr="001D56B6">
        <w:trPr>
          <w:jc w:val="center"/>
        </w:trPr>
        <w:tc>
          <w:tcPr>
            <w:tcW w:w="9752" w:type="dxa"/>
            <w:gridSpan w:val="2"/>
          </w:tcPr>
          <w:p w:rsidR="00AD1C9F" w:rsidRPr="00D22B1F" w:rsidRDefault="00AD1C9F" w:rsidP="001D56B6">
            <w:pPr>
              <w:keepNext/>
            </w:pPr>
          </w:p>
        </w:tc>
      </w:tr>
      <w:tr w:rsidR="00AD1C9F" w:rsidRPr="00D22B1F" w:rsidTr="001D56B6">
        <w:trPr>
          <w:jc w:val="center"/>
        </w:trPr>
        <w:tc>
          <w:tcPr>
            <w:tcW w:w="4876" w:type="dxa"/>
          </w:tcPr>
          <w:p w:rsidR="00AD1C9F" w:rsidRPr="00D22B1F" w:rsidRDefault="00AD1C9F" w:rsidP="001D56B6">
            <w:pPr>
              <w:pStyle w:val="ColumnHeading"/>
              <w:keepNext/>
            </w:pPr>
            <w:r w:rsidRPr="00D22B1F">
              <w:t>Door de Commissie voorgestelde tekst</w:t>
            </w:r>
          </w:p>
        </w:tc>
        <w:tc>
          <w:tcPr>
            <w:tcW w:w="4876" w:type="dxa"/>
          </w:tcPr>
          <w:p w:rsidR="00AD1C9F" w:rsidRPr="00D22B1F" w:rsidRDefault="00AD1C9F" w:rsidP="001D56B6">
            <w:pPr>
              <w:pStyle w:val="ColumnHeading"/>
              <w:keepNext/>
            </w:pPr>
            <w:r w:rsidRPr="00D22B1F">
              <w:t>Amendement</w:t>
            </w:r>
          </w:p>
        </w:tc>
      </w:tr>
      <w:tr w:rsidR="00AD1C9F" w:rsidRPr="00D22B1F" w:rsidTr="001D56B6">
        <w:trPr>
          <w:jc w:val="center"/>
        </w:trPr>
        <w:tc>
          <w:tcPr>
            <w:tcW w:w="4876" w:type="dxa"/>
          </w:tcPr>
          <w:p w:rsidR="00AD1C9F" w:rsidRPr="00D22B1F" w:rsidRDefault="00AD1C9F" w:rsidP="001D56B6">
            <w:pPr>
              <w:pStyle w:val="Normal6"/>
            </w:pPr>
          </w:p>
        </w:tc>
        <w:tc>
          <w:tcPr>
            <w:tcW w:w="4876" w:type="dxa"/>
          </w:tcPr>
          <w:p w:rsidR="00AD1C9F" w:rsidRPr="00D22B1F" w:rsidRDefault="00AD1C9F" w:rsidP="001D56B6">
            <w:pPr>
              <w:pStyle w:val="Normal6"/>
              <w:rPr>
                <w:b/>
                <w:i/>
                <w:szCs w:val="24"/>
              </w:rPr>
            </w:pPr>
            <w:r w:rsidRPr="00D22B1F">
              <w:rPr>
                <w:b/>
                <w:i/>
              </w:rPr>
              <w:t>(20 bis)</w:t>
            </w:r>
            <w:r w:rsidRPr="00D22B1F">
              <w:rPr>
                <w:b/>
                <w:i/>
              </w:rPr>
              <w:tab/>
              <w:t>De verificatie van de op het opslagmedium opgeslagen vingerafdrukken mag alleen worden verricht door naar behoren gemachtigd personeel van de bevoegde nationale autoriteiten of agentschappen van de Unie en alleen wanneer de overlegging van een identiteitskaart of verblijfsvergunning vereist is krachtens het Unie- of nationaal recht.</w:t>
            </w:r>
          </w:p>
        </w:tc>
      </w:tr>
    </w:tbl>
    <w:p w:rsidR="00AD1C9F" w:rsidRPr="00D22B1F" w:rsidRDefault="00AD1C9F" w:rsidP="00AD1C9F">
      <w:pPr>
        <w:pStyle w:val="AmNumberTabs"/>
      </w:pPr>
      <w:r w:rsidRPr="00D22B1F">
        <w:t>Amendement</w:t>
      </w:r>
      <w:r w:rsidRPr="00D22B1F">
        <w:tab/>
      </w:r>
      <w:r w:rsidRPr="00D22B1F">
        <w:tab/>
        <w:t>4</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Overweging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(23)</w:t>
            </w:r>
            <w:r w:rsidRPr="00D22B1F">
              <w:tab/>
              <w:t>De lidstaten moeten kunnen besluiten of zij op een onder deze verordening vallend document het gender van een persoon willen vermelden. Indien een lidstaat het gender van een persoon op een dergelijk document vermeldt, moeten in voorkomend geval de specificaties van ICAO-document 9303 “F”, “M” of “X” worden gebruikt, of de corresponderende letters in de taal of talen van die lidstaat.</w:t>
            </w:r>
          </w:p>
        </w:tc>
        <w:tc>
          <w:tcPr>
            <w:tcW w:w="4876" w:type="dxa"/>
            <w:tcBorders>
              <w:top w:val="nil"/>
              <w:left w:val="nil"/>
              <w:bottom w:val="nil"/>
              <w:right w:val="nil"/>
            </w:tcBorders>
          </w:tcPr>
          <w:p w:rsidR="00AD1C9F" w:rsidRPr="00D22B1F" w:rsidRDefault="00AD1C9F" w:rsidP="001D56B6">
            <w:pPr>
              <w:pStyle w:val="Normal6a"/>
            </w:pPr>
            <w:r w:rsidRPr="00D22B1F">
              <w:t>(23)</w:t>
            </w:r>
            <w:r w:rsidRPr="00D22B1F">
              <w:tab/>
            </w:r>
            <w:r w:rsidRPr="00D22B1F">
              <w:rPr>
                <w:b/>
                <w:i/>
              </w:rPr>
              <w:t>Behoudens de jurisprudentie van het Hof van Justitie</w:t>
            </w:r>
            <w:r w:rsidRPr="00D22B1F">
              <w:rPr>
                <w:b/>
                <w:i/>
                <w:vertAlign w:val="superscript"/>
              </w:rPr>
              <w:t>1bis</w:t>
            </w:r>
            <w:r w:rsidRPr="00D22B1F">
              <w:t xml:space="preserve"> moeten de lidstaten kunnen besluiten of zij op een onder deze verordening vallend document het gender van een persoon willen vermelden. Indien een lidstaat het gender van een persoon op een dergelijk document vermeldt, moeten in voorkomend geval de specificaties van ICAO-document 9303 “F”, “M” of “X” worden gebruikt, of de corresponderende letters in de taal of talen van die lidstaat.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tc>
        <w:tc>
          <w:tcPr>
            <w:tcW w:w="4876" w:type="dxa"/>
            <w:tcBorders>
              <w:top w:val="nil"/>
              <w:left w:val="nil"/>
              <w:bottom w:val="nil"/>
              <w:right w:val="nil"/>
            </w:tcBorders>
          </w:tcPr>
          <w:p w:rsidR="00AD1C9F" w:rsidRPr="00D22B1F" w:rsidRDefault="00AD1C9F" w:rsidP="001D56B6">
            <w:pPr>
              <w:pStyle w:val="Normal6a"/>
            </w:pPr>
            <w:r w:rsidRPr="00D22B1F">
              <w:rPr>
                <w:b/>
                <w:i/>
              </w:rPr>
              <w:t>_________________</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tc>
        <w:tc>
          <w:tcPr>
            <w:tcW w:w="4876" w:type="dxa"/>
            <w:tcBorders>
              <w:top w:val="nil"/>
              <w:left w:val="nil"/>
              <w:bottom w:val="nil"/>
              <w:right w:val="nil"/>
            </w:tcBorders>
          </w:tcPr>
          <w:p w:rsidR="00AD1C9F" w:rsidRPr="00D22B1F" w:rsidRDefault="00AD1C9F" w:rsidP="00A9423C">
            <w:pPr>
              <w:pStyle w:val="Normal6a"/>
            </w:pPr>
            <w:r w:rsidRPr="00D22B1F">
              <w:rPr>
                <w:b/>
                <w:i/>
                <w:vertAlign w:val="superscript"/>
              </w:rPr>
              <w:t>1bis</w:t>
            </w:r>
            <w:r w:rsidRPr="00D22B1F">
              <w:t xml:space="preserve"> </w:t>
            </w:r>
            <w:r w:rsidRPr="00D22B1F">
              <w:rPr>
                <w:b/>
                <w:i/>
              </w:rPr>
              <w:t>Arrest van het Hof van Justitie van 4 oktober 20</w:t>
            </w:r>
            <w:r w:rsidR="00A9423C">
              <w:rPr>
                <w:b/>
                <w:i/>
              </w:rPr>
              <w:t>24</w:t>
            </w:r>
            <w:bookmarkStart w:id="7" w:name="_GoBack"/>
            <w:bookmarkEnd w:id="7"/>
            <w:r w:rsidRPr="00D22B1F">
              <w:rPr>
                <w:b/>
                <w:i/>
              </w:rPr>
              <w:t xml:space="preserve">, </w:t>
            </w:r>
            <w:proofErr w:type="spellStart"/>
            <w:r w:rsidRPr="00D22B1F">
              <w:rPr>
                <w:b/>
                <w:i/>
              </w:rPr>
              <w:t>Mirin</w:t>
            </w:r>
            <w:proofErr w:type="spellEnd"/>
            <w:r w:rsidRPr="00D22B1F">
              <w:rPr>
                <w:b/>
                <w:i/>
              </w:rPr>
              <w:t>, C-4/23, ECLI:EU:C:2024:845.</w:t>
            </w:r>
          </w:p>
        </w:tc>
      </w:tr>
    </w:tbl>
    <w:p w:rsidR="00AD1C9F" w:rsidRPr="00D22B1F" w:rsidRDefault="00AD1C9F" w:rsidP="00AD1C9F">
      <w:pPr>
        <w:pStyle w:val="AmNumberTabs"/>
      </w:pPr>
      <w:r w:rsidRPr="00D22B1F">
        <w:t>Amendement</w:t>
      </w:r>
      <w:r w:rsidRPr="00D22B1F">
        <w:tab/>
      </w:r>
      <w:r w:rsidRPr="00D22B1F">
        <w:tab/>
        <w:t>5</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Overweging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1C9F" w:rsidRPr="00D22B1F" w:rsidTr="001D56B6">
        <w:trPr>
          <w:jc w:val="center"/>
        </w:trPr>
        <w:tc>
          <w:tcPr>
            <w:tcW w:w="9752" w:type="dxa"/>
            <w:gridSpan w:val="2"/>
          </w:tcPr>
          <w:p w:rsidR="00AD1C9F" w:rsidRPr="00D22B1F" w:rsidRDefault="00AD1C9F" w:rsidP="001D56B6">
            <w:pPr>
              <w:keepNext/>
            </w:pPr>
          </w:p>
        </w:tc>
      </w:tr>
      <w:tr w:rsidR="00AD1C9F" w:rsidRPr="00D22B1F" w:rsidTr="001D56B6">
        <w:trPr>
          <w:jc w:val="center"/>
        </w:trPr>
        <w:tc>
          <w:tcPr>
            <w:tcW w:w="4876" w:type="dxa"/>
          </w:tcPr>
          <w:p w:rsidR="00AD1C9F" w:rsidRPr="00D22B1F" w:rsidRDefault="00AD1C9F" w:rsidP="001D56B6">
            <w:pPr>
              <w:pStyle w:val="ColumnHeading"/>
              <w:keepNext/>
            </w:pPr>
            <w:r w:rsidRPr="00D22B1F">
              <w:t>Door de Commissie voorgestelde tekst</w:t>
            </w:r>
          </w:p>
        </w:tc>
        <w:tc>
          <w:tcPr>
            <w:tcW w:w="4876" w:type="dxa"/>
          </w:tcPr>
          <w:p w:rsidR="00AD1C9F" w:rsidRPr="00D22B1F" w:rsidRDefault="00AD1C9F" w:rsidP="001D56B6">
            <w:pPr>
              <w:pStyle w:val="ColumnHeading"/>
              <w:keepNext/>
            </w:pPr>
            <w:r w:rsidRPr="00D22B1F">
              <w:t>Amendement</w:t>
            </w:r>
          </w:p>
        </w:tc>
      </w:tr>
      <w:tr w:rsidR="00AD1C9F" w:rsidRPr="00D22B1F" w:rsidTr="001D56B6">
        <w:trPr>
          <w:jc w:val="center"/>
        </w:trPr>
        <w:tc>
          <w:tcPr>
            <w:tcW w:w="4876" w:type="dxa"/>
          </w:tcPr>
          <w:p w:rsidR="00AD1C9F" w:rsidRPr="00D22B1F" w:rsidRDefault="00AD1C9F" w:rsidP="001D56B6">
            <w:pPr>
              <w:pStyle w:val="Normal6"/>
            </w:pPr>
            <w:r w:rsidRPr="00D22B1F">
              <w:t>(26)</w:t>
            </w:r>
            <w:r w:rsidRPr="00D22B1F">
              <w:tab/>
              <w:t>Wanneer zich moeilijkheden voordoen bij het verzamelen van biometrische kenmerken, moeten de lidstaten ervoor zorgen dat passende procedures voorhanden zijn om de waardigheid van de betrokken persoon te eerbiedigen. Derhalve moet rekening worden gehouden met specifieke overwegingen in verband met gender, alsook met de specifieke behoeften van kinderen en kwetsbare personen.</w:t>
            </w:r>
          </w:p>
        </w:tc>
        <w:tc>
          <w:tcPr>
            <w:tcW w:w="4876" w:type="dxa"/>
          </w:tcPr>
          <w:p w:rsidR="00AD1C9F" w:rsidRPr="00D22B1F" w:rsidRDefault="00AD1C9F" w:rsidP="001D56B6">
            <w:pPr>
              <w:pStyle w:val="Normal6"/>
              <w:rPr>
                <w:b/>
                <w:i/>
                <w:szCs w:val="24"/>
              </w:rPr>
            </w:pPr>
            <w:r w:rsidRPr="00D22B1F">
              <w:t>(26)</w:t>
            </w:r>
            <w:r w:rsidRPr="00D22B1F">
              <w:tab/>
              <w:t xml:space="preserve">Wanneer zich moeilijkheden voordoen bij het verzamelen van biometrische kenmerken, moeten de lidstaten ervoor zorgen dat passende procedures voorhanden zijn om de waardigheid van de betrokken persoon te eerbiedigen. Derhalve moet rekening worden gehouden met specifieke overwegingen in verband met gender, alsook met de specifieke behoeften van kinderen en kwetsbare personen. </w:t>
            </w:r>
            <w:r w:rsidRPr="00D22B1F">
              <w:rPr>
                <w:b/>
                <w:i/>
              </w:rPr>
              <w:t>Gekwalificeerd personeel moet een opleiding krijgen over beste praktijken voor de verzameling van biometrische kenmerken van kinderen en kwetsbare personen, zodat aandacht wordt besteed aan gender- en leeftijdsspecifieke behoeften en tegelijkertijd de waardigheid van alle personen wordt geëerbiedigd.</w:t>
            </w:r>
          </w:p>
        </w:tc>
      </w:tr>
    </w:tbl>
    <w:p w:rsidR="00AD1C9F" w:rsidRPr="00D22B1F" w:rsidRDefault="00AD1C9F" w:rsidP="00AD1C9F">
      <w:pPr>
        <w:pStyle w:val="AmNumberTabs"/>
      </w:pPr>
      <w:r w:rsidRPr="00D22B1F">
        <w:t>Amendement</w:t>
      </w:r>
      <w:r w:rsidRPr="00D22B1F">
        <w:tab/>
      </w:r>
      <w:r w:rsidRPr="00D22B1F">
        <w:tab/>
        <w:t>6</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Overweging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1C9F" w:rsidRPr="00D22B1F" w:rsidTr="001D56B6">
        <w:trPr>
          <w:jc w:val="center"/>
        </w:trPr>
        <w:tc>
          <w:tcPr>
            <w:tcW w:w="9752" w:type="dxa"/>
            <w:gridSpan w:val="2"/>
          </w:tcPr>
          <w:p w:rsidR="00AD1C9F" w:rsidRPr="00D22B1F" w:rsidRDefault="00AD1C9F" w:rsidP="001D56B6">
            <w:pPr>
              <w:keepNext/>
            </w:pPr>
          </w:p>
        </w:tc>
      </w:tr>
      <w:tr w:rsidR="00AD1C9F" w:rsidRPr="00D22B1F" w:rsidTr="001D56B6">
        <w:trPr>
          <w:jc w:val="center"/>
        </w:trPr>
        <w:tc>
          <w:tcPr>
            <w:tcW w:w="4876" w:type="dxa"/>
          </w:tcPr>
          <w:p w:rsidR="00AD1C9F" w:rsidRPr="00D22B1F" w:rsidRDefault="00AD1C9F" w:rsidP="001D56B6">
            <w:pPr>
              <w:pStyle w:val="ColumnHeading"/>
              <w:keepNext/>
            </w:pPr>
            <w:r w:rsidRPr="00D22B1F">
              <w:t>Door de Commissie voorgestelde tekst</w:t>
            </w:r>
          </w:p>
        </w:tc>
        <w:tc>
          <w:tcPr>
            <w:tcW w:w="4876" w:type="dxa"/>
          </w:tcPr>
          <w:p w:rsidR="00AD1C9F" w:rsidRPr="00D22B1F" w:rsidRDefault="00AD1C9F" w:rsidP="001D56B6">
            <w:pPr>
              <w:pStyle w:val="ColumnHeading"/>
              <w:keepNext/>
            </w:pPr>
            <w:r w:rsidRPr="00D22B1F">
              <w:t>Amendement</w:t>
            </w:r>
          </w:p>
        </w:tc>
      </w:tr>
      <w:tr w:rsidR="00AD1C9F" w:rsidRPr="00D22B1F" w:rsidTr="001D56B6">
        <w:trPr>
          <w:jc w:val="center"/>
        </w:trPr>
        <w:tc>
          <w:tcPr>
            <w:tcW w:w="4876" w:type="dxa"/>
          </w:tcPr>
          <w:p w:rsidR="00AD1C9F" w:rsidRPr="00D22B1F" w:rsidRDefault="00AD1C9F" w:rsidP="001D56B6">
            <w:pPr>
              <w:pStyle w:val="Normal6"/>
            </w:pPr>
            <w:r w:rsidRPr="00D22B1F">
              <w:t>(32)</w:t>
            </w:r>
            <w:r w:rsidRPr="00D22B1F">
              <w:tab/>
              <w:t>De lidstaten moeten dergelijke informatie met elkaar delen, aangezien deze nodig is voor de toegang, authenticatie en verificatie van de op het veilige opslagmedium opgeslagen informatie. De formaten die voor het veilige opslagmedium worden gebruikt, moeten interoperabel zijn en moeten ook bruikbaar zijn bij geautomatiseerde grenspassage.</w:t>
            </w:r>
          </w:p>
        </w:tc>
        <w:tc>
          <w:tcPr>
            <w:tcW w:w="4876" w:type="dxa"/>
          </w:tcPr>
          <w:p w:rsidR="00AD1C9F" w:rsidRPr="00D22B1F" w:rsidRDefault="00AD1C9F" w:rsidP="001D56B6">
            <w:pPr>
              <w:pStyle w:val="Normal6"/>
              <w:rPr>
                <w:b/>
                <w:i/>
                <w:szCs w:val="24"/>
              </w:rPr>
            </w:pPr>
            <w:r w:rsidRPr="00D22B1F">
              <w:t>(32)</w:t>
            </w:r>
            <w:r w:rsidRPr="00D22B1F">
              <w:tab/>
              <w:t>De lidstaten moeten dergelijke informatie met elkaar delen, aangezien deze nodig is voor de toegang, authenticatie en verificatie van de op het veilige opslagmedium opgeslagen informatie. De formaten die voor het veilige opslagmedium worden gebruikt, moeten interoperabel zijn en moeten ook bruikbaar zijn bij geautomatiseerde grenspassage.</w:t>
            </w:r>
            <w:r w:rsidRPr="00D22B1F">
              <w:rPr>
                <w:b/>
                <w:i/>
              </w:rPr>
              <w:t xml:space="preserve"> De Commissie moet de lidstaten aansporen samen te werken voor </w:t>
            </w:r>
            <w:r w:rsidRPr="00D22B1F">
              <w:rPr>
                <w:b/>
                <w:i/>
              </w:rPr>
              <w:lastRenderedPageBreak/>
              <w:t>het verwezenlijken van die doelstellingen.</w:t>
            </w:r>
          </w:p>
        </w:tc>
      </w:tr>
    </w:tbl>
    <w:p w:rsidR="00AD1C9F" w:rsidRPr="00D22B1F" w:rsidRDefault="00AD1C9F" w:rsidP="00AD1C9F">
      <w:pPr>
        <w:pStyle w:val="AmNumberTabs"/>
      </w:pPr>
      <w:r w:rsidRPr="00D22B1F">
        <w:lastRenderedPageBreak/>
        <w:t>Amendement</w:t>
      </w:r>
      <w:r w:rsidRPr="00D22B1F">
        <w:tab/>
      </w:r>
      <w:r w:rsidRPr="00D22B1F">
        <w:tab/>
        <w:t>7</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Overweging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(43)</w:t>
            </w:r>
            <w:r w:rsidRPr="00D22B1F">
              <w:tab/>
              <w:t>Overeenkomstig het Interinstitutioneel akkoord van 13 april 2016 over beter wetgeven</w:t>
            </w:r>
            <w:r w:rsidRPr="00D22B1F">
              <w:rPr>
                <w:vertAlign w:val="superscript"/>
              </w:rPr>
              <w:t>9</w:t>
            </w:r>
            <w:r w:rsidRPr="00D22B1F">
              <w:t xml:space="preserve"> moet de Commissie, </w:t>
            </w:r>
            <w:r w:rsidRPr="00D22B1F">
              <w:rPr>
                <w:b/>
                <w:bCs/>
                <w:i/>
                <w:iCs/>
              </w:rPr>
              <w:t>niet eerder dan</w:t>
            </w:r>
            <w:r w:rsidRPr="00D22B1F">
              <w:t xml:space="preserve"> zes jaar na de datum waarop deze verordening </w:t>
            </w:r>
            <w:r w:rsidRPr="00D22B1F">
              <w:rPr>
                <w:b/>
                <w:bCs/>
                <w:i/>
                <w:iCs/>
              </w:rPr>
              <w:t>van toepassing wordt</w:t>
            </w:r>
            <w:r w:rsidRPr="00D22B1F">
              <w:t>, voor deze verordening een evaluatie uitvoeren, onder meer op basis van via specifieke monitoringregelingen verzamelde informatie om de daadwerkelijke effecten van deze verordening en de behoefte aan verdere acties na te gaan. De lidstaten moeten, met het oog op de monitoring, statistische gegevens verzamelen over het aantal door hen afgegeven identiteitskaarten en verblijfsdocumenten.</w:t>
            </w:r>
          </w:p>
        </w:tc>
        <w:tc>
          <w:tcPr>
            <w:tcW w:w="4876" w:type="dxa"/>
            <w:tcBorders>
              <w:top w:val="nil"/>
              <w:left w:val="nil"/>
              <w:bottom w:val="nil"/>
              <w:right w:val="nil"/>
            </w:tcBorders>
          </w:tcPr>
          <w:p w:rsidR="00AD1C9F" w:rsidRPr="00D22B1F" w:rsidRDefault="00AD1C9F" w:rsidP="001D56B6">
            <w:pPr>
              <w:pStyle w:val="Normal6a"/>
            </w:pPr>
            <w:r w:rsidRPr="00D22B1F">
              <w:t>(43)</w:t>
            </w:r>
            <w:r w:rsidRPr="00D22B1F">
              <w:tab/>
            </w:r>
            <w:r w:rsidRPr="00D22B1F">
              <w:rPr>
                <w:b/>
                <w:i/>
              </w:rPr>
              <w:t>De Commissie moet twee en elf jaar na de datum waarop deze verordening in werking treedt, verslag doen over de tenuitvoerlegging ervan, onder meer over de vraag of het beveiligingsniveau passend is, met inachtneming van het effect ervan op de grondrechten en de gegevensbeschermingsbeginselen.</w:t>
            </w:r>
            <w:r w:rsidRPr="00D22B1F">
              <w:t xml:space="preserve"> Overeenkomstig het interinstitutioneel akkoord van 13 april 2016 over beter wetgeven</w:t>
            </w:r>
            <w:r w:rsidRPr="00D22B1F">
              <w:rPr>
                <w:vertAlign w:val="superscript"/>
              </w:rPr>
              <w:t>9</w:t>
            </w:r>
            <w:r w:rsidRPr="00D22B1F">
              <w:t xml:space="preserve"> moet de Commissie, zes jaar na de datum waarop deze verordening </w:t>
            </w:r>
            <w:r w:rsidRPr="00D22B1F">
              <w:rPr>
                <w:b/>
                <w:bCs/>
                <w:i/>
                <w:iCs/>
              </w:rPr>
              <w:t>in werking treedt</w:t>
            </w:r>
            <w:r w:rsidRPr="00D22B1F">
              <w:t xml:space="preserve"> </w:t>
            </w:r>
            <w:r w:rsidRPr="00D22B1F">
              <w:rPr>
                <w:b/>
                <w:bCs/>
                <w:i/>
                <w:iCs/>
              </w:rPr>
              <w:t>en vervolgens om de zes jaar</w:t>
            </w:r>
            <w:r w:rsidRPr="00D22B1F">
              <w:t>, voor deze verordening een evaluatie uitvoeren, onder meer op basis van via specifieke monitoringregelingen verzamelde informatie om de daadwerkelijke effecten van deze verordening en de behoefte aan verdere acties na te gaan. De lidstaten moeten, met het oog op de monitoring, statistische gegevens verzamelen over het aantal door hen afgegeven identiteitskaarten en verblijfsdocumenten.</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rPr>
                <w:b/>
                <w:i/>
              </w:rPr>
              <w:t>_________________</w:t>
            </w:r>
          </w:p>
        </w:tc>
        <w:tc>
          <w:tcPr>
            <w:tcW w:w="4876" w:type="dxa"/>
            <w:tcBorders>
              <w:top w:val="nil"/>
              <w:left w:val="nil"/>
              <w:bottom w:val="nil"/>
              <w:right w:val="nil"/>
            </w:tcBorders>
          </w:tcPr>
          <w:p w:rsidR="00AD1C9F" w:rsidRPr="00D22B1F" w:rsidRDefault="00AD1C9F" w:rsidP="001D56B6">
            <w:pPr>
              <w:pStyle w:val="Normal6a"/>
            </w:pPr>
            <w:r w:rsidRPr="00D22B1F">
              <w:rPr>
                <w:b/>
                <w:i/>
              </w:rPr>
              <w:t>_________________</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rPr>
                <w:vertAlign w:val="superscript"/>
              </w:rPr>
              <w:t>9</w:t>
            </w:r>
            <w:r w:rsidRPr="00D22B1F">
              <w:t xml:space="preserve"> PB L 123 van 12.5.2016, blz. 1, ELI: http://data.europa.eu/eli/agree_interinstit/2016/512/oj.</w:t>
            </w:r>
          </w:p>
        </w:tc>
        <w:tc>
          <w:tcPr>
            <w:tcW w:w="4876" w:type="dxa"/>
            <w:tcBorders>
              <w:top w:val="nil"/>
              <w:left w:val="nil"/>
              <w:bottom w:val="nil"/>
              <w:right w:val="nil"/>
            </w:tcBorders>
          </w:tcPr>
          <w:p w:rsidR="00AD1C9F" w:rsidRPr="00D22B1F" w:rsidRDefault="00AD1C9F" w:rsidP="001D56B6">
            <w:pPr>
              <w:pStyle w:val="Normal6a"/>
            </w:pPr>
            <w:r w:rsidRPr="00D22B1F">
              <w:rPr>
                <w:vertAlign w:val="superscript"/>
              </w:rPr>
              <w:t>9</w:t>
            </w:r>
            <w:r w:rsidRPr="00D22B1F">
              <w:t xml:space="preserve"> PB L 123 van 12.5.2016, blz. 1, ELI: http://data.europa.eu/eli/agree_interinstit/2016/512/oj.</w:t>
            </w:r>
          </w:p>
        </w:tc>
      </w:tr>
    </w:tbl>
    <w:p w:rsidR="00AD1C9F" w:rsidRPr="00D22B1F" w:rsidRDefault="00AD1C9F" w:rsidP="00AD1C9F">
      <w:pPr>
        <w:pStyle w:val="AmNumberTabs"/>
      </w:pPr>
      <w:r w:rsidRPr="00D22B1F">
        <w:t>Amendement</w:t>
      </w:r>
      <w:r w:rsidRPr="00D22B1F">
        <w:tab/>
      </w:r>
      <w:r w:rsidRPr="00D22B1F">
        <w:tab/>
        <w:t>8</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3 – lid 2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 xml:space="preserve">In afwijking van de eerste alinea mag het documentnummer in zone I worden vermeld, terwijl de vermelding van het </w:t>
            </w:r>
            <w:r w:rsidRPr="00D22B1F">
              <w:lastRenderedPageBreak/>
              <w:t>geslacht van een persoon optioneel is.</w:t>
            </w:r>
          </w:p>
        </w:tc>
        <w:tc>
          <w:tcPr>
            <w:tcW w:w="4876" w:type="dxa"/>
            <w:tcBorders>
              <w:top w:val="nil"/>
              <w:left w:val="nil"/>
              <w:bottom w:val="nil"/>
              <w:right w:val="nil"/>
            </w:tcBorders>
          </w:tcPr>
          <w:p w:rsidR="00AD1C9F" w:rsidRPr="00D22B1F" w:rsidRDefault="00AD1C9F" w:rsidP="001D56B6">
            <w:pPr>
              <w:pStyle w:val="Normal6a"/>
            </w:pPr>
            <w:r w:rsidRPr="00D22B1F">
              <w:lastRenderedPageBreak/>
              <w:t xml:space="preserve">In afwijking van de eerste alinea mag het documentnummer in zone I worden vermeld, terwijl de vermelding van het geslacht van een persoon optioneel is. </w:t>
            </w:r>
            <w:r w:rsidRPr="00D22B1F">
              <w:rPr>
                <w:b/>
                <w:i/>
              </w:rPr>
              <w:lastRenderedPageBreak/>
              <w:t>Indien een lidstaat het gender van een persoon op een onder deze verordening vallend document vermeldt, moeten in voorkomend geval de specificaties van ICAO-document 9303 “F”, “M” of “X” worden gebruikt, of de corresponderende letters in de officiële taal of talen van die lidstaat.</w:t>
            </w:r>
          </w:p>
        </w:tc>
      </w:tr>
    </w:tbl>
    <w:p w:rsidR="00AD1C9F" w:rsidRPr="00D22B1F" w:rsidRDefault="00AD1C9F" w:rsidP="00AD1C9F">
      <w:pPr>
        <w:pStyle w:val="AmNumberTabs"/>
      </w:pPr>
      <w:r w:rsidRPr="00D22B1F">
        <w:lastRenderedPageBreak/>
        <w:t>Amendement</w:t>
      </w:r>
      <w:r w:rsidRPr="00D22B1F">
        <w:tab/>
      </w:r>
      <w:r w:rsidRPr="00D22B1F">
        <w:tab/>
        <w:t>9</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3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
            </w:pPr>
            <w:r w:rsidRPr="00D22B1F">
              <w:t>5.</w:t>
            </w:r>
            <w:r w:rsidRPr="00D22B1F">
              <w:tab/>
              <w:t>De identiteitskaart bevat een opslagmedium dat aan de hoogste veiligheidseisen voldoet en dat een gezichtsopname en twee vingerafdrukbeelden van de houder van de kaart bevat, in een digitaal formaat. Voor het verzamelen van biometrische gegevens passen de lidstaten de technische specificaties toe die zijn vastgesteld bij Uitvoeringsbesluit C(2018) 7767</w:t>
            </w:r>
            <w:r w:rsidRPr="00D22B1F">
              <w:rPr>
                <w:vertAlign w:val="superscript"/>
              </w:rPr>
              <w:t>12</w:t>
            </w:r>
            <w:r w:rsidRPr="00D22B1F">
              <w:t xml:space="preserve"> van de Commissie zoals gewijzigd bij Uitvoeringsbesluit C(2021) 3726</w:t>
            </w:r>
            <w:r w:rsidRPr="00D22B1F">
              <w:rPr>
                <w:vertAlign w:val="superscript"/>
              </w:rPr>
              <w:t>13</w:t>
            </w:r>
            <w:r w:rsidRPr="00D22B1F">
              <w:t xml:space="preserve"> van de Commissie.</w:t>
            </w:r>
          </w:p>
        </w:tc>
        <w:tc>
          <w:tcPr>
            <w:tcW w:w="4876" w:type="dxa"/>
            <w:tcBorders>
              <w:top w:val="nil"/>
              <w:left w:val="nil"/>
              <w:bottom w:val="nil"/>
              <w:right w:val="nil"/>
            </w:tcBorders>
          </w:tcPr>
          <w:p w:rsidR="00AD1C9F" w:rsidRPr="00D22B1F" w:rsidRDefault="00AD1C9F" w:rsidP="001D56B6">
            <w:pPr>
              <w:pStyle w:val="Normal6a"/>
            </w:pPr>
            <w:r w:rsidRPr="00D22B1F">
              <w:t>5.</w:t>
            </w:r>
            <w:r w:rsidRPr="00D22B1F">
              <w:tab/>
              <w:t xml:space="preserve">De identiteitskaart bevat een opslagmedium dat aan de hoogste veiligheidseisen voldoet en dat een gezichtsopname en twee vingerafdrukbeelden van de houder van de kaart bevat, in een digitaal formaat. Voor het verzamelen van </w:t>
            </w:r>
            <w:r w:rsidRPr="00D22B1F">
              <w:rPr>
                <w:b/>
                <w:bCs/>
                <w:i/>
                <w:iCs/>
              </w:rPr>
              <w:t>die twee soorten</w:t>
            </w:r>
            <w:r w:rsidRPr="00D22B1F">
              <w:t xml:space="preserve"> biometrische gegevens passen de lidstaten de technische specificaties toe die zijn vastgesteld bij Uitvoeringsbesluit C(2018) 7767</w:t>
            </w:r>
            <w:r w:rsidRPr="00D22B1F">
              <w:rPr>
                <w:vertAlign w:val="superscript"/>
              </w:rPr>
              <w:t>12</w:t>
            </w:r>
            <w:r w:rsidRPr="00D22B1F">
              <w:t xml:space="preserve"> van de Commissie, zoals gewijzigd bij Uitvoeringsbesluit C(2021) 3726</w:t>
            </w:r>
            <w:r w:rsidRPr="00D22B1F">
              <w:rPr>
                <w:vertAlign w:val="superscript"/>
              </w:rPr>
              <w:t>13</w:t>
            </w:r>
            <w:r w:rsidRPr="00D22B1F">
              <w:t xml:space="preserve"> van de Commissie.</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rPr>
                <w:b/>
                <w:i/>
              </w:rPr>
              <w:t>_________________</w:t>
            </w:r>
          </w:p>
        </w:tc>
        <w:tc>
          <w:tcPr>
            <w:tcW w:w="4876" w:type="dxa"/>
            <w:tcBorders>
              <w:top w:val="nil"/>
              <w:left w:val="nil"/>
              <w:bottom w:val="nil"/>
              <w:right w:val="nil"/>
            </w:tcBorders>
          </w:tcPr>
          <w:p w:rsidR="00AD1C9F" w:rsidRPr="00D22B1F" w:rsidRDefault="00AD1C9F" w:rsidP="001D56B6">
            <w:pPr>
              <w:pStyle w:val="Normal6a"/>
            </w:pPr>
            <w:r w:rsidRPr="00D22B1F">
              <w:rPr>
                <w:b/>
                <w:i/>
              </w:rPr>
              <w:t>_________________</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rPr>
                <w:vertAlign w:val="superscript"/>
              </w:rPr>
              <w:t>12</w:t>
            </w:r>
            <w:r w:rsidRPr="00D22B1F">
              <w:t xml:space="preserve"> Uitvoeringsbesluit C(2018) 7767 van de Commissie van 30 november 2018 tot vastlegging van de technische specificaties betreffende een uniform model voor verblijfstitels voor onderdanen van derde landen en tot intrekking van Besluit C(2002) 3069.</w:t>
            </w:r>
          </w:p>
        </w:tc>
        <w:tc>
          <w:tcPr>
            <w:tcW w:w="4876" w:type="dxa"/>
            <w:tcBorders>
              <w:top w:val="nil"/>
              <w:left w:val="nil"/>
              <w:bottom w:val="nil"/>
              <w:right w:val="nil"/>
            </w:tcBorders>
          </w:tcPr>
          <w:p w:rsidR="00AD1C9F" w:rsidRPr="00D22B1F" w:rsidRDefault="00AD1C9F" w:rsidP="001D56B6">
            <w:pPr>
              <w:pStyle w:val="Normal6a"/>
            </w:pPr>
            <w:r w:rsidRPr="00D22B1F">
              <w:rPr>
                <w:vertAlign w:val="superscript"/>
              </w:rPr>
              <w:t>12</w:t>
            </w:r>
            <w:r w:rsidRPr="00D22B1F">
              <w:t xml:space="preserve"> Uitvoeringsbesluit C(2018) 7767 van de Commissie van 30 november 2018 tot vastlegging van de technische specificaties betreffende een uniform model voor verblijfstitels voor onderdanen van derde landen en tot intrekking van Besluit C(2002) 3069.</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rPr>
                <w:vertAlign w:val="superscript"/>
              </w:rPr>
              <w:t>13</w:t>
            </w:r>
            <w:r w:rsidRPr="00D22B1F">
              <w:t xml:space="preserve"> Uitvoeringsbesluit C(2021) 3726 van de Commissie van 4 juni 2021 tot wijziging van bijlage III bij Uitvoeringsbesluit C(2018) 7767 wat betreft de lijst van referentienormen.</w:t>
            </w:r>
          </w:p>
        </w:tc>
        <w:tc>
          <w:tcPr>
            <w:tcW w:w="4876" w:type="dxa"/>
            <w:tcBorders>
              <w:top w:val="nil"/>
              <w:left w:val="nil"/>
              <w:bottom w:val="nil"/>
              <w:right w:val="nil"/>
            </w:tcBorders>
          </w:tcPr>
          <w:p w:rsidR="00AD1C9F" w:rsidRPr="00D22B1F" w:rsidRDefault="00AD1C9F" w:rsidP="001D56B6">
            <w:pPr>
              <w:pStyle w:val="Normal6a"/>
            </w:pPr>
            <w:r w:rsidRPr="00D22B1F">
              <w:rPr>
                <w:vertAlign w:val="superscript"/>
              </w:rPr>
              <w:t>13</w:t>
            </w:r>
            <w:r w:rsidRPr="00D22B1F">
              <w:t xml:space="preserve"> Uitvoeringsbesluit C(2021) 3726 van de Commissie van 4 juni 2021 tot wijziging van bijlage III bij Uitvoeringsbesluit C(2018) 7767 wat betreft de lijst van referentienormen.</w:t>
            </w:r>
          </w:p>
        </w:tc>
      </w:tr>
    </w:tbl>
    <w:p w:rsidR="00AD1C9F" w:rsidRPr="00D22B1F" w:rsidRDefault="00AD1C9F" w:rsidP="00AD1C9F">
      <w:pPr>
        <w:pStyle w:val="AmNumberTabs"/>
      </w:pPr>
      <w:r w:rsidRPr="00D22B1F">
        <w:t>Amendement</w:t>
      </w:r>
      <w:r w:rsidRPr="00D22B1F">
        <w:tab/>
      </w:r>
      <w:r w:rsidRPr="00D22B1F">
        <w:tab/>
        <w:t>10</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10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lastRenderedPageBreak/>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3.</w:t>
            </w:r>
            <w:r w:rsidRPr="00D22B1F">
              <w:tab/>
            </w:r>
            <w:r w:rsidRPr="00D22B1F">
              <w:rPr>
                <w:b/>
                <w:bCs/>
                <w:i/>
                <w:iCs/>
              </w:rPr>
              <w:t>Tenzij dit met het oog op verwerking in overeenstemming met het Unie- en nationaal recht vereist is,</w:t>
            </w:r>
            <w:r w:rsidRPr="00D22B1F">
              <w:t xml:space="preserve"> worden biometrische gegevens die met het oog op de </w:t>
            </w:r>
            <w:proofErr w:type="spellStart"/>
            <w:r w:rsidRPr="00D22B1F">
              <w:t>personalisering</w:t>
            </w:r>
            <w:proofErr w:type="spellEnd"/>
            <w:r w:rsidRPr="00D22B1F">
              <w:t xml:space="preserve"> van identiteitskaarten of verblijfsdocumenten worden opgeslagen, op een zeer veilige manier bewaard en slechts tot de datum waarop het document wordt afgehaald en in geen geval langer dan 90 dagen na de dag van afgifte van het document. Na deze periode worden deze biometrische gegevens onmiddellijk gewist en vernietigd.</w:t>
            </w:r>
          </w:p>
        </w:tc>
        <w:tc>
          <w:tcPr>
            <w:tcW w:w="4876" w:type="dxa"/>
            <w:tcBorders>
              <w:top w:val="nil"/>
              <w:left w:val="nil"/>
              <w:bottom w:val="nil"/>
              <w:right w:val="nil"/>
            </w:tcBorders>
          </w:tcPr>
          <w:p w:rsidR="00AD1C9F" w:rsidRPr="00D22B1F" w:rsidRDefault="00AD1C9F" w:rsidP="001D56B6">
            <w:pPr>
              <w:pStyle w:val="Normal6a"/>
            </w:pPr>
            <w:r w:rsidRPr="00D22B1F">
              <w:t>3.</w:t>
            </w:r>
            <w:r w:rsidRPr="00D22B1F">
              <w:tab/>
              <w:t xml:space="preserve">Biometrische gegevens die met het oog op de </w:t>
            </w:r>
            <w:proofErr w:type="spellStart"/>
            <w:r w:rsidRPr="00D22B1F">
              <w:t>personalisering</w:t>
            </w:r>
            <w:proofErr w:type="spellEnd"/>
            <w:r w:rsidRPr="00D22B1F">
              <w:t xml:space="preserve"> van identiteitskaarten of verblijfsdocumenten worden opgeslagen, </w:t>
            </w:r>
            <w:r w:rsidRPr="00D22B1F">
              <w:rPr>
                <w:b/>
                <w:i/>
              </w:rPr>
              <w:t>worden</w:t>
            </w:r>
            <w:r w:rsidRPr="00D22B1F">
              <w:t xml:space="preserve"> op een zeer veilige manier bewaard en slechts tot de datum waarop het document wordt afgehaald en in geen geval langer dan 90 dagen na de dag van afgifte van het document. Na deze periode worden deze biometrische gegevens onmiddellijk gewist en vernietigd. </w:t>
            </w:r>
            <w:r w:rsidRPr="00D22B1F">
              <w:rPr>
                <w:b/>
                <w:i/>
              </w:rPr>
              <w:t>Voor de verwerking van die gegevens voor andere doeleinden gelden de beperkingen en voorwaarden waarin is voorzien in het nationaal recht of de Uniewetgeving inzake gegevensbescherming.</w:t>
            </w:r>
          </w:p>
        </w:tc>
      </w:tr>
    </w:tbl>
    <w:p w:rsidR="00AD1C9F" w:rsidRPr="00D22B1F" w:rsidRDefault="00AD1C9F" w:rsidP="00AD1C9F">
      <w:pPr>
        <w:pStyle w:val="AmNumberTabs"/>
      </w:pPr>
      <w:r w:rsidRPr="00D22B1F">
        <w:t>Amendement</w:t>
      </w:r>
      <w:r w:rsidRPr="00D22B1F">
        <w:tab/>
      </w:r>
      <w:r w:rsidRPr="00D22B1F">
        <w:tab/>
        <w:t>11</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11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4.</w:t>
            </w:r>
            <w:r w:rsidRPr="00D22B1F">
              <w:tab/>
              <w:t>Samenwerking met externe dienstverleners mag geen uitsluiting inhouden van de aansprakelijkheid van een lidstaat, die voortvloeit uit het Unierecht of nationaal recht in verband met schendingen van bepalingen met betrekking tot persoonsgegevens.</w:t>
            </w:r>
          </w:p>
        </w:tc>
        <w:tc>
          <w:tcPr>
            <w:tcW w:w="4876" w:type="dxa"/>
            <w:tcBorders>
              <w:top w:val="nil"/>
              <w:left w:val="nil"/>
              <w:bottom w:val="nil"/>
              <w:right w:val="nil"/>
            </w:tcBorders>
          </w:tcPr>
          <w:p w:rsidR="00AD1C9F" w:rsidRPr="00D22B1F" w:rsidRDefault="00AD1C9F" w:rsidP="001D56B6">
            <w:pPr>
              <w:pStyle w:val="Normal6a"/>
            </w:pPr>
            <w:r w:rsidRPr="00D22B1F">
              <w:t>4.</w:t>
            </w:r>
            <w:r w:rsidRPr="00D22B1F">
              <w:tab/>
              <w:t xml:space="preserve">Samenwerking met externe dienstverleners mag geen uitsluiting inhouden van de aansprakelijkheid van een lidstaat, die voortvloeit uit het Unierecht of nationaal recht in verband met schendingen van bepalingen met betrekking tot persoonsgegevens. </w:t>
            </w:r>
            <w:r w:rsidRPr="00D22B1F">
              <w:rPr>
                <w:b/>
                <w:i/>
              </w:rPr>
              <w:t>De lidstaten zien erop toe dat alle externe aanbieders het Unierecht en het nationale recht inzake gegevensbescherming naleven, en er worden passende maatregelen genomen om ongeoorloofde toegang tot of misbruik van persoonsgegevens tijdens uitbestede processen te voorkomen.</w:t>
            </w:r>
          </w:p>
        </w:tc>
      </w:tr>
    </w:tbl>
    <w:p w:rsidR="00AD1C9F" w:rsidRPr="00D22B1F" w:rsidRDefault="00AD1C9F" w:rsidP="00AD1C9F">
      <w:pPr>
        <w:pStyle w:val="AmNumberTabs"/>
      </w:pPr>
      <w:r w:rsidRPr="00D22B1F">
        <w:t>Amendement</w:t>
      </w:r>
      <w:r w:rsidRPr="00D22B1F">
        <w:tab/>
      </w:r>
      <w:r w:rsidRPr="00D22B1F">
        <w:tab/>
        <w:t>12</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11 – lid 6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1C9F" w:rsidRPr="00D22B1F" w:rsidTr="001D56B6">
        <w:trPr>
          <w:jc w:val="center"/>
        </w:trPr>
        <w:tc>
          <w:tcPr>
            <w:tcW w:w="9752" w:type="dxa"/>
            <w:gridSpan w:val="2"/>
          </w:tcPr>
          <w:p w:rsidR="00AD1C9F" w:rsidRPr="00D22B1F" w:rsidRDefault="00AD1C9F" w:rsidP="001D56B6">
            <w:pPr>
              <w:keepNext/>
            </w:pPr>
          </w:p>
        </w:tc>
      </w:tr>
      <w:tr w:rsidR="00AD1C9F" w:rsidRPr="00D22B1F" w:rsidTr="001D56B6">
        <w:trPr>
          <w:jc w:val="center"/>
        </w:trPr>
        <w:tc>
          <w:tcPr>
            <w:tcW w:w="4876" w:type="dxa"/>
          </w:tcPr>
          <w:p w:rsidR="00AD1C9F" w:rsidRPr="00D22B1F" w:rsidRDefault="00AD1C9F" w:rsidP="001D56B6">
            <w:pPr>
              <w:pStyle w:val="ColumnHeading"/>
              <w:keepNext/>
            </w:pPr>
            <w:r w:rsidRPr="00D22B1F">
              <w:t>Door de Commissie voorgestelde tekst</w:t>
            </w:r>
          </w:p>
        </w:tc>
        <w:tc>
          <w:tcPr>
            <w:tcW w:w="4876" w:type="dxa"/>
          </w:tcPr>
          <w:p w:rsidR="00AD1C9F" w:rsidRPr="00D22B1F" w:rsidRDefault="00AD1C9F" w:rsidP="001D56B6">
            <w:pPr>
              <w:pStyle w:val="ColumnHeading"/>
              <w:keepNext/>
            </w:pPr>
            <w:r w:rsidRPr="00D22B1F">
              <w:t>Amendement</w:t>
            </w:r>
          </w:p>
        </w:tc>
      </w:tr>
      <w:tr w:rsidR="00AD1C9F" w:rsidRPr="00D22B1F" w:rsidTr="001D56B6">
        <w:trPr>
          <w:jc w:val="center"/>
        </w:trPr>
        <w:tc>
          <w:tcPr>
            <w:tcW w:w="4876" w:type="dxa"/>
          </w:tcPr>
          <w:p w:rsidR="00AD1C9F" w:rsidRPr="00D22B1F" w:rsidRDefault="00AD1C9F" w:rsidP="001D56B6">
            <w:pPr>
              <w:pStyle w:val="Normal6"/>
            </w:pPr>
            <w:r w:rsidRPr="00D22B1F">
              <w:rPr>
                <w:b/>
                <w:bCs/>
                <w:i/>
                <w:iCs/>
              </w:rPr>
              <w:t>Biometrische gegevens</w:t>
            </w:r>
            <w:r w:rsidRPr="00D22B1F">
              <w:t xml:space="preserve"> die </w:t>
            </w:r>
            <w:r w:rsidRPr="00D22B1F">
              <w:rPr>
                <w:b/>
                <w:bCs/>
                <w:i/>
                <w:iCs/>
              </w:rPr>
              <w:t>worden</w:t>
            </w:r>
            <w:r w:rsidRPr="00D22B1F">
              <w:t xml:space="preserve"> opgeslagen op het opslagmedium van </w:t>
            </w:r>
            <w:r w:rsidRPr="00D22B1F">
              <w:lastRenderedPageBreak/>
              <w:t xml:space="preserve">identiteitskaarten en verblijfsdocumenten worden, in overeenstemming met </w:t>
            </w:r>
            <w:r w:rsidRPr="00D22B1F">
              <w:rPr>
                <w:b/>
                <w:bCs/>
                <w:i/>
                <w:iCs/>
              </w:rPr>
              <w:t>Unierecht en nationaal recht alleen gebruikt</w:t>
            </w:r>
            <w:r w:rsidRPr="00D22B1F">
              <w:t xml:space="preserve"> voor het verifiëren van:</w:t>
            </w:r>
          </w:p>
        </w:tc>
        <w:tc>
          <w:tcPr>
            <w:tcW w:w="4876" w:type="dxa"/>
          </w:tcPr>
          <w:p w:rsidR="00AD1C9F" w:rsidRPr="00D22B1F" w:rsidRDefault="00AD1C9F" w:rsidP="001D56B6">
            <w:pPr>
              <w:pStyle w:val="Normal6"/>
              <w:rPr>
                <w:szCs w:val="24"/>
              </w:rPr>
            </w:pPr>
            <w:r w:rsidRPr="00D22B1F">
              <w:rPr>
                <w:b/>
                <w:bCs/>
                <w:i/>
                <w:iCs/>
              </w:rPr>
              <w:lastRenderedPageBreak/>
              <w:t>De gezichtsopname van de houder</w:t>
            </w:r>
            <w:r w:rsidRPr="00D22B1F">
              <w:t xml:space="preserve"> die </w:t>
            </w:r>
            <w:r w:rsidRPr="00D22B1F">
              <w:rPr>
                <w:b/>
                <w:bCs/>
                <w:i/>
                <w:iCs/>
              </w:rPr>
              <w:t>wordt</w:t>
            </w:r>
            <w:r w:rsidRPr="00D22B1F">
              <w:t xml:space="preserve"> opgeslagen op het opslagmedium </w:t>
            </w:r>
            <w:r w:rsidRPr="00D22B1F">
              <w:lastRenderedPageBreak/>
              <w:t xml:space="preserve">van identiteitskaarten en verblijfsdocumenten </w:t>
            </w:r>
            <w:r w:rsidRPr="00D22B1F">
              <w:rPr>
                <w:b/>
                <w:bCs/>
                <w:i/>
                <w:iCs/>
              </w:rPr>
              <w:t>is alleen toegankelijk voor naar behoren gemachtigde personeelsleden van de bevoegde nationale autoriteiten, agentschappen van de Unie en private entiteiten</w:t>
            </w:r>
            <w:r w:rsidRPr="00D22B1F">
              <w:t xml:space="preserve">, in overeenstemming met </w:t>
            </w:r>
            <w:r w:rsidRPr="00D22B1F">
              <w:rPr>
                <w:b/>
                <w:bCs/>
                <w:i/>
                <w:iCs/>
              </w:rPr>
              <w:t>de Uniewetgeving inzake gegevensbescherming</w:t>
            </w:r>
            <w:r w:rsidRPr="00D22B1F">
              <w:t>, voor het verifiëren van:</w:t>
            </w:r>
          </w:p>
        </w:tc>
      </w:tr>
    </w:tbl>
    <w:p w:rsidR="00AD1C9F" w:rsidRPr="00D22B1F" w:rsidRDefault="00AD1C9F" w:rsidP="00AD1C9F">
      <w:pPr>
        <w:pStyle w:val="AmNumberTabs"/>
      </w:pPr>
      <w:r w:rsidRPr="00D22B1F">
        <w:lastRenderedPageBreak/>
        <w:t>Amendement</w:t>
      </w:r>
      <w:r w:rsidRPr="00D22B1F">
        <w:tab/>
      </w:r>
      <w:r w:rsidRPr="00D22B1F">
        <w:tab/>
        <w:t>13</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11 – lid 6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D1C9F" w:rsidRPr="00D22B1F" w:rsidTr="001D56B6">
        <w:trPr>
          <w:jc w:val="center"/>
        </w:trPr>
        <w:tc>
          <w:tcPr>
            <w:tcW w:w="9752" w:type="dxa"/>
            <w:gridSpan w:val="2"/>
          </w:tcPr>
          <w:p w:rsidR="00AD1C9F" w:rsidRPr="00D22B1F" w:rsidRDefault="00AD1C9F" w:rsidP="001D56B6">
            <w:pPr>
              <w:keepNext/>
            </w:pPr>
          </w:p>
        </w:tc>
      </w:tr>
      <w:tr w:rsidR="00AD1C9F" w:rsidRPr="00D22B1F" w:rsidTr="001D56B6">
        <w:trPr>
          <w:jc w:val="center"/>
        </w:trPr>
        <w:tc>
          <w:tcPr>
            <w:tcW w:w="4876" w:type="dxa"/>
          </w:tcPr>
          <w:p w:rsidR="00AD1C9F" w:rsidRPr="00D22B1F" w:rsidRDefault="00AD1C9F" w:rsidP="001D56B6">
            <w:pPr>
              <w:pStyle w:val="ColumnHeading"/>
              <w:keepNext/>
            </w:pPr>
            <w:r w:rsidRPr="00D22B1F">
              <w:t>Door de Commissie voorgestelde tekst</w:t>
            </w:r>
          </w:p>
        </w:tc>
        <w:tc>
          <w:tcPr>
            <w:tcW w:w="4876" w:type="dxa"/>
          </w:tcPr>
          <w:p w:rsidR="00AD1C9F" w:rsidRPr="00D22B1F" w:rsidRDefault="00AD1C9F" w:rsidP="001D56B6">
            <w:pPr>
              <w:pStyle w:val="ColumnHeading"/>
              <w:keepNext/>
            </w:pPr>
            <w:r w:rsidRPr="00D22B1F">
              <w:t>Amendement</w:t>
            </w:r>
          </w:p>
        </w:tc>
      </w:tr>
      <w:tr w:rsidR="00AD1C9F" w:rsidRPr="00D22B1F" w:rsidTr="001D56B6">
        <w:trPr>
          <w:jc w:val="center"/>
        </w:trPr>
        <w:tc>
          <w:tcPr>
            <w:tcW w:w="4876" w:type="dxa"/>
          </w:tcPr>
          <w:p w:rsidR="00AD1C9F" w:rsidRPr="00D22B1F" w:rsidRDefault="00AD1C9F" w:rsidP="001D56B6">
            <w:pPr>
              <w:pStyle w:val="Normal6"/>
            </w:pPr>
          </w:p>
        </w:tc>
        <w:tc>
          <w:tcPr>
            <w:tcW w:w="4876" w:type="dxa"/>
          </w:tcPr>
          <w:p w:rsidR="00AD1C9F" w:rsidRPr="00D22B1F" w:rsidRDefault="00AD1C9F" w:rsidP="001D56B6">
            <w:pPr>
              <w:pStyle w:val="Normal6"/>
              <w:rPr>
                <w:b/>
                <w:i/>
                <w:szCs w:val="24"/>
              </w:rPr>
            </w:pPr>
            <w:r w:rsidRPr="00D22B1F">
              <w:rPr>
                <w:b/>
                <w:i/>
              </w:rPr>
              <w:t>Voor toegang tot de gezichtsopname door particuliere entiteiten is ook de toestemming van de houder vereist, tenzij de toegang, met of zonder toestemming, strikt noodzakelijk is voor de doeleinden die in de eerste alinea worden genoemd en waarin het Unierecht of het nationaal recht voorziet overeenkomstig de Uniewetgeving inzake gegevensbescherming.</w:t>
            </w:r>
          </w:p>
        </w:tc>
      </w:tr>
    </w:tbl>
    <w:p w:rsidR="00AD1C9F" w:rsidRPr="00D22B1F" w:rsidRDefault="00AD1C9F" w:rsidP="00AD1C9F">
      <w:pPr>
        <w:pStyle w:val="AmNumberTabs"/>
      </w:pPr>
      <w:r w:rsidRPr="00D22B1F">
        <w:t>Amendement</w:t>
      </w:r>
      <w:r w:rsidRPr="00D22B1F">
        <w:tab/>
      </w:r>
      <w:r w:rsidRPr="00D22B1F">
        <w:tab/>
        <w:t>14</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11 – lid 6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D1C9F" w:rsidRPr="00D22B1F" w:rsidTr="001D56B6">
        <w:trPr>
          <w:jc w:val="center"/>
        </w:trPr>
        <w:tc>
          <w:tcPr>
            <w:tcW w:w="9752" w:type="dxa"/>
            <w:gridSpan w:val="2"/>
          </w:tcPr>
          <w:p w:rsidR="00AD1C9F" w:rsidRPr="00D22B1F" w:rsidRDefault="00AD1C9F" w:rsidP="001D56B6">
            <w:pPr>
              <w:keepNext/>
            </w:pPr>
          </w:p>
        </w:tc>
      </w:tr>
      <w:tr w:rsidR="00AD1C9F" w:rsidRPr="00D22B1F" w:rsidTr="001D56B6">
        <w:trPr>
          <w:jc w:val="center"/>
        </w:trPr>
        <w:tc>
          <w:tcPr>
            <w:tcW w:w="4876" w:type="dxa"/>
          </w:tcPr>
          <w:p w:rsidR="00AD1C9F" w:rsidRPr="00D22B1F" w:rsidRDefault="00AD1C9F" w:rsidP="001D56B6">
            <w:pPr>
              <w:pStyle w:val="ColumnHeading"/>
              <w:keepNext/>
            </w:pPr>
            <w:r w:rsidRPr="00D22B1F">
              <w:t>Door de Commissie voorgestelde tekst</w:t>
            </w:r>
          </w:p>
        </w:tc>
        <w:tc>
          <w:tcPr>
            <w:tcW w:w="4876" w:type="dxa"/>
          </w:tcPr>
          <w:p w:rsidR="00AD1C9F" w:rsidRPr="00D22B1F" w:rsidRDefault="00AD1C9F" w:rsidP="001D56B6">
            <w:pPr>
              <w:pStyle w:val="ColumnHeading"/>
              <w:keepNext/>
            </w:pPr>
            <w:r w:rsidRPr="00D22B1F">
              <w:t>Amendement</w:t>
            </w:r>
          </w:p>
        </w:tc>
      </w:tr>
      <w:tr w:rsidR="00AD1C9F" w:rsidRPr="00D22B1F" w:rsidTr="001D56B6">
        <w:trPr>
          <w:jc w:val="center"/>
        </w:trPr>
        <w:tc>
          <w:tcPr>
            <w:tcW w:w="4876" w:type="dxa"/>
          </w:tcPr>
          <w:p w:rsidR="00AD1C9F" w:rsidRPr="00D22B1F" w:rsidRDefault="00AD1C9F" w:rsidP="001D56B6">
            <w:pPr>
              <w:pStyle w:val="Normal6"/>
            </w:pPr>
            <w:r w:rsidRPr="00D22B1F">
              <w:t>De twee op het opslagmedium opgeslagen vingerafdrukken zijn alleen toegankelijk voor naar behoren gemachtigde personeelsleden van de bevoegde nationale autoriteiten en agentschappen van de Unie.</w:t>
            </w:r>
          </w:p>
        </w:tc>
        <w:tc>
          <w:tcPr>
            <w:tcW w:w="4876" w:type="dxa"/>
          </w:tcPr>
          <w:p w:rsidR="00AD1C9F" w:rsidRPr="00D22B1F" w:rsidRDefault="00AD1C9F" w:rsidP="001D56B6">
            <w:pPr>
              <w:pStyle w:val="Normal6"/>
              <w:rPr>
                <w:szCs w:val="24"/>
              </w:rPr>
            </w:pPr>
            <w:r w:rsidRPr="00D22B1F">
              <w:t xml:space="preserve">De twee op het opslagmedium opgeslagen vingerafdrukken </w:t>
            </w:r>
            <w:r w:rsidRPr="00D22B1F">
              <w:rPr>
                <w:b/>
                <w:i/>
              </w:rPr>
              <w:t>van de houder</w:t>
            </w:r>
            <w:r w:rsidRPr="00D22B1F">
              <w:t xml:space="preserve"> zijn alleen toegankelijk voor naar behoren gemachtigde personeelsleden van de bevoegde nationale autoriteiten en agentschappen van de Unie </w:t>
            </w:r>
            <w:r w:rsidRPr="00D22B1F">
              <w:rPr>
                <w:b/>
                <w:bCs/>
                <w:i/>
                <w:iCs/>
              </w:rPr>
              <w:t>met het oog op de in de eerste alinea vermelde doeleinden en in overeenstemming met de Unie- en nationale wetgeving inzake gegevensbescherming</w:t>
            </w:r>
            <w:r w:rsidRPr="00D22B1F">
              <w:t>.</w:t>
            </w:r>
          </w:p>
        </w:tc>
      </w:tr>
    </w:tbl>
    <w:p w:rsidR="00AD1C9F" w:rsidRPr="00D22B1F" w:rsidRDefault="00AD1C9F" w:rsidP="00AD1C9F">
      <w:pPr>
        <w:pStyle w:val="AmNumberTabs"/>
      </w:pPr>
      <w:r w:rsidRPr="00D22B1F">
        <w:t>Amendement</w:t>
      </w:r>
      <w:r w:rsidRPr="00D22B1F">
        <w:tab/>
      </w:r>
      <w:r w:rsidRPr="00D22B1F">
        <w:tab/>
        <w:t>15</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13 – titel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Evaluatie</w:t>
            </w:r>
          </w:p>
        </w:tc>
        <w:tc>
          <w:tcPr>
            <w:tcW w:w="4876" w:type="dxa"/>
            <w:tcBorders>
              <w:top w:val="nil"/>
              <w:left w:val="nil"/>
              <w:bottom w:val="nil"/>
              <w:right w:val="nil"/>
            </w:tcBorders>
          </w:tcPr>
          <w:p w:rsidR="00AD1C9F" w:rsidRPr="00D22B1F" w:rsidRDefault="00AD1C9F" w:rsidP="001D56B6">
            <w:pPr>
              <w:pStyle w:val="Normal6a"/>
            </w:pPr>
            <w:r w:rsidRPr="00D22B1F">
              <w:rPr>
                <w:b/>
                <w:bCs/>
                <w:i/>
                <w:iCs/>
              </w:rPr>
              <w:t>Rapportage en</w:t>
            </w:r>
            <w:r w:rsidRPr="00D22B1F">
              <w:t xml:space="preserve"> evaluatie</w:t>
            </w:r>
          </w:p>
        </w:tc>
      </w:tr>
    </w:tbl>
    <w:p w:rsidR="00AD1C9F" w:rsidRPr="00D22B1F" w:rsidRDefault="00AD1C9F" w:rsidP="00AD1C9F">
      <w:pPr>
        <w:pStyle w:val="AmNumberTabs"/>
      </w:pPr>
      <w:r w:rsidRPr="00D22B1F">
        <w:t>Amendement</w:t>
      </w:r>
      <w:r w:rsidRPr="00D22B1F">
        <w:tab/>
      </w:r>
      <w:r w:rsidRPr="00D22B1F">
        <w:tab/>
        <w:t>16</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13 – lid -1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p>
        </w:tc>
        <w:tc>
          <w:tcPr>
            <w:tcW w:w="4876" w:type="dxa"/>
            <w:tcBorders>
              <w:top w:val="nil"/>
              <w:left w:val="nil"/>
              <w:bottom w:val="nil"/>
              <w:right w:val="nil"/>
            </w:tcBorders>
          </w:tcPr>
          <w:p w:rsidR="00AD1C9F" w:rsidRPr="00D22B1F" w:rsidRDefault="00AD1C9F" w:rsidP="001D56B6">
            <w:pPr>
              <w:pStyle w:val="Normal6a"/>
            </w:pPr>
            <w:r w:rsidRPr="00D22B1F">
              <w:rPr>
                <w:b/>
                <w:i/>
              </w:rPr>
              <w:t>-1.</w:t>
            </w:r>
            <w:r w:rsidRPr="00D22B1F">
              <w:rPr>
                <w:b/>
                <w:i/>
              </w:rPr>
              <w:tab/>
              <w:t>Uiterlijk [twee jaar na de datum van inwerkingtreding van deze verordening] en uiterlijk [elf jaar na de datum van inwerkingtreding van deze verordening] brengt de Commissie bij het Europees Parlement, de Raad en het Europees Economisch en Sociaal Comité verslag uit over de tenuitvoerlegging van deze verordening, met name over de bescherming van de grondrechten en persoonsgegevens.</w:t>
            </w:r>
          </w:p>
        </w:tc>
      </w:tr>
    </w:tbl>
    <w:p w:rsidR="00AD1C9F" w:rsidRPr="00D22B1F" w:rsidRDefault="00AD1C9F" w:rsidP="00AD1C9F">
      <w:pPr>
        <w:pStyle w:val="AmNumberTabs"/>
      </w:pPr>
      <w:r w:rsidRPr="00D22B1F">
        <w:t>Amendement</w:t>
      </w:r>
      <w:r w:rsidRPr="00D22B1F">
        <w:tab/>
      </w:r>
      <w:r w:rsidRPr="00D22B1F">
        <w:tab/>
        <w:t>17</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13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r w:rsidRPr="00D22B1F">
              <w:t>1.</w:t>
            </w:r>
            <w:r w:rsidRPr="00D22B1F">
              <w:tab/>
            </w:r>
            <w:r w:rsidRPr="00D22B1F">
              <w:rPr>
                <w:b/>
                <w:bCs/>
                <w:i/>
                <w:iCs/>
              </w:rPr>
              <w:t>Ten vroegste</w:t>
            </w:r>
            <w:r w:rsidRPr="00D22B1F">
              <w:t xml:space="preserve"> [zes jaar na de inwerkingtreding van deze verordening] voert de Commissie een evaluatie van deze verordening uit en brengt zij over de belangrijkste bevindingen verslag uit aan het Europees Parlement, de Raad en het Europees Economisch en Sociaal Comité. In het verslag wordt met name aandacht besteed aan:</w:t>
            </w:r>
          </w:p>
        </w:tc>
        <w:tc>
          <w:tcPr>
            <w:tcW w:w="4876" w:type="dxa"/>
            <w:tcBorders>
              <w:top w:val="nil"/>
              <w:left w:val="nil"/>
              <w:bottom w:val="nil"/>
              <w:right w:val="nil"/>
            </w:tcBorders>
          </w:tcPr>
          <w:p w:rsidR="00AD1C9F" w:rsidRPr="00D22B1F" w:rsidRDefault="00AD1C9F" w:rsidP="001D56B6">
            <w:pPr>
              <w:pStyle w:val="Normal6a"/>
            </w:pPr>
            <w:r w:rsidRPr="00D22B1F">
              <w:t>1.</w:t>
            </w:r>
            <w:r w:rsidRPr="00D22B1F">
              <w:tab/>
            </w:r>
            <w:r w:rsidRPr="00D22B1F">
              <w:rPr>
                <w:b/>
                <w:bCs/>
                <w:i/>
                <w:iCs/>
              </w:rPr>
              <w:t>Uiterlijk</w:t>
            </w:r>
            <w:r w:rsidRPr="00D22B1F">
              <w:t xml:space="preserve"> [zes jaar na de inwerkingtreding van deze verordening] </w:t>
            </w:r>
            <w:r w:rsidRPr="00D22B1F">
              <w:rPr>
                <w:b/>
                <w:bCs/>
                <w:i/>
                <w:iCs/>
              </w:rPr>
              <w:t>en vervolgens om de zes jaar</w:t>
            </w:r>
            <w:r w:rsidRPr="00D22B1F">
              <w:t xml:space="preserve"> voert de Commissie een evaluatie van deze verordening uit en brengt zij over de belangrijkste bevindingen verslag uit aan het Europees Parlement, de Raad en het Europees Economisch en Sociaal Comité. In het verslag wordt met name aandacht besteed aan:</w:t>
            </w:r>
          </w:p>
        </w:tc>
      </w:tr>
    </w:tbl>
    <w:p w:rsidR="00AD1C9F" w:rsidRPr="00D22B1F" w:rsidRDefault="00AD1C9F" w:rsidP="00AD1C9F">
      <w:pPr>
        <w:pStyle w:val="AmNumberTabs"/>
      </w:pPr>
      <w:r w:rsidRPr="00D22B1F">
        <w:t>Amendement</w:t>
      </w:r>
      <w:r w:rsidRPr="00D22B1F">
        <w:tab/>
      </w:r>
      <w:r w:rsidRPr="00D22B1F">
        <w:tab/>
        <w:t>18</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13 – lid 1 – punt d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p>
        </w:tc>
        <w:tc>
          <w:tcPr>
            <w:tcW w:w="4876" w:type="dxa"/>
            <w:tcBorders>
              <w:top w:val="nil"/>
              <w:left w:val="nil"/>
              <w:bottom w:val="nil"/>
              <w:right w:val="nil"/>
            </w:tcBorders>
          </w:tcPr>
          <w:p w:rsidR="00AD1C9F" w:rsidRPr="00D22B1F" w:rsidRDefault="00AD1C9F" w:rsidP="001D56B6">
            <w:pPr>
              <w:pStyle w:val="Normal6a"/>
            </w:pPr>
            <w:r w:rsidRPr="00D22B1F">
              <w:rPr>
                <w:b/>
                <w:i/>
              </w:rPr>
              <w:t>d bis)</w:t>
            </w:r>
            <w:r w:rsidRPr="00D22B1F">
              <w:tab/>
            </w:r>
            <w:r w:rsidRPr="00D22B1F">
              <w:rPr>
                <w:b/>
                <w:i/>
              </w:rPr>
              <w:t xml:space="preserve">de noodzaak om gemeenschappelijke </w:t>
            </w:r>
            <w:r w:rsidRPr="00D22B1F">
              <w:rPr>
                <w:b/>
                <w:i/>
              </w:rPr>
              <w:lastRenderedPageBreak/>
              <w:t>veiligheidskenmerken van identiteitsdocumenten die voorlopig worden verstrekt in te voeren met het oog op een betere erkenning ervan;</w:t>
            </w:r>
          </w:p>
        </w:tc>
      </w:tr>
    </w:tbl>
    <w:p w:rsidR="00AD1C9F" w:rsidRPr="00D22B1F" w:rsidRDefault="00AD1C9F" w:rsidP="00AD1C9F">
      <w:pPr>
        <w:pStyle w:val="AmNumberTabs"/>
      </w:pPr>
      <w:r w:rsidRPr="00D22B1F">
        <w:lastRenderedPageBreak/>
        <w:t>Amendement</w:t>
      </w:r>
      <w:r w:rsidRPr="00D22B1F">
        <w:tab/>
      </w:r>
      <w:r w:rsidRPr="00D22B1F">
        <w:tab/>
        <w:t>19</w:t>
      </w:r>
    </w:p>
    <w:p w:rsidR="00AD1C9F" w:rsidRPr="00D22B1F" w:rsidRDefault="00AD1C9F" w:rsidP="00AD1C9F">
      <w:pPr>
        <w:pStyle w:val="NormalBold12b"/>
      </w:pPr>
      <w:r w:rsidRPr="00D22B1F">
        <w:t>Voorstel voor een verordening</w:t>
      </w:r>
    </w:p>
    <w:p w:rsidR="00AD1C9F" w:rsidRPr="00D22B1F" w:rsidRDefault="00AD1C9F" w:rsidP="00AD1C9F">
      <w:pPr>
        <w:pStyle w:val="NormalBold"/>
      </w:pPr>
      <w:r w:rsidRPr="00D22B1F">
        <w:t>Artikel 13 – lid 1 – punt d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C9F" w:rsidRPr="00D22B1F" w:rsidTr="001D56B6">
        <w:trPr>
          <w:trHeight w:hRule="exact" w:val="240"/>
          <w:jc w:val="center"/>
        </w:trPr>
        <w:tc>
          <w:tcPr>
            <w:tcW w:w="9752" w:type="dxa"/>
            <w:gridSpan w:val="2"/>
            <w:tcBorders>
              <w:top w:val="nil"/>
              <w:left w:val="nil"/>
              <w:bottom w:val="nil"/>
              <w:right w:val="nil"/>
            </w:tcBorders>
          </w:tcPr>
          <w:p w:rsidR="00AD1C9F" w:rsidRPr="00D22B1F" w:rsidRDefault="00AD1C9F" w:rsidP="001D56B6"/>
        </w:tc>
      </w:tr>
      <w:tr w:rsidR="00AD1C9F" w:rsidRPr="00D22B1F" w:rsidTr="001D56B6">
        <w:trPr>
          <w:trHeight w:val="240"/>
          <w:jc w:val="center"/>
        </w:trPr>
        <w:tc>
          <w:tcPr>
            <w:tcW w:w="4876" w:type="dxa"/>
            <w:tcBorders>
              <w:top w:val="nil"/>
              <w:left w:val="nil"/>
              <w:bottom w:val="nil"/>
              <w:right w:val="nil"/>
            </w:tcBorders>
          </w:tcPr>
          <w:p w:rsidR="00AD1C9F" w:rsidRPr="00D22B1F" w:rsidRDefault="00AD1C9F" w:rsidP="001D56B6">
            <w:pPr>
              <w:pStyle w:val="AmColumnHeading"/>
            </w:pPr>
            <w:r w:rsidRPr="00D22B1F">
              <w:t>Door de Commissie voorgestelde tekst</w:t>
            </w:r>
          </w:p>
        </w:tc>
        <w:tc>
          <w:tcPr>
            <w:tcW w:w="4876" w:type="dxa"/>
            <w:tcBorders>
              <w:top w:val="nil"/>
              <w:left w:val="nil"/>
              <w:bottom w:val="nil"/>
              <w:right w:val="nil"/>
            </w:tcBorders>
          </w:tcPr>
          <w:p w:rsidR="00AD1C9F" w:rsidRPr="00D22B1F" w:rsidRDefault="00AD1C9F" w:rsidP="001D56B6">
            <w:pPr>
              <w:pStyle w:val="AmColumnHeading"/>
            </w:pPr>
            <w:r w:rsidRPr="00D22B1F">
              <w:t>Amendement</w:t>
            </w:r>
          </w:p>
        </w:tc>
      </w:tr>
      <w:tr w:rsidR="00AD1C9F" w:rsidRPr="00D22B1F" w:rsidTr="001D56B6">
        <w:trPr>
          <w:jc w:val="center"/>
        </w:trPr>
        <w:tc>
          <w:tcPr>
            <w:tcW w:w="4876" w:type="dxa"/>
            <w:tcBorders>
              <w:top w:val="nil"/>
              <w:left w:val="nil"/>
              <w:bottom w:val="nil"/>
              <w:right w:val="nil"/>
            </w:tcBorders>
          </w:tcPr>
          <w:p w:rsidR="00AD1C9F" w:rsidRPr="00D22B1F" w:rsidRDefault="00AD1C9F" w:rsidP="001D56B6">
            <w:pPr>
              <w:pStyle w:val="Normal6a"/>
            </w:pPr>
          </w:p>
        </w:tc>
        <w:tc>
          <w:tcPr>
            <w:tcW w:w="4876" w:type="dxa"/>
            <w:tcBorders>
              <w:top w:val="nil"/>
              <w:left w:val="nil"/>
              <w:bottom w:val="nil"/>
              <w:right w:val="nil"/>
            </w:tcBorders>
          </w:tcPr>
          <w:p w:rsidR="00AD1C9F" w:rsidRPr="00D22B1F" w:rsidRDefault="00AD1C9F" w:rsidP="001D56B6">
            <w:pPr>
              <w:pStyle w:val="Normal6a"/>
            </w:pPr>
            <w:r w:rsidRPr="00D22B1F">
              <w:rPr>
                <w:b/>
                <w:i/>
              </w:rPr>
              <w:t>d ter)</w:t>
            </w:r>
            <w:r w:rsidRPr="00D22B1F">
              <w:tab/>
            </w:r>
            <w:r w:rsidRPr="00D22B1F">
              <w:rPr>
                <w:b/>
                <w:i/>
              </w:rPr>
              <w:t>de noodzaak om de veiligheidskenmerken van verblijfsdocumenten verder te harmoniseren.</w:t>
            </w:r>
          </w:p>
        </w:tc>
      </w:tr>
    </w:tbl>
    <w:p w:rsidR="00E365E1" w:rsidRPr="00D22B1F" w:rsidRDefault="00E365E1" w:rsidP="0009289C"/>
    <w:sectPr w:rsidR="00E365E1" w:rsidRPr="00D22B1F" w:rsidSect="009426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89C" w:rsidRPr="00942623" w:rsidRDefault="0009289C">
      <w:r w:rsidRPr="00942623">
        <w:separator/>
      </w:r>
    </w:p>
  </w:endnote>
  <w:endnote w:type="continuationSeparator" w:id="0">
    <w:p w:rsidR="0009289C" w:rsidRPr="00942623" w:rsidRDefault="0009289C">
      <w:r w:rsidRPr="009426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26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26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26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89C" w:rsidRPr="00942623" w:rsidRDefault="0009289C">
      <w:r w:rsidRPr="00942623">
        <w:separator/>
      </w:r>
    </w:p>
  </w:footnote>
  <w:footnote w:type="continuationSeparator" w:id="0">
    <w:p w:rsidR="0009289C" w:rsidRPr="00942623" w:rsidRDefault="0009289C">
      <w:r w:rsidRPr="009426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26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26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26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NL"/>
    <w:docVar w:name="dvnumam" w:val="19"/>
    <w:docVar w:name="dvpe" w:val="766.606"/>
    <w:docVar w:name="dvrapporteur" w:val="Rapporteur: "/>
    <w:docVar w:name="dvstar" w:val="*"/>
    <w:docVar w:name="dvtitre" w:val="Wetgevingsresolutie van het Europees Parlement van xx april 2025 over het voorstel voor een verordening van de Raad betreffende de versterking van de beveiliging van identiteitskaarten van burgers van de Unie en van verblijfsdocumenten afgegeven aan burgers van de Unie en hun familieleden die hun recht van vrij verkeer uitoefenen(COM(2024)0316 – C10-0112/2024 – 2024/0187(CNS))"/>
  </w:docVars>
  <w:rsids>
    <w:rsidRoot w:val="0009289C"/>
    <w:rsid w:val="00002272"/>
    <w:rsid w:val="00064002"/>
    <w:rsid w:val="000677B9"/>
    <w:rsid w:val="000831BA"/>
    <w:rsid w:val="0009289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9CD"/>
    <w:rsid w:val="006631B6"/>
    <w:rsid w:val="00680577"/>
    <w:rsid w:val="006F74FA"/>
    <w:rsid w:val="00710EC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623"/>
    <w:rsid w:val="009509D8"/>
    <w:rsid w:val="00950B64"/>
    <w:rsid w:val="00981893"/>
    <w:rsid w:val="00A07DA2"/>
    <w:rsid w:val="00A1687D"/>
    <w:rsid w:val="00A43E52"/>
    <w:rsid w:val="00A4678D"/>
    <w:rsid w:val="00A778C7"/>
    <w:rsid w:val="00A9423C"/>
    <w:rsid w:val="00AB441E"/>
    <w:rsid w:val="00AB6293"/>
    <w:rsid w:val="00AD1C9F"/>
    <w:rsid w:val="00AE0928"/>
    <w:rsid w:val="00AF3B82"/>
    <w:rsid w:val="00B12E95"/>
    <w:rsid w:val="00B22876"/>
    <w:rsid w:val="00B558F0"/>
    <w:rsid w:val="00BD48FE"/>
    <w:rsid w:val="00BD7BD8"/>
    <w:rsid w:val="00BE6ADC"/>
    <w:rsid w:val="00C036F0"/>
    <w:rsid w:val="00C05BFE"/>
    <w:rsid w:val="00C23CD4"/>
    <w:rsid w:val="00C61C0C"/>
    <w:rsid w:val="00C941CB"/>
    <w:rsid w:val="00CC2357"/>
    <w:rsid w:val="00CF071A"/>
    <w:rsid w:val="00D058B8"/>
    <w:rsid w:val="00D22B1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B4542"/>
  <w15:chartTrackingRefBased/>
  <w15:docId w15:val="{414702E0-872B-46DB-9B3E-27F2734AC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D1C9F"/>
    <w:pPr>
      <w:spacing w:before="480" w:after="240"/>
    </w:pPr>
  </w:style>
  <w:style w:type="paragraph" w:customStyle="1" w:styleId="NormalBold">
    <w:name w:val="NormalBold"/>
    <w:basedOn w:val="Normal"/>
    <w:link w:val="NormalBoldChar"/>
    <w:rsid w:val="00AD1C9F"/>
    <w:rPr>
      <w:b/>
    </w:rPr>
  </w:style>
  <w:style w:type="paragraph" w:customStyle="1" w:styleId="NormalHanging12a">
    <w:name w:val="NormalHanging12a"/>
    <w:basedOn w:val="Normal"/>
    <w:rsid w:val="00AD1C9F"/>
    <w:pPr>
      <w:spacing w:after="240"/>
      <w:ind w:left="567" w:hanging="567"/>
    </w:pPr>
  </w:style>
  <w:style w:type="paragraph" w:customStyle="1" w:styleId="Normal6a">
    <w:name w:val="Normal6a"/>
    <w:basedOn w:val="Normal"/>
    <w:rsid w:val="00AD1C9F"/>
    <w:pPr>
      <w:spacing w:after="120"/>
    </w:pPr>
  </w:style>
  <w:style w:type="paragraph" w:customStyle="1" w:styleId="AmColumnHeading">
    <w:name w:val="AmColumnHeading"/>
    <w:basedOn w:val="Normal"/>
    <w:rsid w:val="00AD1C9F"/>
    <w:pPr>
      <w:spacing w:after="240"/>
      <w:jc w:val="center"/>
    </w:pPr>
    <w:rPr>
      <w:i/>
    </w:rPr>
  </w:style>
  <w:style w:type="paragraph" w:customStyle="1" w:styleId="AmNumberTabs">
    <w:name w:val="AmNumberTabs"/>
    <w:basedOn w:val="Normal"/>
    <w:link w:val="AmNumberTabsChar"/>
    <w:rsid w:val="00AD1C9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D1C9F"/>
    <w:pPr>
      <w:spacing w:before="240"/>
    </w:pPr>
    <w:rPr>
      <w:b/>
    </w:rPr>
  </w:style>
  <w:style w:type="paragraph" w:customStyle="1" w:styleId="Normal6">
    <w:name w:val="Normal6"/>
    <w:basedOn w:val="Normal"/>
    <w:link w:val="Normal6Char"/>
    <w:rsid w:val="00AD1C9F"/>
    <w:pPr>
      <w:spacing w:after="120"/>
    </w:pPr>
  </w:style>
  <w:style w:type="character" w:customStyle="1" w:styleId="NormalBoldChar">
    <w:name w:val="NormalBold Char"/>
    <w:basedOn w:val="DefaultParagraphFont"/>
    <w:link w:val="NormalBold"/>
    <w:rsid w:val="00AD1C9F"/>
    <w:rPr>
      <w:b/>
      <w:sz w:val="24"/>
      <w:lang w:val="nl-NL"/>
    </w:rPr>
  </w:style>
  <w:style w:type="character" w:customStyle="1" w:styleId="Normal6Char">
    <w:name w:val="Normal6 Char"/>
    <w:basedOn w:val="DefaultParagraphFont"/>
    <w:link w:val="Normal6"/>
    <w:rsid w:val="00AD1C9F"/>
    <w:rPr>
      <w:sz w:val="24"/>
      <w:lang w:val="nl-NL"/>
    </w:rPr>
  </w:style>
  <w:style w:type="paragraph" w:customStyle="1" w:styleId="ColumnHeading">
    <w:name w:val="ColumnHeading"/>
    <w:basedOn w:val="Normal"/>
    <w:rsid w:val="00AD1C9F"/>
    <w:pPr>
      <w:spacing w:after="240"/>
      <w:jc w:val="center"/>
    </w:pPr>
    <w:rPr>
      <w:i/>
    </w:rPr>
  </w:style>
  <w:style w:type="character" w:customStyle="1" w:styleId="NormalBold12bChar">
    <w:name w:val="NormalBold12b Char"/>
    <w:basedOn w:val="DefaultParagraphFont"/>
    <w:link w:val="NormalBold12b"/>
    <w:rsid w:val="00AD1C9F"/>
    <w:rPr>
      <w:b/>
      <w:sz w:val="24"/>
      <w:lang w:val="nl-NL"/>
    </w:rPr>
  </w:style>
  <w:style w:type="character" w:customStyle="1" w:styleId="AmNumberTabsChar">
    <w:name w:val="AmNumberTabs Char"/>
    <w:basedOn w:val="DefaultParagraphFont"/>
    <w:link w:val="AmNumberTabs"/>
    <w:rsid w:val="00AD1C9F"/>
    <w:rPr>
      <w:b/>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C6A09-1CC0-4B9B-B99D-DA55E06A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2696</Words>
  <Characters>16679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2025-05-19T14:19:00Z</dcterms:created>
  <dcterms:modified xsi:type="dcterms:W3CDTF">2025-05-19T14:19:00Z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P10_TA(2025)0056_</vt:lpwstr>
  </property>
  <property fmtid="{D5CDD505-2E9C-101B-9397-08002B2CF9AE}" pid="4" name="&lt;Type&gt;">
    <vt:lpwstr>RR</vt:lpwstr>
  </property>
</Properties>
</file>