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4F1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4F15" w:rsidRDefault="00571504" w:rsidP="0010095E">
            <w:pPr>
              <w:pStyle w:val="EPName"/>
            </w:pPr>
            <w:r w:rsidRPr="00924F15">
              <w:t>Parlament Europejski</w:t>
            </w:r>
          </w:p>
          <w:p w:rsidR="00751A4A" w:rsidRPr="00924F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4F15">
              <w:t>2024</w:t>
            </w:r>
            <w:r w:rsidR="00817416" w:rsidRPr="00924F15">
              <w:t>-202</w:t>
            </w:r>
            <w:r w:rsidRPr="00924F1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24F15" w:rsidRDefault="00187494" w:rsidP="0010095E">
            <w:pPr>
              <w:pStyle w:val="EPLogo"/>
            </w:pPr>
            <w:r w:rsidRPr="00924F1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4F15" w:rsidRDefault="00D058B8" w:rsidP="004C5D52">
      <w:pPr>
        <w:pStyle w:val="LineTop"/>
      </w:pPr>
    </w:p>
    <w:p w:rsidR="00680577" w:rsidRPr="00924F15" w:rsidRDefault="00571504" w:rsidP="00680577">
      <w:pPr>
        <w:pStyle w:val="EPBodyTA1"/>
      </w:pPr>
      <w:r w:rsidRPr="00924F15">
        <w:t>TEKSTY PRZYJĘTE</w:t>
      </w:r>
    </w:p>
    <w:p w:rsidR="00D058B8" w:rsidRPr="00924F15" w:rsidRDefault="00D058B8" w:rsidP="00D058B8">
      <w:pPr>
        <w:pStyle w:val="LineBottom"/>
      </w:pPr>
    </w:p>
    <w:p w:rsidR="00571504" w:rsidRPr="00924F15" w:rsidRDefault="00571504" w:rsidP="00571504">
      <w:pPr>
        <w:pStyle w:val="ATHeading1"/>
      </w:pPr>
      <w:bookmarkStart w:id="0" w:name="TANumber"/>
      <w:r w:rsidRPr="00924F15">
        <w:t>P10_TA(2025)00</w:t>
      </w:r>
      <w:bookmarkEnd w:id="0"/>
      <w:r w:rsidR="00302968">
        <w:t>56</w:t>
      </w:r>
    </w:p>
    <w:p w:rsidR="00571504" w:rsidRPr="00924F15" w:rsidRDefault="00571504" w:rsidP="00571504">
      <w:pPr>
        <w:pStyle w:val="ATHeading2"/>
      </w:pPr>
      <w:bookmarkStart w:id="1" w:name="title"/>
      <w:r w:rsidRPr="00924F15">
        <w:t>Poprawa zabezpieczeń dowodów osobistych obywateli Unii i dokumentów pobytowych wydawanych</w:t>
      </w:r>
      <w:r w:rsidR="00B41932">
        <w:t xml:space="preserve"> </w:t>
      </w:r>
      <w:r w:rsidRPr="00924F15">
        <w:t>obywatelom UE i członkom ich rodzin korzystającym z prawa do swobodnego przemieszczania się</w:t>
      </w:r>
      <w:bookmarkEnd w:id="1"/>
    </w:p>
    <w:p w:rsidR="00571504" w:rsidRPr="00924F15" w:rsidRDefault="00571504" w:rsidP="00571504">
      <w:pPr>
        <w:rPr>
          <w:i/>
          <w:vanish/>
        </w:rPr>
      </w:pPr>
      <w:r w:rsidRPr="00924F15">
        <w:rPr>
          <w:i/>
        </w:rPr>
        <w:fldChar w:fldCharType="begin"/>
      </w:r>
      <w:r w:rsidRPr="00924F15">
        <w:rPr>
          <w:i/>
        </w:rPr>
        <w:instrText xml:space="preserve"> TC"(</w:instrText>
      </w:r>
      <w:bookmarkStart w:id="2" w:name="DocNumber"/>
      <w:r w:rsidRPr="00924F15">
        <w:rPr>
          <w:i/>
        </w:rPr>
        <w:instrText>A10-0041/2025</w:instrText>
      </w:r>
      <w:bookmarkEnd w:id="2"/>
      <w:r w:rsidRPr="00924F15">
        <w:rPr>
          <w:i/>
        </w:rPr>
        <w:instrText xml:space="preserve"> - Sprawozdawca: Malik Azmani)"\l3 \n&gt; \* MERGEFORMAT </w:instrText>
      </w:r>
      <w:r w:rsidRPr="00924F15">
        <w:rPr>
          <w:i/>
        </w:rPr>
        <w:fldChar w:fldCharType="end"/>
      </w:r>
    </w:p>
    <w:p w:rsidR="00571504" w:rsidRPr="00924F15" w:rsidRDefault="00571504" w:rsidP="00571504">
      <w:pPr>
        <w:rPr>
          <w:vanish/>
        </w:rPr>
      </w:pPr>
      <w:bookmarkStart w:id="3" w:name="Commission"/>
      <w:r w:rsidRPr="00924F15">
        <w:rPr>
          <w:vanish/>
        </w:rPr>
        <w:t>Komisja Wolności Obywatelskich, Sprawiedliwości i Spraw Wewnętrznych</w:t>
      </w:r>
      <w:bookmarkEnd w:id="3"/>
    </w:p>
    <w:p w:rsidR="00571504" w:rsidRPr="00924F15" w:rsidRDefault="00571504" w:rsidP="00571504">
      <w:pPr>
        <w:rPr>
          <w:vanish/>
        </w:rPr>
      </w:pPr>
      <w:bookmarkStart w:id="4" w:name="PE"/>
      <w:r w:rsidRPr="00924F15">
        <w:rPr>
          <w:vanish/>
        </w:rPr>
        <w:t>PE766.606</w:t>
      </w:r>
      <w:bookmarkEnd w:id="4"/>
    </w:p>
    <w:p w:rsidR="00571504" w:rsidRPr="00924F15" w:rsidRDefault="00571504" w:rsidP="00571504">
      <w:pPr>
        <w:pStyle w:val="ATHeading3"/>
      </w:pPr>
      <w:bookmarkStart w:id="5" w:name="Sujet"/>
      <w:r w:rsidRPr="00924F15">
        <w:t xml:space="preserve">Rezolucja ustawodawcza Parlamentu Europejskiego z dnia </w:t>
      </w:r>
      <w:r w:rsidR="00302968">
        <w:t>2</w:t>
      </w:r>
      <w:r w:rsidRPr="00924F15">
        <w:t xml:space="preserve"> </w:t>
      </w:r>
      <w:r w:rsidR="00B41932">
        <w:t xml:space="preserve">kwietnia </w:t>
      </w:r>
      <w:r w:rsidRPr="00924F15">
        <w:t>2025 r. w sprawie wniosku dotyczącego rozporządzenia Rady w sprawie poprawy zabezpieczeń dowodów osobistych obywateli Unii i dokumentów pobytowych wydawanych obywatelom Unii i członkom ich rodzin korzystającym z prawa do swobodnego przemieszczania się</w:t>
      </w:r>
      <w:bookmarkEnd w:id="5"/>
      <w:r w:rsidRPr="00924F15">
        <w:t xml:space="preserve"> </w:t>
      </w:r>
      <w:bookmarkStart w:id="6" w:name="References"/>
      <w:r w:rsidRPr="00924F15">
        <w:t>(COM(2024)0316 – C10-0112/2024 – 2024/0187(CNS))</w:t>
      </w:r>
      <w:bookmarkEnd w:id="6"/>
    </w:p>
    <w:p w:rsidR="004B26A5" w:rsidRPr="00924F15" w:rsidRDefault="004B26A5" w:rsidP="004B26A5">
      <w:pPr>
        <w:pStyle w:val="NormalBold"/>
      </w:pPr>
      <w:r w:rsidRPr="00924F15">
        <w:t>(Specjalna procedura ustawodawcza – konsultacja)</w:t>
      </w:r>
    </w:p>
    <w:p w:rsidR="004B26A5" w:rsidRPr="00924F15" w:rsidRDefault="004B26A5" w:rsidP="004B26A5">
      <w:pPr>
        <w:pStyle w:val="EPComma"/>
      </w:pPr>
      <w:r w:rsidRPr="00924F15">
        <w:rPr>
          <w:i/>
        </w:rPr>
        <w:t>Parlament Europejski</w:t>
      </w:r>
      <w:r w:rsidRPr="00924F15">
        <w:t>,</w:t>
      </w:r>
    </w:p>
    <w:p w:rsidR="004B26A5" w:rsidRPr="00924F15" w:rsidRDefault="004B26A5" w:rsidP="004B26A5">
      <w:pPr>
        <w:pStyle w:val="NormalHanging12a"/>
      </w:pPr>
      <w:r w:rsidRPr="00924F15">
        <w:t>–</w:t>
      </w:r>
      <w:r w:rsidRPr="00924F15">
        <w:tab/>
        <w:t>uwzględniając wniosek Komisji przedstawiony Radzie (COM(2024)0316),</w:t>
      </w:r>
    </w:p>
    <w:p w:rsidR="004B26A5" w:rsidRPr="00924F15" w:rsidRDefault="004B26A5" w:rsidP="004B26A5">
      <w:pPr>
        <w:pStyle w:val="NormalHanging12a"/>
      </w:pPr>
      <w:r w:rsidRPr="00924F15">
        <w:t>–</w:t>
      </w:r>
      <w:r w:rsidRPr="00924F15">
        <w:tab/>
        <w:t>uwzględniając art. 77 ust. 3 Traktatu o funkcjonowaniu Unii Europejskiej, na mocy którego Rada skonsultowała się z Parlamentem (C10-0112/2024),</w:t>
      </w:r>
    </w:p>
    <w:p w:rsidR="004B26A5" w:rsidRPr="00924F15" w:rsidRDefault="004B26A5" w:rsidP="004B26A5">
      <w:pPr>
        <w:pStyle w:val="NormalHanging12a"/>
      </w:pPr>
      <w:r w:rsidRPr="00924F15">
        <w:t>–</w:t>
      </w:r>
      <w:r w:rsidRPr="00924F15">
        <w:tab/>
        <w:t>uwzględniając art. 84 Regulaminu,</w:t>
      </w:r>
    </w:p>
    <w:p w:rsidR="004B26A5" w:rsidRPr="00924F15" w:rsidRDefault="004B26A5" w:rsidP="004B26A5">
      <w:pPr>
        <w:pStyle w:val="NormalHanging12a"/>
      </w:pPr>
      <w:r w:rsidRPr="00924F15">
        <w:t>–</w:t>
      </w:r>
      <w:r w:rsidRPr="00924F15">
        <w:tab/>
        <w:t>uwzględniając sprawozdanie Komisji Wolności Obywatelskich, Sprawiedliwości i Spraw Wewnętrznych (A10-0041/2025),</w:t>
      </w:r>
      <w:bookmarkStart w:id="7" w:name="_GoBack"/>
      <w:bookmarkEnd w:id="7"/>
    </w:p>
    <w:p w:rsidR="004B26A5" w:rsidRPr="00924F15" w:rsidRDefault="004B26A5" w:rsidP="004B26A5">
      <w:pPr>
        <w:pStyle w:val="NormalHanging12a"/>
      </w:pPr>
      <w:r w:rsidRPr="00924F15">
        <w:t>1.</w:t>
      </w:r>
      <w:r w:rsidRPr="00924F15">
        <w:tab/>
        <w:t>zatwierdza po poprawkach wniosek Komisji;</w:t>
      </w:r>
    </w:p>
    <w:p w:rsidR="004B26A5" w:rsidRPr="00924F15" w:rsidRDefault="004B26A5" w:rsidP="004B26A5">
      <w:pPr>
        <w:pStyle w:val="NormalHanging12a"/>
      </w:pPr>
      <w:r w:rsidRPr="00924F15">
        <w:t>2.</w:t>
      </w:r>
      <w:r w:rsidRPr="00924F15">
        <w:tab/>
        <w:t>zwraca się do Komisji o odpowiednią zmianę jej wniosku, zgodnie z art. 293 ust. 2 Traktatu o funkcjonowaniu Unii Europejskiej;</w:t>
      </w:r>
    </w:p>
    <w:p w:rsidR="004B26A5" w:rsidRPr="00924F15" w:rsidRDefault="004B26A5" w:rsidP="004B26A5">
      <w:pPr>
        <w:pStyle w:val="NormalHanging12a"/>
      </w:pPr>
      <w:r w:rsidRPr="00924F15">
        <w:t>3.</w:t>
      </w:r>
      <w:r w:rsidRPr="00924F15">
        <w:tab/>
        <w:t>zwraca się do Rady o poinformowanie go, jeśli uzna ona za stosowne odejście od tekstu przyjętego przez Parlament;</w:t>
      </w:r>
    </w:p>
    <w:p w:rsidR="004B26A5" w:rsidRPr="00924F15" w:rsidRDefault="004B26A5" w:rsidP="004B26A5">
      <w:pPr>
        <w:pStyle w:val="NormalHanging12a"/>
      </w:pPr>
      <w:r w:rsidRPr="00924F15">
        <w:t>4.</w:t>
      </w:r>
      <w:r w:rsidRPr="00924F15">
        <w:tab/>
        <w:t>zwraca się do Rady o ponowne skonsultowanie się z Parlamentem, jeśli uzna ona za stosowne wprowadzenie znaczących zmian do wniosku Komisji;</w:t>
      </w:r>
    </w:p>
    <w:p w:rsidR="004B26A5" w:rsidRPr="00924F15" w:rsidRDefault="004B26A5" w:rsidP="004B26A5">
      <w:pPr>
        <w:pStyle w:val="NormalHanging12a"/>
      </w:pPr>
      <w:r w:rsidRPr="00924F15">
        <w:t>5.</w:t>
      </w:r>
      <w:r w:rsidRPr="00924F15">
        <w:tab/>
        <w:t>zobowiązuje swoją przewodniczącą do przekazania stanowiska Parlamentu Radzie i Komisji oraz parlamentom narodowym.</w:t>
      </w:r>
    </w:p>
    <w:p w:rsidR="004B26A5" w:rsidRPr="00924F15" w:rsidRDefault="004B26A5" w:rsidP="004B26A5"/>
    <w:p w:rsidR="004B26A5" w:rsidRPr="00924F15" w:rsidRDefault="004B26A5" w:rsidP="004B26A5">
      <w:pPr>
        <w:pStyle w:val="AmNumberTabs"/>
        <w:keepNext/>
      </w:pPr>
      <w:r w:rsidRPr="00924F15">
        <w:t>Poprawka</w:t>
      </w:r>
      <w:r w:rsidRPr="00924F15">
        <w:tab/>
      </w:r>
      <w:r w:rsidRPr="00924F15">
        <w:tab/>
        <w:t>1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Motyw 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(19)</w:t>
            </w:r>
            <w:r w:rsidRPr="00924F15">
              <w:tab/>
              <w:t>Niniejsze rozporządzenie nie stanowi podstawy prawnej ustanowienia lub prowadzenia na</w:t>
            </w:r>
            <w:r w:rsidRPr="00924F15">
              <w:rPr>
                <w:b/>
                <w:i/>
              </w:rPr>
              <w:t> </w:t>
            </w:r>
            <w:r w:rsidRPr="00924F15">
              <w:t>szczeblu krajowym baz danych do</w:t>
            </w:r>
            <w:r w:rsidRPr="00924F15">
              <w:rPr>
                <w:b/>
                <w:i/>
              </w:rPr>
              <w:t> </w:t>
            </w:r>
            <w:r w:rsidRPr="00924F15">
              <w:t>celów przechowywania danych biometrycznych w</w:t>
            </w:r>
            <w:r w:rsidRPr="00924F15">
              <w:rPr>
                <w:b/>
                <w:i/>
              </w:rPr>
              <w:t> </w:t>
            </w:r>
            <w:r w:rsidRPr="00924F15">
              <w:t>państwach członkowskich</w:t>
            </w:r>
            <w:r w:rsidRPr="00924F15">
              <w:rPr>
                <w:b/>
                <w:i/>
              </w:rPr>
              <w:t>, gdyż podstawę taką powinno stanowić prawo krajowe, które musi być zgodne z</w:t>
            </w:r>
            <w:r w:rsidRPr="00924F15">
              <w:t> </w:t>
            </w:r>
            <w:r w:rsidRPr="00924F15">
              <w:rPr>
                <w:b/>
                <w:i/>
              </w:rPr>
              <w:t>prawem</w:t>
            </w:r>
            <w:r w:rsidRPr="00924F15">
              <w:t xml:space="preserve"> Unii</w:t>
            </w:r>
            <w:r w:rsidRPr="00924F15">
              <w:rPr>
                <w:b/>
                <w:i/>
              </w:rPr>
              <w:t xml:space="preserve"> dotyczącym</w:t>
            </w:r>
            <w:r w:rsidRPr="00924F15">
              <w:t xml:space="preserve"> ochrony danych</w:t>
            </w:r>
            <w:r w:rsidRPr="00924F15">
              <w:rPr>
                <w:b/>
                <w:i/>
              </w:rPr>
              <w:t>,</w:t>
            </w:r>
            <w:r w:rsidRPr="00924F15">
              <w:t xml:space="preserve"> w </w:t>
            </w:r>
            <w:r w:rsidRPr="00924F15">
              <w:rPr>
                <w:b/>
                <w:i/>
              </w:rPr>
              <w:t>tym z wymogami w zakresie konieczności i proporcjonalności.</w:t>
            </w:r>
            <w:r w:rsidRPr="00924F15">
              <w:t xml:space="preserve"> </w:t>
            </w:r>
            <w:r w:rsidRPr="00924F15">
              <w:rPr>
                <w:b/>
                <w:i/>
              </w:rPr>
              <w:t>Ponadto niniejsze rozporządzenie nie stanowi podstawy prawnej stworzenia</w:t>
            </w:r>
            <w:r w:rsidRPr="00924F15">
              <w:t xml:space="preserve"> lub </w:t>
            </w:r>
            <w:r w:rsidRPr="00924F15">
              <w:rPr>
                <w:b/>
                <w:i/>
              </w:rPr>
              <w:t>prowadzenia</w:t>
            </w:r>
            <w:r w:rsidRPr="00924F15">
              <w:t xml:space="preserve"> scentralizowanej bazy danych na</w:t>
            </w:r>
            <w:r w:rsidRPr="00924F15">
              <w:rPr>
                <w:b/>
                <w:i/>
              </w:rPr>
              <w:t> </w:t>
            </w:r>
            <w:r w:rsidRPr="00924F15">
              <w:t>szczeblu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(19)</w:t>
            </w:r>
            <w:r w:rsidRPr="00924F15">
              <w:tab/>
              <w:t xml:space="preserve">Niniejsze rozporządzenie nie stanowi podstawy prawnej </w:t>
            </w:r>
            <w:r w:rsidRPr="00924F15">
              <w:rPr>
                <w:b/>
                <w:i/>
              </w:rPr>
              <w:t xml:space="preserve">do </w:t>
            </w:r>
            <w:r w:rsidRPr="00924F15">
              <w:t>ustanowienia lub prowadzenia na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szczeblu krajowym baz danych do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celów przechowywania danych biometrycznych w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państwach członkowskich</w:t>
            </w:r>
            <w:r w:rsidRPr="00924F15">
              <w:rPr>
                <w:b/>
                <w:i/>
              </w:rPr>
              <w:t>.</w:t>
            </w:r>
            <w:r w:rsidRPr="00924F15">
              <w:t xml:space="preserve"> </w:t>
            </w:r>
            <w:r w:rsidRPr="00924F15">
              <w:rPr>
                <w:b/>
                <w:i/>
              </w:rPr>
              <w:t>Ponadto niniejsze rozporządzenie nie stanowi podstawy prawnej do ustanowienia lub prowadzenia scentralizowanej bazy danych na</w:t>
            </w:r>
            <w:r w:rsidRPr="00924F15">
              <w:t> </w:t>
            </w:r>
            <w:r w:rsidRPr="00924F15">
              <w:rPr>
                <w:b/>
                <w:i/>
              </w:rPr>
              <w:t>szczeblu</w:t>
            </w:r>
            <w:r w:rsidRPr="00924F15">
              <w:t xml:space="preserve"> Unii</w:t>
            </w:r>
            <w:r w:rsidRPr="00924F15">
              <w:rPr>
                <w:b/>
                <w:i/>
              </w:rPr>
              <w:t>.</w:t>
            </w:r>
            <w:r w:rsidRPr="00924F15">
              <w:t xml:space="preserve"> </w:t>
            </w:r>
            <w:r w:rsidRPr="00924F15">
              <w:rPr>
                <w:b/>
                <w:i/>
              </w:rPr>
              <w:t>Jak przypomniał Europejski Inspektor Ochrony Danych w swojej opinii 21/2024, ustanowienie lub prowadzenie baz danych na szczeblu krajowym w celu przechowywania danych biometrycznych w państwach członkowskich, a także ustanowienie lub prowadzenie scentralizowanej bazy danych na szczeblu Unii oraz potencjalne wykorzystanie takich danych do innych celów, wymagałoby spełnienia kryterium ścisłej konieczności i proporcjonalności na podstawie Karty, zgodnie z wykładnią zawartą w odpowiednim orzecznictwie Trybunału Sprawiedliwości.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2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Motyw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6A5" w:rsidRPr="00924F15" w:rsidTr="00C70D06">
        <w:trPr>
          <w:jc w:val="center"/>
        </w:trPr>
        <w:tc>
          <w:tcPr>
            <w:tcW w:w="9752" w:type="dxa"/>
            <w:gridSpan w:val="2"/>
          </w:tcPr>
          <w:p w:rsidR="004B26A5" w:rsidRPr="00924F15" w:rsidRDefault="004B26A5" w:rsidP="00C70D06">
            <w:pPr>
              <w:keepNext/>
            </w:pP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Tekst proponowany przez Komisję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Normal6"/>
            </w:pPr>
            <w:r w:rsidRPr="00924F15">
              <w:t>(20)</w:t>
            </w:r>
            <w:r w:rsidRPr="00924F15">
              <w:tab/>
            </w:r>
            <w:r w:rsidRPr="00924F15">
              <w:rPr>
                <w:b/>
                <w:i/>
              </w:rPr>
              <w:t>Dane biometryczne powinny być gromadzone i przechowywane</w:t>
            </w:r>
            <w:r w:rsidRPr="00924F15">
              <w:t xml:space="preserve"> na</w:t>
            </w:r>
            <w:r w:rsidRPr="00924F15">
              <w:rPr>
                <w:b/>
                <w:i/>
              </w:rPr>
              <w:t> </w:t>
            </w:r>
            <w:r w:rsidRPr="00924F15">
              <w:t>nośniku danych dowodów osobistych i</w:t>
            </w:r>
            <w:r w:rsidRPr="00924F15">
              <w:rPr>
                <w:b/>
                <w:i/>
              </w:rPr>
              <w:t> </w:t>
            </w:r>
            <w:r w:rsidRPr="00924F15">
              <w:t xml:space="preserve">dokumentów pobytowych </w:t>
            </w:r>
            <w:r w:rsidRPr="00924F15">
              <w:rPr>
                <w:b/>
                <w:i/>
              </w:rPr>
              <w:t>do celów weryfikacji autentyczności dokumentu i tożsamości jego posiadacza.</w:t>
            </w:r>
            <w:r w:rsidRPr="00924F15">
              <w:rPr>
                <w:i/>
              </w:rPr>
              <w:t xml:space="preserve"> </w:t>
            </w:r>
            <w:r w:rsidRPr="00924F15">
              <w:rPr>
                <w:b/>
                <w:i/>
              </w:rPr>
              <w:t xml:space="preserve">Biorąc pod uwagę podpis elektroniczny na nośniku danych dowodów osobistych, identyfikacja posiadacza za pomocą danych na nośniku </w:t>
            </w:r>
            <w:r w:rsidRPr="00924F15">
              <w:rPr>
                <w:b/>
                <w:i/>
              </w:rPr>
              <w:lastRenderedPageBreak/>
              <w:t>pamięci, który zawiera te same dane personalizacyjne, co wydrukowane na dokumencie, jest bardziej wiarygodna niż kontrola wizualna dokumentu.</w:t>
            </w:r>
            <w:r w:rsidRPr="00924F15">
              <w:rPr>
                <w:i/>
              </w:rPr>
              <w:t xml:space="preserve"> </w:t>
            </w:r>
            <w:r w:rsidRPr="00924F15">
              <w:rPr>
                <w:b/>
                <w:i/>
              </w:rPr>
              <w:t>Obywatele Unii powinni zatem mieć możliwość korzystania z danych znajdujących się na nośniku ich dowodu osobistego, aby potwierdzić swoją tożsamość wobec podmiotów prywatnych. Weryfikacja odcisków palców przechowywanych na nośniku</w:t>
            </w:r>
            <w:r w:rsidRPr="00924F15">
              <w:t xml:space="preserve"> danych</w:t>
            </w:r>
            <w:r w:rsidRPr="00924F15">
              <w:rPr>
                <w:b/>
                <w:i/>
              </w:rPr>
              <w:t xml:space="preserve"> powinna być jednak przeprowadzana wyłącznie przez odpowiednio upoważniony personel i wyłącznie gdy prawo wymaga okazania dokumentu</w:t>
            </w:r>
            <w:r w:rsidRPr="00924F15">
              <w:t>.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Normal6"/>
              <w:rPr>
                <w:szCs w:val="24"/>
              </w:rPr>
            </w:pPr>
            <w:r w:rsidRPr="00924F15">
              <w:lastRenderedPageBreak/>
              <w:t>(20)</w:t>
            </w:r>
            <w:r w:rsidRPr="00924F15">
              <w:tab/>
            </w:r>
            <w:r w:rsidRPr="00924F15">
              <w:rPr>
                <w:b/>
                <w:i/>
              </w:rPr>
              <w:t>Do wizerunków twarzy przechowywanych</w:t>
            </w:r>
            <w:r w:rsidRPr="00924F15">
              <w:t xml:space="preserve"> na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nośniku danych dowodów osobistych i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 xml:space="preserve">dokumentów pobytowych </w:t>
            </w:r>
            <w:r w:rsidRPr="00924F15">
              <w:rPr>
                <w:b/>
                <w:i/>
              </w:rPr>
              <w:t>dostęp powinien mieć wyłącznie odpowiednio upoważniony personel właściwych organów krajowych, agencji Unii i podmiotów prywatnych do celów weryfikacji autentyczności dokumentu i weryfikacji tożsamości</w:t>
            </w:r>
            <w:r w:rsidRPr="00924F15">
              <w:t xml:space="preserve"> </w:t>
            </w:r>
            <w:r w:rsidRPr="00924F15">
              <w:lastRenderedPageBreak/>
              <w:t>posiadacza</w:t>
            </w:r>
            <w:r w:rsidRPr="00924F15">
              <w:rPr>
                <w:b/>
                <w:i/>
              </w:rPr>
              <w:t>. Dostęp taki powinien być zgodny z unijnymi przepisami o ochronie danych. Ponadto wizerunki twarzy nie powinny być zatrzymywane przez okres dłuższy,</w:t>
            </w:r>
            <w:r w:rsidRPr="00924F15">
              <w:t xml:space="preserve"> niż </w:t>
            </w:r>
            <w:r w:rsidRPr="00924F15">
              <w:rPr>
                <w:b/>
                <w:i/>
              </w:rPr>
              <w:t>jest to niezbędne do tych celów, powinny być usuwane niezwłocznie po osiągnięciu tych celów i nie powinny być przekazywane państwom trzecim ani organizacjom międzynarodowym, chyba że zezwalają na to unijne przepisy o ochronie</w:t>
            </w:r>
            <w:r w:rsidRPr="00924F15">
              <w:t xml:space="preserve"> danych</w:t>
            </w:r>
            <w:r w:rsidRPr="00924F15">
              <w:rPr>
                <w:b/>
                <w:i/>
              </w:rPr>
              <w:t>. Zabezpieczenia te mają zapewnić odpowiednią ochronę wizerunku twarzy bez jednoczesnego zakazywania korzystania z niego</w:t>
            </w:r>
            <w:r w:rsidRPr="00924F15">
              <w:t>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3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Motyw 20 a (nowy)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6A5" w:rsidRPr="00924F15" w:rsidTr="00C70D06">
        <w:trPr>
          <w:jc w:val="center"/>
        </w:trPr>
        <w:tc>
          <w:tcPr>
            <w:tcW w:w="9752" w:type="dxa"/>
            <w:gridSpan w:val="2"/>
          </w:tcPr>
          <w:p w:rsidR="004B26A5" w:rsidRPr="00924F15" w:rsidRDefault="004B26A5" w:rsidP="00C70D06">
            <w:pPr>
              <w:keepNext/>
            </w:pP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Tekst proponowany przez Komisję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Normal6"/>
            </w:pP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Normal6"/>
              <w:rPr>
                <w:b/>
                <w:i/>
                <w:szCs w:val="24"/>
              </w:rPr>
            </w:pPr>
            <w:r w:rsidRPr="00924F15">
              <w:rPr>
                <w:b/>
                <w:i/>
              </w:rPr>
              <w:t>(20a)</w:t>
            </w:r>
            <w:r w:rsidRPr="00924F15">
              <w:rPr>
                <w:b/>
                <w:i/>
              </w:rPr>
              <w:tab/>
              <w:t>Weryfikację odcisków palców przechowywanych na nośniku danych powinien przeprowadzać tylko odpowiednio upoważniony personel właściwych organów krajowych i agencji Unii, wyłącznie gdy okazania dokumentu wymaga prawo Unii lub prawo krajowe.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4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Motyw 23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(23)</w:t>
            </w:r>
            <w:r w:rsidRPr="00924F15">
              <w:tab/>
              <w:t xml:space="preserve">Państwa członkowskie powinny mieć możliwość podejmowania decyzji o włączeniu danych dotyczących płci danej osoby do dokumentu objętego niniejszym rozporządzeniem. Jeżeli państwo członkowskie uwzględnia płeć danej osoby w takim dokumencie, należy odpowiednio stosować właściwe wartości określone w dokumencie ICAO nr 9303: „F”, „M” lub „X” lub odpowiednią literę stosowaną </w:t>
            </w:r>
            <w:r w:rsidRPr="00924F15">
              <w:lastRenderedPageBreak/>
              <w:t>w języku lub językach danego państwa członkowskiego.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lastRenderedPageBreak/>
              <w:t>(23)</w:t>
            </w:r>
            <w:r w:rsidRPr="00924F15">
              <w:tab/>
            </w:r>
            <w:r w:rsidRPr="00924F15">
              <w:rPr>
                <w:b/>
                <w:i/>
              </w:rPr>
              <w:t>Z zastrzeżeniem orzecznictwa Trybunału Sprawiedliwości</w:t>
            </w:r>
            <w:r w:rsidRPr="00924F15">
              <w:rPr>
                <w:b/>
                <w:i/>
                <w:vertAlign w:val="superscript"/>
              </w:rPr>
              <w:t>1a</w:t>
            </w:r>
            <w:r w:rsidRPr="00924F15">
              <w:t xml:space="preserve"> państwa członkowskie powinny mieć możliwość podejmowania decyzji o włączeniu danych dotyczących płci danej osoby do dokumentu objętego niniejszym rozporządzeniem. Jeżeli państwo członkowskie uwzględnia płeć danej osoby w takim dokumencie, należy odpowiednio stosować właściwe wartości określone </w:t>
            </w:r>
            <w:r w:rsidRPr="00924F15">
              <w:lastRenderedPageBreak/>
              <w:t>w dokumencie ICAO nr 9303: „F”, „M” lub „X” lub odpowiednią literę stosowaną w języku lub językach danego państwa członkowskiego.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_________________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  <w:vertAlign w:val="superscript"/>
              </w:rPr>
              <w:t>1a</w:t>
            </w:r>
            <w:r w:rsidRPr="00924F15">
              <w:rPr>
                <w:b/>
                <w:i/>
              </w:rPr>
              <w:t xml:space="preserve"> Wyrok Trybunału Sprawiedliwości z dnia 4 października 2024 r. w sprawie C‑4/23 [Mirin], ECLI:EU:C:2024:845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5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Motyw 26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6A5" w:rsidRPr="00924F15" w:rsidTr="00C70D06">
        <w:trPr>
          <w:jc w:val="center"/>
        </w:trPr>
        <w:tc>
          <w:tcPr>
            <w:tcW w:w="9752" w:type="dxa"/>
            <w:gridSpan w:val="2"/>
          </w:tcPr>
          <w:p w:rsidR="004B26A5" w:rsidRPr="00924F15" w:rsidRDefault="004B26A5" w:rsidP="00C70D06">
            <w:pPr>
              <w:keepNext/>
            </w:pP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Tekst proponowany przez Komisję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Normal6"/>
            </w:pPr>
            <w:r w:rsidRPr="00924F15">
              <w:t>(26)</w:t>
            </w:r>
            <w:r w:rsidRPr="00924F15">
              <w:tab/>
              <w:t>W przypadku gdy występują trudności w pobieraniu identyfikatorów biometrycznych, państwa członkowskie powinny zapewnić wprowadzenie odpowiednich procedur w celu poszanowania godności danej osoby. Należy zatem wziąć pod uwagę specyficzne względy związane z płcią i szczególnymi potrzebami dzieci oraz osób wymagających szczególnego traktowania.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Normal6"/>
              <w:rPr>
                <w:b/>
                <w:i/>
                <w:szCs w:val="24"/>
              </w:rPr>
            </w:pPr>
            <w:r w:rsidRPr="00924F15">
              <w:t>(26)</w:t>
            </w:r>
            <w:r w:rsidRPr="00924F15">
              <w:tab/>
              <w:t xml:space="preserve">W przypadku gdy występują trudności w pobieraniu identyfikatorów biometrycznych, państwa członkowskie powinny zapewnić wprowadzenie odpowiednich procedur w celu poszanowania godności danej osoby. Należy zatem wziąć pod uwagę specyficzne względy związane z płcią i szczególnymi potrzebami dzieci oraz osób wymagających szczególnego traktowania. </w:t>
            </w:r>
            <w:r w:rsidRPr="00924F15">
              <w:rPr>
                <w:b/>
                <w:i/>
              </w:rPr>
              <w:t>Wykwalifikowany personel powinien przejść szkolenie dotyczące przyjaznych dzieciom i osobom wymagającym szczególnego traktowania praktyk pobierania identyfikatorów biometrycznych, które uwrażliwi go na potrzeby związane z płcią i wiekiem oraz na konieczność poszanowania godności wszystkich osób.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6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Motyw 32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6A5" w:rsidRPr="00924F15" w:rsidTr="00C70D06">
        <w:trPr>
          <w:jc w:val="center"/>
        </w:trPr>
        <w:tc>
          <w:tcPr>
            <w:tcW w:w="9752" w:type="dxa"/>
            <w:gridSpan w:val="2"/>
          </w:tcPr>
          <w:p w:rsidR="004B26A5" w:rsidRPr="00924F15" w:rsidRDefault="004B26A5" w:rsidP="00C70D06">
            <w:pPr>
              <w:keepNext/>
            </w:pP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Tekst proponowany przez Komisję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Normal6"/>
            </w:pPr>
            <w:r w:rsidRPr="00924F15">
              <w:t>(32)</w:t>
            </w:r>
            <w:r w:rsidRPr="00924F15">
              <w:tab/>
              <w:t xml:space="preserve">Państwa członkowskie powinny wymieniać między sobą informacje niezbędne do celów dostępu do informacji zapisanych na bezpiecznym nośniku </w:t>
            </w:r>
            <w:r w:rsidRPr="00924F15">
              <w:lastRenderedPageBreak/>
              <w:t>danych, ich uwierzytelnienia i sprawdzenia. Formaty wykorzystane na zabezpieczonym nośniku danych powinny być interoperacyjne, w tym w odniesieniu do zautomatyzowanych przejść granicznych.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Normal6"/>
              <w:rPr>
                <w:b/>
                <w:i/>
                <w:szCs w:val="24"/>
              </w:rPr>
            </w:pPr>
            <w:r w:rsidRPr="00924F15">
              <w:lastRenderedPageBreak/>
              <w:t>(32)</w:t>
            </w:r>
            <w:r w:rsidRPr="00924F15">
              <w:tab/>
              <w:t xml:space="preserve">Państwa członkowskie powinny wymieniać między sobą informacje niezbędne do celów dostępu do informacji zapisanych na bezpiecznym nośniku </w:t>
            </w:r>
            <w:r w:rsidRPr="00924F15">
              <w:lastRenderedPageBreak/>
              <w:t>danych, ich uwierzytelnienia i sprawdzenia. Formaty wykorzystane na zabezpieczonym nośniku danych powinny być interoperacyjne, w tym w odniesieniu do zautomatyzowanych przejść granicznych.</w:t>
            </w:r>
            <w:r w:rsidRPr="00924F15">
              <w:rPr>
                <w:b/>
                <w:i/>
              </w:rPr>
              <w:t xml:space="preserve"> Komisja powinna promować współpracę państw członkowskich na rzecz realizacji takich celów.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7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Motyw 43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(43)</w:t>
            </w:r>
            <w:r w:rsidRPr="00924F15">
              <w:tab/>
              <w:t>Zgodnie z</w:t>
            </w:r>
            <w:r w:rsidRPr="00924F15">
              <w:rPr>
                <w:b/>
                <w:i/>
              </w:rPr>
              <w:t> </w:t>
            </w:r>
            <w:r w:rsidRPr="00924F15">
              <w:t>Porozumieniem międzyinstytucjonalnym z</w:t>
            </w:r>
            <w:r w:rsidRPr="00924F15">
              <w:rPr>
                <w:b/>
                <w:i/>
              </w:rPr>
              <w:t> </w:t>
            </w:r>
            <w:r w:rsidRPr="00924F15">
              <w:t>dnia 13</w:t>
            </w:r>
            <w:r w:rsidRPr="00924F15">
              <w:rPr>
                <w:b/>
                <w:i/>
              </w:rPr>
              <w:t> </w:t>
            </w:r>
            <w:r w:rsidRPr="00924F15">
              <w:t>kwietnia 2016 r. w sprawie lepszego stanowienia prawa</w:t>
            </w:r>
            <w:r w:rsidRPr="00924F15">
              <w:rPr>
                <w:vertAlign w:val="superscript"/>
              </w:rPr>
              <w:t>9</w:t>
            </w:r>
            <w:r w:rsidRPr="00924F15">
              <w:t xml:space="preserve"> Komisja powinna przeprowadzić ocenę niniejszego rozporządzenia </w:t>
            </w:r>
            <w:r w:rsidRPr="00924F15">
              <w:rPr>
                <w:b/>
                <w:i/>
              </w:rPr>
              <w:t xml:space="preserve">nie wcześniej niż </w:t>
            </w:r>
            <w:r w:rsidRPr="00924F15">
              <w:t>sześć lat po</w:t>
            </w:r>
            <w:r w:rsidRPr="00924F15">
              <w:rPr>
                <w:b/>
                <w:i/>
              </w:rPr>
              <w:t> </w:t>
            </w:r>
            <w:r w:rsidRPr="00924F15">
              <w:t>dacie jego wejścia w</w:t>
            </w:r>
            <w:r w:rsidRPr="00924F15">
              <w:rPr>
                <w:b/>
                <w:i/>
              </w:rPr>
              <w:t> </w:t>
            </w:r>
            <w:r w:rsidRPr="00924F15">
              <w:t>życie, w tym na</w:t>
            </w:r>
            <w:r w:rsidRPr="00924F15">
              <w:rPr>
                <w:b/>
                <w:i/>
              </w:rPr>
              <w:t> </w:t>
            </w:r>
            <w:r w:rsidRPr="00924F15">
              <w:t>podstawie informacji zgromadzonych dzięki szczególnym uzgodnieniom w zakresie monitorowania, aby ocenić faktyczny wpływ niniejszego rozporządzenia oraz potrzebę podjęcia dalszych działań. Do celów monitorowania państwa członkowskie powinny gromadzić dane statystyczne dotyczące liczby wydanych przez siebie dowodów osobistych i dokumentów pobytowych.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(43)</w:t>
            </w:r>
            <w:r w:rsidRPr="00924F15">
              <w:tab/>
            </w:r>
            <w:r w:rsidRPr="00924F15">
              <w:rPr>
                <w:b/>
                <w:i/>
              </w:rPr>
              <w:t>Po dwóch i 11 latach od daty wejścia w życie niniejszego rozporządzenia Komisja powinna złożyć sprawozdanie z jego wdrożenia, zawierające ocenę, czy poziom zabezpieczeń jest właściwy, oraz jaki jest wpływ rozporządzenia na prawa podstawowe i zasady ochrony danych.</w:t>
            </w:r>
            <w:r w:rsidRPr="00924F15">
              <w:t xml:space="preserve"> Zgodnie z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Porozumieniem międzyinstytucjonalnym z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dnia 13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kwietnia 2016 r. w sprawie lepszego stanowienia prawa</w:t>
            </w:r>
            <w:r w:rsidRPr="00924F15">
              <w:rPr>
                <w:vertAlign w:val="superscript"/>
              </w:rPr>
              <w:t>9</w:t>
            </w:r>
            <w:r w:rsidRPr="00924F15">
              <w:t xml:space="preserve"> Komisja powinna przeprowadzić ocenę niniejszego rozporządzenia sześć lat po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dacie jego wejścia w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 xml:space="preserve">życie, </w:t>
            </w:r>
            <w:r w:rsidRPr="00924F15">
              <w:rPr>
                <w:b/>
                <w:i/>
              </w:rPr>
              <w:t xml:space="preserve">a następnie co sześć lat, </w:t>
            </w:r>
            <w:r w:rsidRPr="00924F15">
              <w:t>w tym na</w:t>
            </w:r>
            <w:r w:rsidRPr="00924F15">
              <w:rPr>
                <w:b/>
                <w:i/>
              </w:rPr>
              <w:t xml:space="preserve"> </w:t>
            </w:r>
            <w:r w:rsidRPr="00924F15">
              <w:t>podstawie informacji zgromadzonych dzięki szczególnym uzgodnieniom w zakresie monitorowania, aby ocenić faktyczny wpływ niniejszego rozporządzenia oraz potrzebę podjęcia dalszych działań. Do celów monitorowania państwa członkowskie powinny gromadzić dane statystyczne dotyczące liczby wydanych przez siebie dowodów osobistych i dokumentów pobytowych.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_________________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vertAlign w:val="superscript"/>
              </w:rPr>
              <w:t>9</w:t>
            </w:r>
            <w:r w:rsidRPr="00924F15">
              <w:t xml:space="preserve"> Dz.U. L 123 z 12.5.2016, s. 1, ELI: https://eur-lex.europa.eu/eli/agree_interinstit/2016/512/oj.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vertAlign w:val="superscript"/>
              </w:rPr>
              <w:t>9</w:t>
            </w:r>
            <w:r w:rsidRPr="00924F15">
              <w:t xml:space="preserve"> Dz.U. L 123 z 12.5.2016, s. 1, ELI: https://eur-lex.europa.eu/eli/agree_interinstit/2016/512/oj.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lastRenderedPageBreak/>
        <w:t>Poprawka</w:t>
      </w:r>
      <w:r w:rsidRPr="00924F15">
        <w:tab/>
      </w:r>
      <w:r w:rsidRPr="00924F15">
        <w:tab/>
        <w:t>8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3 – ustęp 2 – akapit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W drodze odstępstwa od akapitu pierwszego numer dokumentu może być umieszczony w polu I, a wskazanie płci danej osoby jest fakultatywne.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 xml:space="preserve">W drodze odstępstwa od akapitu pierwszego numer dokumentu może być umieszczony w polu I, a wskazanie płci danej osoby jest fakultatywne. </w:t>
            </w:r>
            <w:r w:rsidRPr="00924F15">
              <w:rPr>
                <w:b/>
                <w:i/>
              </w:rPr>
              <w:t>Jeżeli państwo członkowskie uwzględnia płeć danej osoby w dokumencie objętym niniejszym rozporządzeniem, należy odpowiednio stosować właściwe wartości określone w dokumencie ICAO nr 9303: „F”, „M” lub „X” lub odpowiednią literę stosowaną w oficjalnym języku lub oficjalnych językach danego państwa członkowskiego.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9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3 – ustęp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"/>
            </w:pPr>
            <w:r w:rsidRPr="00924F15">
              <w:t>5.</w:t>
            </w:r>
            <w:r w:rsidRPr="00924F15">
              <w:tab/>
              <w:t>Dowody osobiste są wyposażone w nośnik danych o wysokim stopniu zabezpieczenia, który zawiera wizerunek twarzy posiadacza dokumentu i dwa odciski palców w formatach cyfrowych. W odniesieniu do pobierania identyfikatorów biometrycznych państwa członkowskie stosują specyfikacje techniczne określone w decyzji wykonawczej Komisji C(2018)7767</w:t>
            </w:r>
            <w:r w:rsidRPr="00924F15">
              <w:rPr>
                <w:vertAlign w:val="superscript"/>
              </w:rPr>
              <w:t>12</w:t>
            </w:r>
            <w:r w:rsidRPr="00924F15">
              <w:t xml:space="preserve"> zmienionej decyzją wykonawczą Komisji C(2021)3726</w:t>
            </w:r>
            <w:r w:rsidRPr="00924F15">
              <w:rPr>
                <w:vertAlign w:val="superscript"/>
              </w:rPr>
              <w:t>13</w:t>
            </w:r>
            <w:r w:rsidRPr="00924F15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5.</w:t>
            </w:r>
            <w:r w:rsidRPr="00924F15">
              <w:tab/>
              <w:t xml:space="preserve">Dowody osobiste są wyposażone w nośnik danych o wysokim stopniu zabezpieczenia, który zawiera wizerunek twarzy posiadacza dokumentu i dwa odciski palców w formatach cyfrowych. W odniesieniu do pobierania </w:t>
            </w:r>
            <w:r w:rsidRPr="00924F15">
              <w:rPr>
                <w:b/>
                <w:i/>
              </w:rPr>
              <w:t xml:space="preserve">tych dwóch rodzajów </w:t>
            </w:r>
            <w:r w:rsidRPr="00924F15">
              <w:t>identyfikatorów biometrycznych państwa członkowskie stosują specyfikacje techniczne określone w decyzji wykonawczej Komisji C(2018)7767</w:t>
            </w:r>
            <w:r w:rsidRPr="00924F15">
              <w:rPr>
                <w:vertAlign w:val="superscript"/>
              </w:rPr>
              <w:t>12</w:t>
            </w:r>
            <w:r w:rsidRPr="00924F15">
              <w:t xml:space="preserve"> zmienionej decyzją wykonawczą Komisji C(2021)3726</w:t>
            </w:r>
            <w:r w:rsidRPr="00924F15">
              <w:rPr>
                <w:vertAlign w:val="superscript"/>
              </w:rPr>
              <w:t>13</w:t>
            </w:r>
            <w:r w:rsidRPr="00924F15">
              <w:t>.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_________________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vertAlign w:val="superscript"/>
              </w:rPr>
              <w:t>12</w:t>
            </w:r>
            <w:r w:rsidRPr="00924F15">
              <w:t xml:space="preserve"> Decyzja wykonawcza Komisji C(2018)7767 z dnia 30 listopada 2018 r. określająca specyfikację techniczną jednolitego wzoru dokumentów pobytowych dla obywateli państw trzecich i uchylająca decyzję C(2002)3069.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vertAlign w:val="superscript"/>
              </w:rPr>
              <w:t>12</w:t>
            </w:r>
            <w:r w:rsidRPr="00924F15">
              <w:t xml:space="preserve"> Decyzja wykonawcza Komisji C(2018)7767 z dnia 30 listopada 2018 r. określająca specyfikację techniczną jednolitego wzoru dokumentów pobytowych dla obywateli państw trzecich i uchylająca decyzję C(2002)3069.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vertAlign w:val="superscript"/>
              </w:rPr>
              <w:t>13</w:t>
            </w:r>
            <w:r w:rsidRPr="00924F15">
              <w:t xml:space="preserve"> Decyzja wykonawcza Komisji </w:t>
            </w:r>
            <w:r w:rsidRPr="00924F15">
              <w:lastRenderedPageBreak/>
              <w:t>C(2021)3726 z dnia 4 czerwca 2021 r. zmieniająca załącznik III do decyzji wykonawczej C(2018)7767 w odniesieniu do wykazu odniesień normatywnych.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vertAlign w:val="superscript"/>
              </w:rPr>
              <w:lastRenderedPageBreak/>
              <w:t>13</w:t>
            </w:r>
            <w:r w:rsidRPr="00924F15">
              <w:t xml:space="preserve"> Decyzja wykonawcza Komisji </w:t>
            </w:r>
            <w:r w:rsidRPr="00924F15">
              <w:lastRenderedPageBreak/>
              <w:t>C(2021)3726 z dnia 4 czerwca 2021 r. zmieniająca załącznik III do decyzji wykonawczej C(2018)7767 w odniesieniu do wykazu odniesień normatywnych.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10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10 – ustęp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3.</w:t>
            </w:r>
            <w:r w:rsidRPr="00924F15">
              <w:tab/>
            </w:r>
            <w:r w:rsidRPr="00924F15">
              <w:rPr>
                <w:b/>
                <w:i/>
              </w:rPr>
              <w:t>Poza przypadkami, gdy jest to wymagane w celu przetwarzania zgodnie z prawem Unii i prawem krajowym,</w:t>
            </w:r>
            <w:r w:rsidRPr="00924F15">
              <w:t xml:space="preserve"> identyfikatory biometryczne gromadzone na potrzeby personalizacji dowodów osobistych lub dokumentów pobytowych są przechowywane w wysoce bezpieczny sposób i wyłącznie do dnia odbioru dokumentu, a w każdym razie nie dłużej niż 90 dni od daty wydania tego dokumentu. Po upływie tego okresu identyfikatory biometryczne zostają natychmiast usunięte lub zniszczone.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3.</w:t>
            </w:r>
            <w:r w:rsidRPr="00924F15">
              <w:tab/>
              <w:t xml:space="preserve">Identyfikatory biometryczne gromadzone na potrzeby personalizacji dowodów osobistych lub dokumentów pobytowych są przechowywane w wysoce bezpieczny sposób i wyłącznie do dnia odbioru dokumentu, a w każdym razie nie dłużej niż 90 dni od daty wydania tego dokumentu. Po upływie tego okresu identyfikatory biometryczne zostają natychmiast usunięte lub zniszczone. </w:t>
            </w:r>
            <w:r w:rsidRPr="00924F15">
              <w:rPr>
                <w:b/>
                <w:i/>
              </w:rPr>
              <w:t>Przetwarzanie tych danych do innych celów podlega ograniczeniom i warunkom przewidzianym w prawie krajowym lub unijnym prawie o ochronie danych.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11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11 – ustęp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4.</w:t>
            </w:r>
            <w:r w:rsidRPr="00924F15">
              <w:tab/>
              <w:t>Współpraca z usługodawcami zewnętrznymi nie wyklucza odpowiedzialności państwa członkowskiego, która może wynikać z prawa Unii lub prawa krajowego z tytułu naruszenia obowiązków w odniesieniu do danych osobowych.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4.</w:t>
            </w:r>
            <w:r w:rsidRPr="00924F15">
              <w:tab/>
              <w:t xml:space="preserve">Współpraca z usługodawcami zewnętrznymi nie wyklucza odpowiedzialności państwa członkowskiego, która może wynikać z prawa Unii lub prawa krajowego z tytułu naruszenia obowiązków w odniesieniu do danych osobowych. </w:t>
            </w:r>
            <w:r w:rsidRPr="00924F15">
              <w:rPr>
                <w:b/>
                <w:i/>
              </w:rPr>
              <w:t xml:space="preserve">Państwa członkowskie dbają o to, aby wszyscy dostawcy zewnętrzni przestrzegali unijnych i krajowych przepisów o ochronie danych; należy też przyjąć odpowiednie środki, aby zapobiec nieuprawnionemu dostępowi lub niewłaściwemu wykorzystaniu danych </w:t>
            </w:r>
            <w:r w:rsidRPr="00924F15">
              <w:rPr>
                <w:b/>
                <w:i/>
              </w:rPr>
              <w:lastRenderedPageBreak/>
              <w:t>osobowych podczas procesów zlecanych na zewnątrz.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12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11 – ustęp 6 – akapit 1 – wprowadzenie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6A5" w:rsidRPr="00924F15" w:rsidTr="00C70D06">
        <w:trPr>
          <w:jc w:val="center"/>
        </w:trPr>
        <w:tc>
          <w:tcPr>
            <w:tcW w:w="9752" w:type="dxa"/>
            <w:gridSpan w:val="2"/>
          </w:tcPr>
          <w:p w:rsidR="004B26A5" w:rsidRPr="00924F15" w:rsidRDefault="004B26A5" w:rsidP="00C70D06">
            <w:pPr>
              <w:keepNext/>
            </w:pP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Tekst proponowany przez Komisję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Normal6"/>
            </w:pPr>
            <w:r w:rsidRPr="00924F15">
              <w:rPr>
                <w:b/>
                <w:i/>
              </w:rPr>
              <w:t>Dane biometryczne przechowywane</w:t>
            </w:r>
            <w:r w:rsidRPr="00924F15">
              <w:t xml:space="preserve"> na nośniku danych </w:t>
            </w:r>
            <w:r w:rsidRPr="00924F15">
              <w:rPr>
                <w:b/>
                <w:i/>
              </w:rPr>
              <w:t>dokumentów tożsamości</w:t>
            </w:r>
            <w:r w:rsidRPr="00924F15">
              <w:t xml:space="preserve"> i </w:t>
            </w:r>
            <w:r w:rsidRPr="00924F15">
              <w:rPr>
                <w:b/>
                <w:i/>
              </w:rPr>
              <w:t>dokumentów</w:t>
            </w:r>
            <w:r w:rsidRPr="00924F15">
              <w:t xml:space="preserve"> pobytowych</w:t>
            </w:r>
            <w:r w:rsidRPr="00924F15">
              <w:rPr>
                <w:b/>
                <w:i/>
              </w:rPr>
              <w:t xml:space="preserve"> wykorzystuje się</w:t>
            </w:r>
            <w:r w:rsidRPr="00924F15">
              <w:t xml:space="preserve"> wyłącznie zgodnie z </w:t>
            </w:r>
            <w:r w:rsidRPr="00924F15">
              <w:rPr>
                <w:b/>
                <w:i/>
              </w:rPr>
              <w:t>prawem unijnym i krajowym</w:t>
            </w:r>
            <w:r w:rsidRPr="00924F15">
              <w:t xml:space="preserve"> do celów weryfikacji: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Normal6"/>
              <w:rPr>
                <w:szCs w:val="24"/>
              </w:rPr>
            </w:pPr>
            <w:r w:rsidRPr="00924F15">
              <w:rPr>
                <w:b/>
                <w:i/>
              </w:rPr>
              <w:t>Do wizerunku twarzy posiadacza, który to wizerunek przechowywany jest</w:t>
            </w:r>
            <w:r w:rsidRPr="00924F15">
              <w:t xml:space="preserve"> na nośniku danych </w:t>
            </w:r>
            <w:r w:rsidRPr="00924F15">
              <w:rPr>
                <w:b/>
                <w:i/>
              </w:rPr>
              <w:t>w dowodach osobistych</w:t>
            </w:r>
            <w:r w:rsidRPr="00924F15">
              <w:t xml:space="preserve"> i </w:t>
            </w:r>
            <w:r w:rsidRPr="00924F15">
              <w:rPr>
                <w:b/>
                <w:i/>
              </w:rPr>
              <w:t>dokumentach</w:t>
            </w:r>
            <w:r w:rsidRPr="00924F15">
              <w:t xml:space="preserve"> pobytowych</w:t>
            </w:r>
            <w:r w:rsidRPr="00924F15">
              <w:rPr>
                <w:b/>
                <w:i/>
              </w:rPr>
              <w:t>, dostęp ma</w:t>
            </w:r>
            <w:r w:rsidRPr="00924F15">
              <w:t xml:space="preserve"> wyłącznie </w:t>
            </w:r>
            <w:r w:rsidRPr="00924F15">
              <w:rPr>
                <w:b/>
                <w:i/>
              </w:rPr>
              <w:t xml:space="preserve">odpowiednio upoważniony personel właściwych organów krajowych, agencji Unii i podmiotów prywatnych, a dostęp ten odbywa się </w:t>
            </w:r>
            <w:r w:rsidRPr="00924F15">
              <w:t xml:space="preserve">zgodnie z </w:t>
            </w:r>
            <w:r w:rsidRPr="00924F15">
              <w:rPr>
                <w:b/>
                <w:i/>
              </w:rPr>
              <w:t>unijnymi przepisami o ochronie danych</w:t>
            </w:r>
            <w:r w:rsidRPr="00924F15">
              <w:t xml:space="preserve"> do celów weryfikacji: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13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11 – ustęp 6 – akapit -1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6A5" w:rsidRPr="00924F15" w:rsidTr="00C70D06">
        <w:trPr>
          <w:jc w:val="center"/>
        </w:trPr>
        <w:tc>
          <w:tcPr>
            <w:tcW w:w="9752" w:type="dxa"/>
            <w:gridSpan w:val="2"/>
          </w:tcPr>
          <w:p w:rsidR="004B26A5" w:rsidRPr="00924F15" w:rsidRDefault="004B26A5" w:rsidP="00C70D06">
            <w:pPr>
              <w:keepNext/>
            </w:pP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Tekst proponowany przez Komisję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Normal6"/>
            </w:pP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Normal6"/>
              <w:rPr>
                <w:b/>
                <w:i/>
                <w:szCs w:val="24"/>
              </w:rPr>
            </w:pPr>
            <w:r w:rsidRPr="00924F15">
              <w:rPr>
                <w:b/>
                <w:i/>
              </w:rPr>
              <w:t>Dostęp do wizerunku twarzy przez podmioty prywatne wymaga również zgody posiadacza, chyba że – niezależnie od zgody – jest on absolutnie niezbędny do celów określonych w akapicie pierwszym i jest przewidziany w prawie Unii lub prawie krajowym zgodnie z unijnymi przepisami o ochronie danych.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14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11 – ustęp 6 – akapit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6A5" w:rsidRPr="00924F15" w:rsidTr="00C70D06">
        <w:trPr>
          <w:jc w:val="center"/>
        </w:trPr>
        <w:tc>
          <w:tcPr>
            <w:tcW w:w="9752" w:type="dxa"/>
            <w:gridSpan w:val="2"/>
          </w:tcPr>
          <w:p w:rsidR="004B26A5" w:rsidRPr="00924F15" w:rsidRDefault="004B26A5" w:rsidP="00C70D06">
            <w:pPr>
              <w:keepNext/>
            </w:pP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Tekst proponowany przez Komisję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ColumnHeading"/>
              <w:keepNext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</w:tcPr>
          <w:p w:rsidR="004B26A5" w:rsidRPr="00924F15" w:rsidRDefault="004B26A5" w:rsidP="00C70D06">
            <w:pPr>
              <w:pStyle w:val="Normal6"/>
            </w:pPr>
            <w:r w:rsidRPr="00924F15">
              <w:t xml:space="preserve">Dostęp do dwóch odcisków palców przechowywanych na nośniku danych ma wyłącznie odpowiednio upoważniony </w:t>
            </w:r>
            <w:r w:rsidRPr="00924F15">
              <w:lastRenderedPageBreak/>
              <w:t>personel właściwych organów krajowych i agencji unijnych.</w:t>
            </w:r>
          </w:p>
        </w:tc>
        <w:tc>
          <w:tcPr>
            <w:tcW w:w="4876" w:type="dxa"/>
          </w:tcPr>
          <w:p w:rsidR="004B26A5" w:rsidRPr="00924F15" w:rsidRDefault="004B26A5" w:rsidP="00C70D06">
            <w:pPr>
              <w:pStyle w:val="Normal6"/>
              <w:rPr>
                <w:szCs w:val="24"/>
              </w:rPr>
            </w:pPr>
            <w:r w:rsidRPr="00924F15">
              <w:lastRenderedPageBreak/>
              <w:t xml:space="preserve">Dostęp do dwóch odcisków palców </w:t>
            </w:r>
            <w:r w:rsidRPr="00924F15">
              <w:rPr>
                <w:b/>
                <w:i/>
              </w:rPr>
              <w:t xml:space="preserve">posiadacza dokumentu </w:t>
            </w:r>
            <w:r w:rsidRPr="00924F15">
              <w:t xml:space="preserve">przechowywanych na nośniku danych ma wyłącznie </w:t>
            </w:r>
            <w:r w:rsidRPr="00924F15">
              <w:lastRenderedPageBreak/>
              <w:t>odpowiednio upoważniony personel właściwych organów krajowych i agencji unijnych</w:t>
            </w:r>
            <w:r w:rsidRPr="00924F15">
              <w:rPr>
                <w:b/>
                <w:i/>
              </w:rPr>
              <w:t>, który korzysta z niego do celów określonych w akapicie pierwszym zgodnie z unijnymi i krajowymi przepisami o ochronie danych</w:t>
            </w:r>
            <w:r w:rsidRPr="00924F15">
              <w:t>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15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13 – nagłówek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Ocena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 xml:space="preserve">Sprawozdawczość i </w:t>
            </w:r>
            <w:r w:rsidRPr="00924F15">
              <w:t>ocena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16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13 – ustęp -1 (nowy)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-1.</w:t>
            </w:r>
            <w:r w:rsidRPr="00924F15">
              <w:rPr>
                <w:b/>
                <w:i/>
              </w:rPr>
              <w:tab/>
              <w:t>Do dnia [dwa lata od daty wejścia w życie niniejszego rozporządzenia] i do dnia [11 lat od daty wejścia w życie niniejszego rozporządzenia] Komisja przedstawia Parlamentowi Europejskiemu, Radzie i Europejskiemu Komitetowi Ekonomiczno-Społecznemu sprawozdanie z wdrożenia niniejszego rozporządzenia, w szczególności w odniesieniu do ochrony praw podstawowych i danych osobowych.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17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13 – ustęp 1 – wprowadzenie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t>1.</w:t>
            </w:r>
            <w:r w:rsidRPr="00924F15">
              <w:tab/>
              <w:t xml:space="preserve">Nie </w:t>
            </w:r>
            <w:r w:rsidRPr="00924F15">
              <w:rPr>
                <w:b/>
                <w:i/>
              </w:rPr>
              <w:t>wcześniej</w:t>
            </w:r>
            <w:r w:rsidRPr="00924F15">
              <w:t xml:space="preserve"> niż [sześć lat po wejściu w życie niniejszego rozporządzenia] Komisja dokonuje jego oceny i przedstawia Parlamentowi Europejskiemu, Radzie i Europejskiemu Komitetowi Ekonomiczno-Społecznemu </w:t>
            </w:r>
            <w:r w:rsidRPr="00924F15">
              <w:lastRenderedPageBreak/>
              <w:t>sprawozdanie z głównymi ustaleniami. Sprawozdanie dotyczy w szczególności: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lastRenderedPageBreak/>
              <w:t>1.</w:t>
            </w:r>
            <w:r w:rsidRPr="00924F15">
              <w:tab/>
              <w:t xml:space="preserve">Nie </w:t>
            </w:r>
            <w:r w:rsidRPr="00924F15">
              <w:rPr>
                <w:b/>
                <w:i/>
              </w:rPr>
              <w:t>później</w:t>
            </w:r>
            <w:r w:rsidRPr="00924F15">
              <w:t xml:space="preserve"> niż [sześć lat po wejściu w życie niniejszego rozporządzenia]</w:t>
            </w:r>
            <w:r w:rsidRPr="00924F15">
              <w:rPr>
                <w:b/>
                <w:i/>
              </w:rPr>
              <w:t>, a następnie co sześć lat</w:t>
            </w:r>
            <w:r w:rsidRPr="00924F15">
              <w:t xml:space="preserve"> Komisja dokonuje jego oceny i przedstawia Parlamentowi Europejskiemu, Radzie i Europejskiemu Komitetowi </w:t>
            </w:r>
            <w:r w:rsidRPr="00924F15">
              <w:lastRenderedPageBreak/>
              <w:t>Ekonomiczno-Społecznemu sprawozdanie z głównymi ustaleniami. Sprawozdanie dotyczy w szczególności: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18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13 – ustęp 1 – litera d a (nowa)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da)</w:t>
            </w:r>
            <w:r w:rsidRPr="00924F15">
              <w:tab/>
            </w:r>
            <w:r w:rsidRPr="00924F15">
              <w:rPr>
                <w:b/>
                <w:i/>
              </w:rPr>
              <w:t>konieczności wprowadzenia wspólnych zabezpieczeń w tymczasowych dokumentach potwierdzających tożsamość w celu ich lepszego uznawania;</w:t>
            </w:r>
          </w:p>
        </w:tc>
      </w:tr>
    </w:tbl>
    <w:p w:rsidR="004B26A5" w:rsidRPr="00924F15" w:rsidRDefault="004B26A5" w:rsidP="004B26A5"/>
    <w:p w:rsidR="004B26A5" w:rsidRPr="00924F15" w:rsidRDefault="004B26A5" w:rsidP="004B26A5">
      <w:pPr>
        <w:pStyle w:val="AmNumberTabs"/>
      </w:pPr>
      <w:r w:rsidRPr="00924F15">
        <w:t>Poprawka</w:t>
      </w:r>
      <w:r w:rsidRPr="00924F15">
        <w:tab/>
      </w:r>
      <w:r w:rsidRPr="00924F15">
        <w:tab/>
        <w:t>19</w:t>
      </w:r>
    </w:p>
    <w:p w:rsidR="004B26A5" w:rsidRPr="00924F15" w:rsidRDefault="004B26A5" w:rsidP="004B26A5">
      <w:pPr>
        <w:pStyle w:val="NormalBold12b"/>
      </w:pPr>
      <w:r w:rsidRPr="00924F15">
        <w:t>Wniosek dotyczący rozporządzenia</w:t>
      </w:r>
    </w:p>
    <w:p w:rsidR="004B26A5" w:rsidRPr="00924F15" w:rsidRDefault="004B26A5" w:rsidP="004B26A5">
      <w:pPr>
        <w:pStyle w:val="NormalBold"/>
      </w:pPr>
      <w:r w:rsidRPr="00924F15">
        <w:t>Artykuł 13 – ustęp 1 – litera d b (nowa)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6A5" w:rsidRPr="00924F15" w:rsidTr="00C70D0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/>
        </w:tc>
      </w:tr>
      <w:tr w:rsidR="004B26A5" w:rsidRPr="00924F15" w:rsidTr="00C70D0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AmColumnHeading"/>
            </w:pPr>
            <w:r w:rsidRPr="00924F15">
              <w:t>Poprawka</w:t>
            </w:r>
          </w:p>
        </w:tc>
      </w:tr>
      <w:tr w:rsidR="004B26A5" w:rsidRPr="00924F15" w:rsidTr="00C70D0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B26A5" w:rsidRPr="00924F15" w:rsidRDefault="004B26A5" w:rsidP="00C70D06">
            <w:pPr>
              <w:pStyle w:val="Normal6a"/>
            </w:pPr>
            <w:r w:rsidRPr="00924F15">
              <w:rPr>
                <w:b/>
                <w:i/>
              </w:rPr>
              <w:t>db)</w:t>
            </w:r>
            <w:r w:rsidRPr="00924F15">
              <w:tab/>
            </w:r>
            <w:r w:rsidRPr="00924F15">
              <w:rPr>
                <w:b/>
                <w:i/>
              </w:rPr>
              <w:t>konieczności dalszej harmonizacji zabezpieczeń dokumentów pobytowych.</w:t>
            </w:r>
          </w:p>
        </w:tc>
      </w:tr>
    </w:tbl>
    <w:p w:rsidR="00E365E1" w:rsidRPr="00924F15" w:rsidRDefault="00E365E1" w:rsidP="00571504"/>
    <w:sectPr w:rsidR="00E365E1" w:rsidRPr="00924F15" w:rsidSect="00924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504" w:rsidRPr="00924F15" w:rsidRDefault="00571504">
      <w:r w:rsidRPr="00924F15">
        <w:separator/>
      </w:r>
    </w:p>
  </w:endnote>
  <w:endnote w:type="continuationSeparator" w:id="0">
    <w:p w:rsidR="00571504" w:rsidRPr="00924F15" w:rsidRDefault="00571504">
      <w:r w:rsidRPr="00924F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F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F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F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504" w:rsidRPr="00924F15" w:rsidRDefault="00571504">
      <w:r w:rsidRPr="00924F15">
        <w:separator/>
      </w:r>
    </w:p>
  </w:footnote>
  <w:footnote w:type="continuationSeparator" w:id="0">
    <w:p w:rsidR="00571504" w:rsidRPr="00924F15" w:rsidRDefault="00571504">
      <w:r w:rsidRPr="00924F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F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F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F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1/2025"/>
    <w:docVar w:name="dvlangue" w:val="PL"/>
    <w:docVar w:name="dvnumam" w:val="0"/>
    <w:docVar w:name="dvpe" w:val="766.606"/>
    <w:docVar w:name="dvrapporteur" w:val="Sprawozdawca: "/>
    <w:docVar w:name="dvstar" w:val="*"/>
    <w:docVar w:name="dvtitre" w:val="Rezolucja ustawodawcza Parlamentu Europejskiego z dnia  2025 r. w sprawie wniosku dotyczącego rozporządzenia Rady w sprawie poprawy zabezpieczeń dowodów osobistych obywateli Unii i dokumentów pobytowych wydawanych obywatelom Unii i członkom ich rodzin korzystającym z prawa do swobodnego przemieszczania się(COM(2024)0316 – C10-0112/2024 – 2024/0187(CNS))"/>
  </w:docVars>
  <w:rsids>
    <w:rsidRoot w:val="005715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96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6A5"/>
    <w:rsid w:val="004C0004"/>
    <w:rsid w:val="004C5D52"/>
    <w:rsid w:val="0050519A"/>
    <w:rsid w:val="005072A1"/>
    <w:rsid w:val="00514517"/>
    <w:rsid w:val="00545827"/>
    <w:rsid w:val="00560270"/>
    <w:rsid w:val="0057150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F1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93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11FCE"/>
  <w15:chartTrackingRefBased/>
  <w15:docId w15:val="{89310601-5E69-456E-85B6-580771D4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26A5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4B26A5"/>
    <w:rPr>
      <w:b/>
    </w:rPr>
  </w:style>
  <w:style w:type="paragraph" w:customStyle="1" w:styleId="NormalHanging12a">
    <w:name w:val="NormalHanging12a"/>
    <w:basedOn w:val="Normal"/>
    <w:rsid w:val="004B26A5"/>
    <w:pPr>
      <w:spacing w:after="240"/>
      <w:ind w:left="567" w:hanging="567"/>
    </w:pPr>
  </w:style>
  <w:style w:type="paragraph" w:customStyle="1" w:styleId="Normal6a">
    <w:name w:val="Normal6a"/>
    <w:basedOn w:val="Normal"/>
    <w:rsid w:val="004B26A5"/>
    <w:pPr>
      <w:spacing w:after="120"/>
    </w:pPr>
  </w:style>
  <w:style w:type="paragraph" w:customStyle="1" w:styleId="AmColumnHeading">
    <w:name w:val="AmColumnHeading"/>
    <w:basedOn w:val="Normal"/>
    <w:rsid w:val="004B26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B26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B26A5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4B26A5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4B26A5"/>
    <w:rPr>
      <w:b/>
      <w:sz w:val="24"/>
      <w:lang w:val="pl-PL"/>
    </w:rPr>
  </w:style>
  <w:style w:type="character" w:customStyle="1" w:styleId="Normal6Char">
    <w:name w:val="Normal6 Char"/>
    <w:basedOn w:val="DefaultParagraphFont"/>
    <w:link w:val="Normal6"/>
    <w:rsid w:val="004B26A5"/>
    <w:rPr>
      <w:sz w:val="24"/>
      <w:lang w:val="pl-PL"/>
    </w:rPr>
  </w:style>
  <w:style w:type="paragraph" w:customStyle="1" w:styleId="ColumnHeading">
    <w:name w:val="ColumnHeading"/>
    <w:basedOn w:val="Normal"/>
    <w:rsid w:val="004B26A5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B26A5"/>
    <w:rPr>
      <w:b/>
      <w:sz w:val="24"/>
      <w:lang w:val="pl-PL"/>
    </w:rPr>
  </w:style>
  <w:style w:type="character" w:customStyle="1" w:styleId="AmNumberTabsChar">
    <w:name w:val="AmNumberTabs Char"/>
    <w:basedOn w:val="DefaultParagraphFont"/>
    <w:link w:val="AmNumberTabs"/>
    <w:rsid w:val="004B26A5"/>
    <w:rPr>
      <w:b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8FD47-EC95-4064-BC49-CF38B1C16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2267</Words>
  <Characters>15900</Characters>
  <Application>Microsoft Office Word</Application>
  <DocSecurity>0</DocSecurity>
  <Lines>132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2025-04-02T17:42:00Z</dcterms:created>
  <dcterms:modified xsi:type="dcterms:W3CDTF">2025-04-02T17:42:00Z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A10-0041/2025</vt:lpwstr>
  </property>
  <property fmtid="{D5CDD505-2E9C-101B-9397-08002B2CF9AE}" pid="4" name="&lt;Type&gt;">
    <vt:lpwstr>RR</vt:lpwstr>
  </property>
</Properties>
</file>