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27EA" w14:paraId="74CDD1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7603CB" w14:textId="77777777" w:rsidR="00751A4A" w:rsidRPr="005027EA" w:rsidRDefault="005C44DB" w:rsidP="0010095E">
            <w:pPr>
              <w:pStyle w:val="EPName"/>
            </w:pPr>
            <w:r w:rsidRPr="005027EA">
              <w:t>Parlamento Europeu</w:t>
            </w:r>
          </w:p>
          <w:p w14:paraId="497C4A14" w14:textId="77777777" w:rsidR="00751A4A" w:rsidRPr="005027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27EA">
              <w:t>2024</w:t>
            </w:r>
            <w:r w:rsidR="00817416" w:rsidRPr="005027EA">
              <w:t>-202</w:t>
            </w:r>
            <w:r w:rsidRPr="005027EA">
              <w:t>9</w:t>
            </w:r>
          </w:p>
        </w:tc>
        <w:tc>
          <w:tcPr>
            <w:tcW w:w="2268" w:type="dxa"/>
            <w:shd w:val="clear" w:color="auto" w:fill="auto"/>
          </w:tcPr>
          <w:p w14:paraId="4032B81C" w14:textId="77777777" w:rsidR="00751A4A" w:rsidRPr="005027EA" w:rsidRDefault="00187494" w:rsidP="0010095E">
            <w:pPr>
              <w:pStyle w:val="EPLogo"/>
            </w:pPr>
            <w:r w:rsidRPr="005027EA">
              <w:rPr>
                <w:noProof/>
                <w:lang w:val="en-GB"/>
              </w:rPr>
              <w:drawing>
                <wp:inline distT="0" distB="0" distL="0" distR="0" wp14:anchorId="458306B6" wp14:editId="4EA540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0D873" w14:textId="77777777" w:rsidR="00D058B8" w:rsidRPr="005027EA" w:rsidRDefault="00D058B8" w:rsidP="004C5D52">
      <w:pPr>
        <w:pStyle w:val="LineTop"/>
      </w:pPr>
    </w:p>
    <w:p w14:paraId="30AC7318" w14:textId="77777777" w:rsidR="00680577" w:rsidRPr="005027EA" w:rsidRDefault="005C44DB" w:rsidP="00680577">
      <w:pPr>
        <w:pStyle w:val="EPBodyTA1"/>
      </w:pPr>
      <w:r w:rsidRPr="005027EA">
        <w:t>TEXTOS APROVADOS</w:t>
      </w:r>
    </w:p>
    <w:p w14:paraId="62C825DA" w14:textId="77777777" w:rsidR="00D058B8" w:rsidRPr="005027EA" w:rsidRDefault="00D058B8" w:rsidP="00D058B8">
      <w:pPr>
        <w:pStyle w:val="LineBottom"/>
      </w:pPr>
    </w:p>
    <w:p w14:paraId="3360F6A3" w14:textId="19460E9C" w:rsidR="005C44DB" w:rsidRPr="005027EA" w:rsidRDefault="005C44DB" w:rsidP="005C44DB">
      <w:pPr>
        <w:pStyle w:val="ATHeading1"/>
      </w:pPr>
      <w:bookmarkStart w:id="0" w:name="TANumber"/>
      <w:r w:rsidRPr="005027EA">
        <w:t>P10_TA(2025)00</w:t>
      </w:r>
      <w:r w:rsidR="00FE0018">
        <w:t>56</w:t>
      </w:r>
      <w:bookmarkEnd w:id="0"/>
    </w:p>
    <w:p w14:paraId="29E287E9" w14:textId="77777777" w:rsidR="005C44DB" w:rsidRPr="005027EA" w:rsidRDefault="005C44DB" w:rsidP="005C44DB">
      <w:pPr>
        <w:pStyle w:val="ATHeading2"/>
      </w:pPr>
      <w:bookmarkStart w:id="1" w:name="title"/>
      <w:r w:rsidRPr="005027EA">
        <w:t>Reforço da segurança dos bilhetes de identidade dos cidadãos da União e dos títulos de residência emitidos aos cidadãos da União e seus familiares que exercem o direito à livre circulação</w:t>
      </w:r>
      <w:bookmarkEnd w:id="1"/>
    </w:p>
    <w:p w14:paraId="7284AE10" w14:textId="77777777" w:rsidR="005C44DB" w:rsidRPr="005027EA" w:rsidRDefault="005C44DB" w:rsidP="005C44DB">
      <w:pPr>
        <w:rPr>
          <w:i/>
          <w:vanish/>
        </w:rPr>
      </w:pPr>
      <w:r w:rsidRPr="005027EA">
        <w:rPr>
          <w:i/>
        </w:rPr>
        <w:fldChar w:fldCharType="begin"/>
      </w:r>
      <w:r w:rsidRPr="005027EA">
        <w:rPr>
          <w:i/>
        </w:rPr>
        <w:instrText xml:space="preserve"> TC"(</w:instrText>
      </w:r>
      <w:bookmarkStart w:id="2" w:name="DocNumber"/>
      <w:r w:rsidRPr="005027EA">
        <w:rPr>
          <w:i/>
        </w:rPr>
        <w:instrText>A10-0041/2025</w:instrText>
      </w:r>
      <w:bookmarkEnd w:id="2"/>
      <w:r w:rsidRPr="005027EA">
        <w:rPr>
          <w:i/>
        </w:rPr>
        <w:instrText xml:space="preserve"> - Relator: Malik Azmani)"\l3 \n&gt; \* MERGEFORMAT </w:instrText>
      </w:r>
      <w:r w:rsidRPr="005027EA">
        <w:rPr>
          <w:i/>
        </w:rPr>
        <w:fldChar w:fldCharType="end"/>
      </w:r>
    </w:p>
    <w:p w14:paraId="67169365" w14:textId="77777777" w:rsidR="005C44DB" w:rsidRPr="005027EA" w:rsidRDefault="005C44DB" w:rsidP="005C44DB">
      <w:pPr>
        <w:rPr>
          <w:vanish/>
        </w:rPr>
      </w:pPr>
      <w:bookmarkStart w:id="3" w:name="Commission"/>
      <w:r w:rsidRPr="005027EA">
        <w:rPr>
          <w:vanish/>
        </w:rPr>
        <w:t>Comissão das Liberdades Cívicas, da Justiça e dos Assuntos Internos</w:t>
      </w:r>
      <w:bookmarkEnd w:id="3"/>
    </w:p>
    <w:p w14:paraId="682185FF" w14:textId="77777777" w:rsidR="005C44DB" w:rsidRPr="005027EA" w:rsidRDefault="005C44DB" w:rsidP="005C44DB">
      <w:pPr>
        <w:rPr>
          <w:vanish/>
        </w:rPr>
      </w:pPr>
      <w:bookmarkStart w:id="4" w:name="PE"/>
      <w:r w:rsidRPr="005027EA">
        <w:rPr>
          <w:vanish/>
        </w:rPr>
        <w:t>PE766.606</w:t>
      </w:r>
      <w:bookmarkEnd w:id="4"/>
    </w:p>
    <w:p w14:paraId="691E6E96" w14:textId="38C3A7D3" w:rsidR="005C44DB" w:rsidRPr="005027EA" w:rsidRDefault="005C44DB" w:rsidP="005C44DB">
      <w:pPr>
        <w:pStyle w:val="ATHeading3"/>
      </w:pPr>
      <w:bookmarkStart w:id="5" w:name="Sujet"/>
      <w:r w:rsidRPr="005027EA">
        <w:t xml:space="preserve">Resolução legislativa do Parlamento Europeu, de </w:t>
      </w:r>
      <w:r w:rsidR="00BE0968">
        <w:t>2</w:t>
      </w:r>
      <w:r w:rsidRPr="005027EA">
        <w:t xml:space="preserve"> de </w:t>
      </w:r>
      <w:r w:rsidR="00BE0968">
        <w:t>abril</w:t>
      </w:r>
      <w:r w:rsidRPr="005027EA">
        <w:t xml:space="preserve"> de 2025, sobre a proposta de regulamento do Conselho que visa reforçar a segurança dos bilhetes de identidade dos cidadãos da União e dos títulos de residência emitidos aos cidadãos da União e seus familiares que exercem o direito à livre circulação</w:t>
      </w:r>
      <w:bookmarkEnd w:id="5"/>
      <w:r w:rsidRPr="005027EA">
        <w:t xml:space="preserve"> </w:t>
      </w:r>
      <w:bookmarkStart w:id="6" w:name="References"/>
      <w:r w:rsidRPr="005027EA">
        <w:t>(COM(2024)0316 – C10-0112/2024 – 2024/0187(CNS))</w:t>
      </w:r>
      <w:bookmarkEnd w:id="6"/>
    </w:p>
    <w:p w14:paraId="4F85605C" w14:textId="7D0D4AD6" w:rsidR="00051FF1" w:rsidRPr="005027EA" w:rsidRDefault="00051FF1" w:rsidP="00051FF1">
      <w:pPr>
        <w:pStyle w:val="NormalBold"/>
      </w:pPr>
      <w:r w:rsidRPr="005027EA">
        <w:t xml:space="preserve">(Processo legislativo especial </w:t>
      </w:r>
      <w:r w:rsidR="00266E4C" w:rsidRPr="00266E4C">
        <w:t xml:space="preserve">– </w:t>
      </w:r>
      <w:r w:rsidRPr="005027EA">
        <w:t>consulta)</w:t>
      </w:r>
    </w:p>
    <w:p w14:paraId="4ACE8A87" w14:textId="77777777" w:rsidR="00051FF1" w:rsidRPr="005027EA" w:rsidRDefault="00051FF1" w:rsidP="00051FF1">
      <w:pPr>
        <w:pStyle w:val="EPComma"/>
      </w:pPr>
      <w:r w:rsidRPr="005027EA">
        <w:rPr>
          <w:i/>
          <w:iCs/>
        </w:rPr>
        <w:t>O Parlamento Europeu,</w:t>
      </w:r>
    </w:p>
    <w:p w14:paraId="70A54677" w14:textId="77777777" w:rsidR="00051FF1" w:rsidRPr="005027EA" w:rsidRDefault="00051FF1" w:rsidP="00051FF1">
      <w:pPr>
        <w:pStyle w:val="NormalHanging12a"/>
      </w:pPr>
      <w:r w:rsidRPr="005027EA">
        <w:t>–</w:t>
      </w:r>
      <w:r w:rsidRPr="005027EA">
        <w:tab/>
        <w:t>Tendo em conta a proposta da Comissão ao Conselho (COM(2024)0316),</w:t>
      </w:r>
    </w:p>
    <w:p w14:paraId="0F8D32E0" w14:textId="77777777" w:rsidR="00051FF1" w:rsidRPr="005027EA" w:rsidRDefault="00051FF1" w:rsidP="00051FF1">
      <w:pPr>
        <w:pStyle w:val="NormalHanging12a"/>
      </w:pPr>
      <w:r w:rsidRPr="005027EA">
        <w:t>–</w:t>
      </w:r>
      <w:r w:rsidRPr="005027EA">
        <w:tab/>
        <w:t>Tendo em conta o artigo 77.º, n.º 3, do Tratado sobre o Funcionamento da União Europeia, nos termos do qual foi consultado pelo Conselho (C10</w:t>
      </w:r>
      <w:r w:rsidRPr="005027EA">
        <w:noBreakHyphen/>
        <w:t>0112/2024),</w:t>
      </w:r>
    </w:p>
    <w:p w14:paraId="36E587BA" w14:textId="77777777" w:rsidR="00051FF1" w:rsidRPr="005027EA" w:rsidRDefault="00051FF1" w:rsidP="00051FF1">
      <w:pPr>
        <w:pStyle w:val="NormalHanging12a"/>
      </w:pPr>
      <w:r w:rsidRPr="005027EA">
        <w:t>–</w:t>
      </w:r>
      <w:r w:rsidRPr="005027EA">
        <w:tab/>
        <w:t>Tendo em conta o artigo 84.º do seu Regimento,</w:t>
      </w:r>
    </w:p>
    <w:p w14:paraId="1E94C7EF" w14:textId="77777777" w:rsidR="00051FF1" w:rsidRPr="005027EA" w:rsidRDefault="00051FF1" w:rsidP="00051FF1">
      <w:pPr>
        <w:pStyle w:val="NormalHanging12a"/>
      </w:pPr>
      <w:r w:rsidRPr="005027EA">
        <w:t>–</w:t>
      </w:r>
      <w:r w:rsidRPr="005027EA">
        <w:tab/>
        <w:t>Tendo em conta o relatório da Comissão das Liberdades Cívicas, da Justiça e dos Assuntos Internos (A10</w:t>
      </w:r>
      <w:r w:rsidRPr="005027EA">
        <w:noBreakHyphen/>
        <w:t>0041/2025),</w:t>
      </w:r>
    </w:p>
    <w:p w14:paraId="4CC6DBBD" w14:textId="77777777" w:rsidR="00051FF1" w:rsidRPr="005027EA" w:rsidRDefault="00051FF1" w:rsidP="00051FF1">
      <w:pPr>
        <w:pStyle w:val="NormalHanging12a"/>
      </w:pPr>
      <w:r w:rsidRPr="005027EA">
        <w:t>1.</w:t>
      </w:r>
      <w:r w:rsidRPr="005027EA">
        <w:tab/>
        <w:t>Aprova a proposta da Comissão com as alterações nela introduzidas;</w:t>
      </w:r>
    </w:p>
    <w:p w14:paraId="03E8B92E" w14:textId="77777777" w:rsidR="00051FF1" w:rsidRPr="005027EA" w:rsidRDefault="00051FF1" w:rsidP="00051FF1">
      <w:pPr>
        <w:pStyle w:val="NormalHanging12a"/>
      </w:pPr>
      <w:r w:rsidRPr="005027EA">
        <w:t>2.</w:t>
      </w:r>
      <w:r w:rsidRPr="005027EA">
        <w:tab/>
        <w:t>Convida a Comissão a alterar a sua proposta no mesmo sentido, nos termos do artigo 293.º, n.º 2, do Tratado sobre o Funcionamento da União Europeia;</w:t>
      </w:r>
    </w:p>
    <w:p w14:paraId="1214D32F" w14:textId="77777777" w:rsidR="00051FF1" w:rsidRPr="005027EA" w:rsidRDefault="00051FF1" w:rsidP="00051FF1">
      <w:pPr>
        <w:pStyle w:val="NormalHanging12a"/>
      </w:pPr>
      <w:r w:rsidRPr="005027EA">
        <w:t>3.</w:t>
      </w:r>
      <w:r w:rsidRPr="005027EA">
        <w:tab/>
        <w:t>Solicita ao Conselho que o informe, se entender afastar</w:t>
      </w:r>
      <w:r w:rsidRPr="005027EA">
        <w:noBreakHyphen/>
        <w:t>se do texto aprovado pelo Parlamento;</w:t>
      </w:r>
    </w:p>
    <w:p w14:paraId="43F671C3" w14:textId="77777777" w:rsidR="00051FF1" w:rsidRPr="005027EA" w:rsidRDefault="00051FF1" w:rsidP="00051FF1">
      <w:pPr>
        <w:pStyle w:val="NormalHanging12a"/>
      </w:pPr>
      <w:r w:rsidRPr="005027EA">
        <w:t>4.</w:t>
      </w:r>
      <w:r w:rsidRPr="005027EA">
        <w:tab/>
        <w:t>Solicita nova consulta, caso o Conselho tencione alterar substancialmente a proposta da Comissão;</w:t>
      </w:r>
    </w:p>
    <w:p w14:paraId="3933396C" w14:textId="77777777" w:rsidR="00FE0018" w:rsidRDefault="00051FF1" w:rsidP="00051FF1">
      <w:pPr>
        <w:pStyle w:val="NormalHanging12a"/>
        <w:sectPr w:rsidR="00FE0018" w:rsidSect="007361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027EA">
        <w:t>5.</w:t>
      </w:r>
      <w:r w:rsidRPr="005027EA">
        <w:tab/>
        <w:t>Encarrega a sua Presidente de transmitir a posição do Parlamento ao Conselho</w:t>
      </w:r>
      <w:r w:rsidR="000B7661">
        <w:t>,</w:t>
      </w:r>
      <w:r w:rsidRPr="005027EA">
        <w:t xml:space="preserve"> à Comissão </w:t>
      </w:r>
      <w:r w:rsidR="000B7661">
        <w:t>e</w:t>
      </w:r>
      <w:r w:rsidRPr="005027EA">
        <w:t xml:space="preserve"> aos parlamentos nacionais.</w:t>
      </w:r>
    </w:p>
    <w:p w14:paraId="12217068" w14:textId="77777777" w:rsidR="00051FF1" w:rsidRPr="005027EA" w:rsidRDefault="00051FF1" w:rsidP="00051FF1">
      <w:pPr>
        <w:pStyle w:val="AmNumberTabs"/>
        <w:keepNext/>
      </w:pPr>
      <w:bookmarkStart w:id="7" w:name="_GoBack"/>
      <w:bookmarkEnd w:id="7"/>
      <w:r w:rsidRPr="005027EA">
        <w:t>Alteração</w:t>
      </w:r>
      <w:r w:rsidRPr="005027EA">
        <w:tab/>
      </w:r>
      <w:r w:rsidRPr="005027EA">
        <w:tab/>
        <w:t>1</w:t>
      </w:r>
    </w:p>
    <w:p w14:paraId="27E212F6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26FE1E4B" w14:textId="77777777" w:rsidR="00051FF1" w:rsidRPr="005027EA" w:rsidRDefault="00051FF1" w:rsidP="00051FF1">
      <w:pPr>
        <w:pStyle w:val="NormalBold"/>
      </w:pPr>
      <w:r w:rsidRPr="005027EA">
        <w:t>Considerando 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1CF81F71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CDC30" w14:textId="77777777" w:rsidR="00051FF1" w:rsidRPr="005027EA" w:rsidRDefault="00051FF1" w:rsidP="00134E7B"/>
        </w:tc>
      </w:tr>
      <w:tr w:rsidR="00051FF1" w:rsidRPr="005027EA" w14:paraId="19C7DEB6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AEB38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EB3E2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07481449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7BE64" w14:textId="77777777" w:rsidR="00051FF1" w:rsidRPr="005027EA" w:rsidRDefault="00051FF1" w:rsidP="00134E7B">
            <w:pPr>
              <w:pStyle w:val="Normal6a"/>
            </w:pPr>
            <w:r w:rsidRPr="005027EA">
              <w:t>(19)</w:t>
            </w:r>
            <w:r w:rsidRPr="005027EA">
              <w:tab/>
              <w:t>O presente regulamento não estabelece uma base jurídica para a criação ou a manutenção de bases de dados a nível nacional para o armazenamento de dados biométricos nos Estados‑Membros, questão que é regida pelo direito nacional, que deve ser conforme com o direito da União em matéria de proteção de dados, incluindo no que diz respeito aos requisitos de necessidade e proporcionalidade. O presente regulamento também não estabelece uma base jurídica para a criação ou a manutenção de uma base de dados centralizada a nível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FC6BD" w14:textId="77777777" w:rsidR="00051FF1" w:rsidRPr="005027EA" w:rsidRDefault="00051FF1" w:rsidP="00134E7B">
            <w:pPr>
              <w:pStyle w:val="Normal6a"/>
            </w:pPr>
            <w:r w:rsidRPr="005027EA">
              <w:t>(19)</w:t>
            </w:r>
            <w:r w:rsidRPr="005027EA">
              <w:tab/>
              <w:t xml:space="preserve">O presente regulamento não estabelece uma base jurídica para a criação ou a manutenção de bases de dados a nível nacional para o armazenamento de dados biométricos nos Estados‑Membros. O presente regulamento também não estabelece uma base jurídica para a criação ou a manutenção de uma base de dados centralizada a nível da União. </w:t>
            </w:r>
            <w:r w:rsidRPr="005027EA">
              <w:rPr>
                <w:b/>
                <w:i/>
              </w:rPr>
              <w:t>Conforme recordado pela Autoridade Europeia para a Proteção de Dados no seu parecer 21/2024, a criação ou manutenção de bases de dados a nível nacional para o armazenamento de dados biométricos nos Estados</w:t>
            </w:r>
            <w:r w:rsidRPr="005027EA">
              <w:rPr>
                <w:b/>
                <w:i/>
              </w:rPr>
              <w:noBreakHyphen/>
              <w:t>Membros ou, de igual modo, a criação ou manutenção de uma base de dados centralizada a nível da União, juntamente com a potencial utilização desses dados para outros fins, terão de satisfazer um critério de estrita necessidade e proporcionalidade ao abrigo da Carta, tal como interpretado pela jurisprudência pertinente do Tribunal de Justiça.</w:t>
            </w:r>
          </w:p>
        </w:tc>
      </w:tr>
    </w:tbl>
    <w:p w14:paraId="733EDCE7" w14:textId="77777777" w:rsidR="00051FF1" w:rsidRPr="005027EA" w:rsidRDefault="00051FF1" w:rsidP="00051FF1"/>
    <w:p w14:paraId="4DAD8673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2</w:t>
      </w:r>
    </w:p>
    <w:p w14:paraId="150BBF6C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7EBB5D4F" w14:textId="77777777" w:rsidR="00051FF1" w:rsidRPr="005027EA" w:rsidRDefault="00051FF1" w:rsidP="00051FF1">
      <w:pPr>
        <w:pStyle w:val="NormalBold"/>
      </w:pPr>
      <w:r w:rsidRPr="005027EA">
        <w:t>Considerando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5AC3F268" w14:textId="77777777" w:rsidTr="00134E7B">
        <w:trPr>
          <w:jc w:val="center"/>
        </w:trPr>
        <w:tc>
          <w:tcPr>
            <w:tcW w:w="9752" w:type="dxa"/>
            <w:gridSpan w:val="2"/>
          </w:tcPr>
          <w:p w14:paraId="74F7A00C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5708341E" w14:textId="77777777" w:rsidTr="00134E7B">
        <w:trPr>
          <w:jc w:val="center"/>
        </w:trPr>
        <w:tc>
          <w:tcPr>
            <w:tcW w:w="4876" w:type="dxa"/>
          </w:tcPr>
          <w:p w14:paraId="2A3757F9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2836BD48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28B2F157" w14:textId="77777777" w:rsidTr="00134E7B">
        <w:trPr>
          <w:jc w:val="center"/>
        </w:trPr>
        <w:tc>
          <w:tcPr>
            <w:tcW w:w="4876" w:type="dxa"/>
          </w:tcPr>
          <w:p w14:paraId="70C44F3E" w14:textId="77777777" w:rsidR="00051FF1" w:rsidRPr="005027EA" w:rsidRDefault="00051FF1" w:rsidP="00134E7B">
            <w:pPr>
              <w:pStyle w:val="Normal6"/>
            </w:pPr>
            <w:r w:rsidRPr="005027EA">
              <w:t>(20)</w:t>
            </w:r>
            <w:r w:rsidRPr="005027EA">
              <w:tab/>
            </w:r>
            <w:r w:rsidRPr="005027EA">
              <w:rPr>
                <w:b/>
                <w:i/>
              </w:rPr>
              <w:t>Os dados biométricos deverão ser recolhidos e armazenados</w:t>
            </w:r>
            <w:r w:rsidRPr="005027EA">
              <w:t xml:space="preserve"> no suporte de armazenamento dos bilhetes de identidade e títulos de residência para efeitos de verificação da autenticidade do documento e da identidade do titular.</w:t>
            </w:r>
            <w:r w:rsidRPr="005027EA">
              <w:rPr>
                <w:i/>
              </w:rPr>
              <w:t xml:space="preserve"> </w:t>
            </w:r>
            <w:r w:rsidRPr="005027EA">
              <w:rPr>
                <w:b/>
                <w:i/>
              </w:rPr>
              <w:t>Dada a assinatura eletrónica no suporte de armazenamento dos bilhetes de identidade, a identificação do titular através do suporte de armazenamento, que contém os mesmos dados biográficos impressos no documento, é mais fiável do que um controlo visual do documento.</w:t>
            </w:r>
            <w:r w:rsidRPr="005027EA">
              <w:rPr>
                <w:i/>
              </w:rPr>
              <w:t xml:space="preserve"> </w:t>
            </w:r>
            <w:r w:rsidRPr="005027EA">
              <w:rPr>
                <w:b/>
                <w:i/>
              </w:rPr>
              <w:t>Por conseguinte</w:t>
            </w:r>
            <w:r w:rsidRPr="005027EA">
              <w:t xml:space="preserve">, </w:t>
            </w:r>
            <w:r w:rsidRPr="005027EA">
              <w:rPr>
                <w:b/>
                <w:i/>
              </w:rPr>
              <w:t xml:space="preserve">os cidadãos da União </w:t>
            </w:r>
            <w:r w:rsidRPr="005027EA">
              <w:t xml:space="preserve">devem ser </w:t>
            </w:r>
            <w:r w:rsidRPr="005027EA">
              <w:rPr>
                <w:b/>
                <w:i/>
              </w:rPr>
              <w:t>autorizados a utilizar os dados armazenados no suporte de armazenamento do seu bilhete de identidade para se identificarem perante entidades privadas. No entanto, a verificação das impressões digitais armazenadas no suporte</w:t>
            </w:r>
            <w:r w:rsidRPr="005027EA">
              <w:t xml:space="preserve"> de </w:t>
            </w:r>
            <w:r w:rsidRPr="005027EA">
              <w:rPr>
                <w:b/>
                <w:i/>
              </w:rPr>
              <w:t>armazenamento só deve ser efetuada por pessoal devidamente habilitado e apenas quando a lei exigir</w:t>
            </w:r>
            <w:r w:rsidRPr="005027EA">
              <w:t xml:space="preserve"> a </w:t>
            </w:r>
            <w:r w:rsidRPr="005027EA">
              <w:rPr>
                <w:b/>
                <w:i/>
              </w:rPr>
              <w:t>apresentação do documento</w:t>
            </w:r>
            <w:r w:rsidRPr="005027EA">
              <w:t>.</w:t>
            </w:r>
          </w:p>
        </w:tc>
        <w:tc>
          <w:tcPr>
            <w:tcW w:w="4876" w:type="dxa"/>
          </w:tcPr>
          <w:p w14:paraId="3620F064" w14:textId="77777777" w:rsidR="00051FF1" w:rsidRPr="005027EA" w:rsidRDefault="00051FF1" w:rsidP="00134E7B">
            <w:pPr>
              <w:pStyle w:val="Normal6"/>
              <w:rPr>
                <w:szCs w:val="24"/>
              </w:rPr>
            </w:pPr>
            <w:r w:rsidRPr="005027EA">
              <w:t>(20)</w:t>
            </w:r>
            <w:r w:rsidRPr="005027EA">
              <w:tab/>
            </w:r>
            <w:r w:rsidRPr="005027EA">
              <w:rPr>
                <w:b/>
                <w:i/>
              </w:rPr>
              <w:t>As imagens faciais armazenadas</w:t>
            </w:r>
            <w:r w:rsidRPr="005027EA">
              <w:t xml:space="preserve"> no suporte de armazenamento dos bilhetes de identidade e títulos de residência </w:t>
            </w:r>
            <w:r w:rsidRPr="005027EA">
              <w:rPr>
                <w:b/>
                <w:i/>
              </w:rPr>
              <w:t xml:space="preserve">só devem ser consultadas por pessoal devidamente habilitado das autoridades nacionais competentes, das agências da União e das entidades privadas </w:t>
            </w:r>
            <w:r w:rsidRPr="005027EA">
              <w:t>para efeitos de verificação da autenticidade do documento e da identidade do titular.</w:t>
            </w:r>
            <w:r w:rsidRPr="005027EA">
              <w:rPr>
                <w:b/>
                <w:i/>
              </w:rPr>
              <w:t xml:space="preserve"> Esse acesso deve respeitar o direito da União em matéria</w:t>
            </w:r>
            <w:r w:rsidRPr="005027EA">
              <w:t xml:space="preserve"> de </w:t>
            </w:r>
            <w:r w:rsidRPr="005027EA">
              <w:rPr>
                <w:b/>
                <w:i/>
              </w:rPr>
              <w:t>proteção</w:t>
            </w:r>
            <w:r w:rsidRPr="005027EA">
              <w:t xml:space="preserve"> de </w:t>
            </w:r>
            <w:r w:rsidRPr="005027EA">
              <w:rPr>
                <w:b/>
                <w:i/>
              </w:rPr>
              <w:t>dados. As imagens faciais não devem ser conservadas durante</w:t>
            </w:r>
            <w:r w:rsidRPr="005027EA">
              <w:t xml:space="preserve"> mais </w:t>
            </w:r>
            <w:r w:rsidRPr="005027EA">
              <w:rPr>
                <w:b/>
                <w:i/>
              </w:rPr>
              <w:t>tempo</w:t>
            </w:r>
            <w:r w:rsidRPr="005027EA">
              <w:t xml:space="preserve"> do que </w:t>
            </w:r>
            <w:r w:rsidRPr="005027EA">
              <w:rPr>
                <w:b/>
                <w:i/>
              </w:rPr>
              <w:t>o necessário para esses fins</w:t>
            </w:r>
            <w:r w:rsidRPr="005027EA">
              <w:t xml:space="preserve">, devem ser </w:t>
            </w:r>
            <w:r w:rsidRPr="005027EA">
              <w:rPr>
                <w:b/>
                <w:i/>
              </w:rPr>
              <w:t>apagadas logo que tenham sido atingidos esses fins, e não devem ser transferidas para países terceiros ou para organizações internacionais, a menos que o direito da União em matéria de proteção</w:t>
            </w:r>
            <w:r w:rsidRPr="005027EA">
              <w:t xml:space="preserve"> de </w:t>
            </w:r>
            <w:r w:rsidRPr="005027EA">
              <w:rPr>
                <w:b/>
                <w:i/>
              </w:rPr>
              <w:t>dados o permita. Essas garantias destinam</w:t>
            </w:r>
            <w:r w:rsidRPr="005027EA">
              <w:rPr>
                <w:b/>
                <w:i/>
              </w:rPr>
              <w:noBreakHyphen/>
              <w:t>se a assegurar uma proteção adequada da imagem facial, sem proibir</w:t>
            </w:r>
            <w:r w:rsidRPr="005027EA">
              <w:t xml:space="preserve"> a </w:t>
            </w:r>
            <w:r w:rsidRPr="005027EA">
              <w:rPr>
                <w:b/>
                <w:i/>
              </w:rPr>
              <w:t>sua utilização</w:t>
            </w:r>
            <w:r w:rsidRPr="005027EA">
              <w:t>.</w:t>
            </w:r>
          </w:p>
        </w:tc>
      </w:tr>
    </w:tbl>
    <w:p w14:paraId="73E1553E" w14:textId="77777777" w:rsidR="00051FF1" w:rsidRPr="005027EA" w:rsidRDefault="00051FF1" w:rsidP="00051FF1"/>
    <w:p w14:paraId="26902608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3</w:t>
      </w:r>
    </w:p>
    <w:p w14:paraId="030FDA26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1230A419" w14:textId="77777777" w:rsidR="00051FF1" w:rsidRPr="005027EA" w:rsidRDefault="00051FF1" w:rsidP="00051FF1">
      <w:pPr>
        <w:pStyle w:val="NormalBold"/>
      </w:pPr>
      <w:r w:rsidRPr="005027EA">
        <w:t>Considerando 20</w:t>
      </w:r>
      <w:r w:rsidRPr="005027EA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6D6C4EB6" w14:textId="77777777" w:rsidTr="00134E7B">
        <w:trPr>
          <w:jc w:val="center"/>
        </w:trPr>
        <w:tc>
          <w:tcPr>
            <w:tcW w:w="9752" w:type="dxa"/>
            <w:gridSpan w:val="2"/>
          </w:tcPr>
          <w:p w14:paraId="6F1400B7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3D7D0BC0" w14:textId="77777777" w:rsidTr="00134E7B">
        <w:trPr>
          <w:jc w:val="center"/>
        </w:trPr>
        <w:tc>
          <w:tcPr>
            <w:tcW w:w="4876" w:type="dxa"/>
          </w:tcPr>
          <w:p w14:paraId="6F147B0C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7FC180F4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4ED06BEC" w14:textId="77777777" w:rsidTr="00134E7B">
        <w:trPr>
          <w:jc w:val="center"/>
        </w:trPr>
        <w:tc>
          <w:tcPr>
            <w:tcW w:w="4876" w:type="dxa"/>
          </w:tcPr>
          <w:p w14:paraId="01388904" w14:textId="77777777" w:rsidR="00051FF1" w:rsidRPr="005027EA" w:rsidRDefault="00051FF1" w:rsidP="00134E7B">
            <w:pPr>
              <w:pStyle w:val="Normal6"/>
            </w:pPr>
          </w:p>
        </w:tc>
        <w:tc>
          <w:tcPr>
            <w:tcW w:w="4876" w:type="dxa"/>
          </w:tcPr>
          <w:p w14:paraId="70ECFDC5" w14:textId="77777777" w:rsidR="00051FF1" w:rsidRPr="005027EA" w:rsidRDefault="00051FF1" w:rsidP="00134E7B">
            <w:pPr>
              <w:pStyle w:val="Normal6"/>
              <w:rPr>
                <w:b/>
                <w:i/>
                <w:szCs w:val="24"/>
              </w:rPr>
            </w:pPr>
            <w:r w:rsidRPr="005027EA">
              <w:rPr>
                <w:b/>
                <w:i/>
              </w:rPr>
              <w:t>(20</w:t>
            </w:r>
            <w:r w:rsidRPr="005027EA">
              <w:rPr>
                <w:b/>
                <w:i/>
              </w:rPr>
              <w:noBreakHyphen/>
              <w:t>A)</w:t>
            </w:r>
            <w:r w:rsidRPr="005027EA">
              <w:rPr>
                <w:b/>
                <w:i/>
              </w:rPr>
              <w:tab/>
              <w:t>A verificação das impressões digitais armazenadas no suporte de armazenamento só deve ser efetuada por pessoal devidamente habilitado das autoridades nacionais competentes e das agências da União, e apenas quando o direito da União ou o direito nacional exigir a apresentação do documento.</w:t>
            </w:r>
          </w:p>
        </w:tc>
      </w:tr>
    </w:tbl>
    <w:p w14:paraId="2CC91DC5" w14:textId="77777777" w:rsidR="00051FF1" w:rsidRPr="005027EA" w:rsidRDefault="00051FF1" w:rsidP="00051FF1"/>
    <w:p w14:paraId="3A87CAA9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4</w:t>
      </w:r>
    </w:p>
    <w:p w14:paraId="067682CD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0B8497F1" w14:textId="77777777" w:rsidR="00051FF1" w:rsidRPr="005027EA" w:rsidRDefault="00051FF1" w:rsidP="00051FF1">
      <w:pPr>
        <w:pStyle w:val="NormalBold"/>
      </w:pPr>
      <w:r w:rsidRPr="005027EA">
        <w:t>Considerando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515CE61D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5A521" w14:textId="77777777" w:rsidR="00051FF1" w:rsidRPr="005027EA" w:rsidRDefault="00051FF1" w:rsidP="00134E7B"/>
        </w:tc>
      </w:tr>
      <w:tr w:rsidR="00051FF1" w:rsidRPr="005027EA" w14:paraId="690BFF65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4BB93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CFCD4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02807447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1B03E" w14:textId="77777777" w:rsidR="00051FF1" w:rsidRPr="005027EA" w:rsidRDefault="00051FF1" w:rsidP="00134E7B">
            <w:pPr>
              <w:pStyle w:val="Normal6a"/>
            </w:pPr>
            <w:r w:rsidRPr="005027EA">
              <w:t>(23)</w:t>
            </w:r>
            <w:r w:rsidRPr="005027EA">
              <w:tab/>
              <w:t>Os Estados</w:t>
            </w:r>
            <w:r w:rsidRPr="005027EA">
              <w:noBreakHyphen/>
              <w:t>Membros devem poder decidir incluir ou não o género de uma pessoa num documento abrangido pelo presente regulamento. Se um Estado</w:t>
            </w:r>
            <w:r w:rsidRPr="005027EA">
              <w:noBreakHyphen/>
              <w:t>Membro incluir o género de uma pessoa nesse documento, deve utilizar as especificações previstas do documento 9303 da OACI «F», «M» ou «X» ou a inicial correspondente na língua ou línguas desse Estado</w:t>
            </w:r>
            <w:r w:rsidRPr="005027EA">
              <w:noBreakHyphen/>
              <w:t>Membro, consoante o caso.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2F93D" w14:textId="4592371D" w:rsidR="00051FF1" w:rsidRPr="005027EA" w:rsidRDefault="00051FF1" w:rsidP="00134E7B">
            <w:pPr>
              <w:pStyle w:val="Normal6a"/>
            </w:pPr>
            <w:r w:rsidRPr="005027EA">
              <w:t>(23)</w:t>
            </w:r>
            <w:r w:rsidRPr="005027EA">
              <w:tab/>
            </w:r>
            <w:r w:rsidRPr="005027EA">
              <w:rPr>
                <w:b/>
                <w:i/>
              </w:rPr>
              <w:t>Sem prejuízo da jurisprudência do Tribunal de Justiça</w:t>
            </w:r>
            <w:r w:rsidRPr="005027EA">
              <w:rPr>
                <w:b/>
                <w:i/>
                <w:vertAlign w:val="superscript"/>
              </w:rPr>
              <w:t>1</w:t>
            </w:r>
            <w:r w:rsidR="000B7661">
              <w:rPr>
                <w:b/>
                <w:i/>
                <w:vertAlign w:val="superscript"/>
              </w:rPr>
              <w:t>-A</w:t>
            </w:r>
            <w:r w:rsidRPr="005027EA">
              <w:rPr>
                <w:b/>
                <w:i/>
              </w:rPr>
              <w:t>,</w:t>
            </w:r>
            <w:r w:rsidRPr="005027EA">
              <w:t xml:space="preserve"> os Estados</w:t>
            </w:r>
            <w:r w:rsidRPr="005027EA">
              <w:noBreakHyphen/>
              <w:t>Membros devem poder decidir incluir ou não o género de uma pessoa num documento abrangido pelo presente regulamento. Se um Estado</w:t>
            </w:r>
            <w:r w:rsidRPr="005027EA">
              <w:noBreakHyphen/>
              <w:t>Membro incluir o género de uma pessoa nesse documento, deve utilizar as especificações previstas do documento 9303 da OACI «F», «M» ou «X» ou a inicial correspondente na língua ou línguas desse Estado</w:t>
            </w:r>
            <w:r w:rsidRPr="005027EA">
              <w:noBreakHyphen/>
              <w:t>Membro, consoante o caso.</w:t>
            </w:r>
          </w:p>
        </w:tc>
      </w:tr>
      <w:tr w:rsidR="00051FF1" w:rsidRPr="005027EA" w14:paraId="3D98E50D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9767A" w14:textId="77777777" w:rsidR="00051FF1" w:rsidRPr="005027EA" w:rsidRDefault="00051FF1" w:rsidP="00134E7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2E005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_________________</w:t>
            </w:r>
          </w:p>
        </w:tc>
      </w:tr>
      <w:tr w:rsidR="00051FF1" w:rsidRPr="005027EA" w14:paraId="27B3341F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7F745" w14:textId="77777777" w:rsidR="00051FF1" w:rsidRPr="005027EA" w:rsidRDefault="00051FF1" w:rsidP="00134E7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5D9D9" w14:textId="77777777" w:rsidR="00051FF1" w:rsidRPr="005027EA" w:rsidRDefault="00051FF1" w:rsidP="00134E7B">
            <w:pPr>
              <w:pStyle w:val="Normal6a"/>
            </w:pPr>
            <w:r w:rsidRPr="00FE0018">
              <w:rPr>
                <w:b/>
                <w:i/>
                <w:vertAlign w:val="superscript"/>
              </w:rPr>
              <w:t>1</w:t>
            </w:r>
            <w:r w:rsidRPr="00FE0018">
              <w:rPr>
                <w:b/>
                <w:i/>
                <w:vertAlign w:val="superscript"/>
              </w:rPr>
              <w:noBreakHyphen/>
              <w:t>A</w:t>
            </w:r>
            <w:r w:rsidRPr="005027EA">
              <w:rPr>
                <w:b/>
                <w:i/>
              </w:rPr>
              <w:t xml:space="preserve"> Acórdão do Tribunal de Justiça de 4 de outubro de 2024, Mirin, C</w:t>
            </w:r>
            <w:r w:rsidRPr="005027EA">
              <w:rPr>
                <w:b/>
                <w:i/>
              </w:rPr>
              <w:noBreakHyphen/>
              <w:t>4/23, ECLI:EU:C:2024:845</w:t>
            </w:r>
          </w:p>
        </w:tc>
      </w:tr>
    </w:tbl>
    <w:p w14:paraId="20E35E62" w14:textId="77777777" w:rsidR="00051FF1" w:rsidRPr="005027EA" w:rsidRDefault="00051FF1" w:rsidP="00051FF1"/>
    <w:p w14:paraId="4DA89644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5</w:t>
      </w:r>
    </w:p>
    <w:p w14:paraId="57997F2D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36B0BE56" w14:textId="77777777" w:rsidR="00051FF1" w:rsidRPr="005027EA" w:rsidRDefault="00051FF1" w:rsidP="00051FF1">
      <w:pPr>
        <w:pStyle w:val="NormalBold"/>
      </w:pPr>
      <w:r w:rsidRPr="005027EA">
        <w:t>Considerando 26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712754F7" w14:textId="77777777" w:rsidTr="00134E7B">
        <w:trPr>
          <w:jc w:val="center"/>
        </w:trPr>
        <w:tc>
          <w:tcPr>
            <w:tcW w:w="9752" w:type="dxa"/>
            <w:gridSpan w:val="2"/>
          </w:tcPr>
          <w:p w14:paraId="3582ACAE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13DD3A42" w14:textId="77777777" w:rsidTr="00134E7B">
        <w:trPr>
          <w:jc w:val="center"/>
        </w:trPr>
        <w:tc>
          <w:tcPr>
            <w:tcW w:w="4876" w:type="dxa"/>
          </w:tcPr>
          <w:p w14:paraId="0CF38C0F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7650C688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3DDD33A4" w14:textId="77777777" w:rsidTr="00134E7B">
        <w:trPr>
          <w:jc w:val="center"/>
        </w:trPr>
        <w:tc>
          <w:tcPr>
            <w:tcW w:w="4876" w:type="dxa"/>
          </w:tcPr>
          <w:p w14:paraId="2910AA5A" w14:textId="77777777" w:rsidR="00051FF1" w:rsidRPr="005027EA" w:rsidRDefault="00051FF1" w:rsidP="00134E7B">
            <w:pPr>
              <w:pStyle w:val="Normal6"/>
            </w:pPr>
            <w:r w:rsidRPr="005027EA">
              <w:t>(26)</w:t>
            </w:r>
            <w:r w:rsidRPr="005027EA">
              <w:tab/>
              <w:t>Se forem encontradas dificuldades na recolha dos identificadores biométricos, os Estados‑Membros devem assegurar a aplicação de procedimentos adequados para respeitar a dignidade da pessoa em causa. Por conseguinte, devem ser tidas em conta considerações específicas relacionadas com o género e as necessidades específicas das crianças e das pessoas vulneráveis.</w:t>
            </w:r>
          </w:p>
        </w:tc>
        <w:tc>
          <w:tcPr>
            <w:tcW w:w="4876" w:type="dxa"/>
          </w:tcPr>
          <w:p w14:paraId="7F641742" w14:textId="77777777" w:rsidR="00051FF1" w:rsidRPr="005027EA" w:rsidRDefault="00051FF1" w:rsidP="00134E7B">
            <w:pPr>
              <w:pStyle w:val="Normal6"/>
              <w:rPr>
                <w:b/>
                <w:i/>
                <w:szCs w:val="24"/>
              </w:rPr>
            </w:pPr>
            <w:r w:rsidRPr="005027EA">
              <w:t>(26)</w:t>
            </w:r>
            <w:r w:rsidRPr="005027EA">
              <w:tab/>
              <w:t xml:space="preserve">Se forem encontradas dificuldades na recolha dos identificadores biométricos, os Estados‑Membros devem assegurar a aplicação de procedimentos adequados para respeitar a dignidade da pessoa em causa. Por conseguinte, devem ser tidas em conta considerações específicas relacionadas com o género e as necessidades específicas das crianças e das pessoas vulneráveis. </w:t>
            </w:r>
            <w:r w:rsidRPr="005027EA">
              <w:rPr>
                <w:b/>
                <w:i/>
              </w:rPr>
              <w:t>O pessoal qualificado deve receber formação sobre as melhores práticas para a recolha de identificadores biométricos de crianças e pessoas vulneráveis, garantindo a sensibilidade às necessidades específicas de género e de idade, respeitando simultaneamente a dignidade de todas as pessoas.</w:t>
            </w:r>
          </w:p>
        </w:tc>
      </w:tr>
    </w:tbl>
    <w:p w14:paraId="6A12ED5F" w14:textId="77777777" w:rsidR="00051FF1" w:rsidRPr="005027EA" w:rsidRDefault="00051FF1" w:rsidP="00051FF1"/>
    <w:p w14:paraId="73294AB2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6</w:t>
      </w:r>
    </w:p>
    <w:p w14:paraId="1223922B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79AB26B4" w14:textId="77777777" w:rsidR="00051FF1" w:rsidRPr="005027EA" w:rsidRDefault="00051FF1" w:rsidP="00051FF1">
      <w:pPr>
        <w:pStyle w:val="NormalBold"/>
      </w:pPr>
      <w:r w:rsidRPr="005027EA">
        <w:t>Considerando 32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20DAA8E7" w14:textId="77777777" w:rsidTr="00134E7B">
        <w:trPr>
          <w:jc w:val="center"/>
        </w:trPr>
        <w:tc>
          <w:tcPr>
            <w:tcW w:w="9752" w:type="dxa"/>
            <w:gridSpan w:val="2"/>
          </w:tcPr>
          <w:p w14:paraId="35F8B23D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6D46461B" w14:textId="77777777" w:rsidTr="00134E7B">
        <w:trPr>
          <w:jc w:val="center"/>
        </w:trPr>
        <w:tc>
          <w:tcPr>
            <w:tcW w:w="4876" w:type="dxa"/>
          </w:tcPr>
          <w:p w14:paraId="7F8E581E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12D76B91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19F2C24E" w14:textId="77777777" w:rsidTr="00134E7B">
        <w:trPr>
          <w:jc w:val="center"/>
        </w:trPr>
        <w:tc>
          <w:tcPr>
            <w:tcW w:w="4876" w:type="dxa"/>
          </w:tcPr>
          <w:p w14:paraId="3BFC6EFF" w14:textId="77777777" w:rsidR="00051FF1" w:rsidRPr="005027EA" w:rsidRDefault="00051FF1" w:rsidP="00134E7B">
            <w:pPr>
              <w:pStyle w:val="Normal6"/>
            </w:pPr>
            <w:r w:rsidRPr="005027EA">
              <w:t>(32)</w:t>
            </w:r>
            <w:r w:rsidRPr="005027EA">
              <w:tab/>
              <w:t>Os Estados</w:t>
            </w:r>
            <w:r w:rsidRPr="005027EA">
              <w:noBreakHyphen/>
              <w:t>Membros devem trocar entre si as informações que sejam necessárias para consultar, autenticar e verificar as informações incluídas no suporte de armazenamento seguro. Os formatos utilizados para o suporte de armazenamento seguro devem ser interoperáveis, incluindo no que respeita aos pontos de passagem de fronteira automatizados.</w:t>
            </w:r>
          </w:p>
        </w:tc>
        <w:tc>
          <w:tcPr>
            <w:tcW w:w="4876" w:type="dxa"/>
          </w:tcPr>
          <w:p w14:paraId="5E3B09C5" w14:textId="77777777" w:rsidR="00051FF1" w:rsidRPr="005027EA" w:rsidRDefault="00051FF1" w:rsidP="00134E7B">
            <w:pPr>
              <w:pStyle w:val="Normal6"/>
              <w:rPr>
                <w:b/>
                <w:i/>
                <w:szCs w:val="24"/>
              </w:rPr>
            </w:pPr>
            <w:r w:rsidRPr="005027EA">
              <w:t>(32)</w:t>
            </w:r>
            <w:r w:rsidRPr="005027EA">
              <w:tab/>
              <w:t>Os Estados</w:t>
            </w:r>
            <w:r w:rsidRPr="005027EA">
              <w:noBreakHyphen/>
              <w:t>Membros devem trocar entre si as informações que sejam necessárias para consultar, autenticar e verificar as informações incluídas no suporte de armazenamento seguro. Os formatos utilizados para o suporte de armazenamento seguro devem ser interoperáveis, incluindo no que respeita aos pontos de passagem de fronteira automatizados.</w:t>
            </w:r>
            <w:r w:rsidRPr="005027EA">
              <w:rPr>
                <w:b/>
                <w:i/>
              </w:rPr>
              <w:t xml:space="preserve"> A Comissão deve promover a cooperação dos Estados</w:t>
            </w:r>
            <w:r w:rsidRPr="005027EA">
              <w:rPr>
                <w:b/>
                <w:i/>
              </w:rPr>
              <w:noBreakHyphen/>
              <w:t>Membros em apoio desses objetivos.</w:t>
            </w:r>
          </w:p>
        </w:tc>
      </w:tr>
    </w:tbl>
    <w:p w14:paraId="1114E7DB" w14:textId="77777777" w:rsidR="00051FF1" w:rsidRPr="005027EA" w:rsidRDefault="00051FF1" w:rsidP="00051FF1"/>
    <w:p w14:paraId="6A0F74E7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7</w:t>
      </w:r>
    </w:p>
    <w:p w14:paraId="6E04B288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45420BD5" w14:textId="77777777" w:rsidR="00051FF1" w:rsidRPr="005027EA" w:rsidRDefault="00051FF1" w:rsidP="00051FF1">
      <w:pPr>
        <w:pStyle w:val="NormalBold"/>
      </w:pPr>
      <w:r w:rsidRPr="005027EA">
        <w:t>Considerando 43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797ED3C5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CD11C" w14:textId="77777777" w:rsidR="00051FF1" w:rsidRPr="005027EA" w:rsidRDefault="00051FF1" w:rsidP="00134E7B"/>
        </w:tc>
      </w:tr>
      <w:tr w:rsidR="00051FF1" w:rsidRPr="005027EA" w14:paraId="62869BC1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F1A0A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6B3A5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09729425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21AA5" w14:textId="77777777" w:rsidR="00051FF1" w:rsidRPr="005027EA" w:rsidRDefault="00051FF1" w:rsidP="00134E7B">
            <w:pPr>
              <w:pStyle w:val="Normal6a"/>
            </w:pPr>
            <w:r w:rsidRPr="005027EA">
              <w:t>(43)</w:t>
            </w:r>
            <w:r w:rsidRPr="005027EA">
              <w:tab/>
              <w:t>Nos termos do Acordo Interinstitucional, de 13 de abril de 2016, sobre legislar melhor</w:t>
            </w:r>
            <w:r w:rsidRPr="005027EA">
              <w:rPr>
                <w:vertAlign w:val="superscript"/>
              </w:rPr>
              <w:t>9</w:t>
            </w:r>
            <w:r w:rsidRPr="005027EA">
              <w:t xml:space="preserve">, a Comissão deve, decorridos </w:t>
            </w:r>
            <w:r w:rsidRPr="005027EA">
              <w:rPr>
                <w:b/>
                <w:i/>
              </w:rPr>
              <w:t xml:space="preserve">pelo menos </w:t>
            </w:r>
            <w:r w:rsidRPr="005027EA">
              <w:t xml:space="preserve">seis anos a contar da data de </w:t>
            </w:r>
            <w:r w:rsidRPr="005027EA">
              <w:rPr>
                <w:b/>
                <w:i/>
              </w:rPr>
              <w:t>início da aplicação</w:t>
            </w:r>
            <w:r w:rsidRPr="005027EA">
              <w:t xml:space="preserve"> do presente regulamento, realizar uma avaliação do presente regulamento, tendo por base as informações recolhidas por meio de disposições de acompanhamento específicas, a fim de aferir os efeitos reais do regulamento e a necessidade de medidas adicionais. Para efeitos do acompanhamento, os Estados</w:t>
            </w:r>
            <w:r w:rsidRPr="005027EA">
              <w:noBreakHyphen/>
              <w:t>Membros devem recolher informações estatísticas sobre o número de bilhetes de identidade e de títulos de residência que tenham emitido.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51C7D" w14:textId="77777777" w:rsidR="00051FF1" w:rsidRPr="005027EA" w:rsidRDefault="00051FF1" w:rsidP="00134E7B">
            <w:pPr>
              <w:pStyle w:val="Normal6a"/>
            </w:pPr>
            <w:r w:rsidRPr="005027EA">
              <w:t>(43)</w:t>
            </w:r>
            <w:r w:rsidRPr="005027EA">
              <w:tab/>
            </w:r>
            <w:r w:rsidRPr="005027EA">
              <w:rPr>
                <w:b/>
                <w:i/>
              </w:rPr>
              <w:t>A Comissão deve apresentar um relatório sobre a aplicação do presente regulamento dois anos, e onze anos, após a data da sua entrada em vigor, nomeadamente sobre a adequação do nível de segurança, tendo em conta o seu impacto nos direitos fundamentais e nos princípios da proteção de dados.</w:t>
            </w:r>
            <w:r w:rsidRPr="005027EA">
              <w:t xml:space="preserve"> Nos termos do Acordo Interinstitucional, de 13 de abril de 2016, sobre legislar melhor</w:t>
            </w:r>
            <w:r w:rsidRPr="005027EA">
              <w:rPr>
                <w:vertAlign w:val="superscript"/>
              </w:rPr>
              <w:t>9</w:t>
            </w:r>
            <w:r w:rsidRPr="005027EA">
              <w:t xml:space="preserve">, a Comissão deve, decorridos seis anos a contar da data de </w:t>
            </w:r>
            <w:r w:rsidRPr="005027EA">
              <w:rPr>
                <w:b/>
                <w:i/>
              </w:rPr>
              <w:t>entrada em vigor</w:t>
            </w:r>
            <w:r w:rsidRPr="005027EA">
              <w:t xml:space="preserve"> do presente regulamento</w:t>
            </w:r>
            <w:r w:rsidRPr="005027EA">
              <w:rPr>
                <w:b/>
                <w:i/>
              </w:rPr>
              <w:t xml:space="preserve"> e, posteriormente, de seis em seis anos</w:t>
            </w:r>
            <w:r w:rsidRPr="005027EA">
              <w:t>, realizar uma avaliação do presente regulamento, tendo por base as informações recolhidas por meio de disposições de acompanhamento específicas, a fim de aferir os efeitos reais do regulamento e a necessidade de medidas adicionais. Para efeitos do acompanhamento, os Estados</w:t>
            </w:r>
            <w:r w:rsidRPr="005027EA">
              <w:noBreakHyphen/>
              <w:t>Membros devem recolher informações estatísticas sobre o número de bilhetes de identidade e de títulos de residência que tenham emitido.</w:t>
            </w:r>
          </w:p>
        </w:tc>
      </w:tr>
      <w:tr w:rsidR="00051FF1" w:rsidRPr="005027EA" w14:paraId="32B067C9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A13C8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585F3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_________________</w:t>
            </w:r>
          </w:p>
        </w:tc>
      </w:tr>
      <w:tr w:rsidR="00051FF1" w:rsidRPr="005027EA" w14:paraId="4C800A83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A5FD0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9</w:t>
            </w:r>
            <w:r w:rsidRPr="005027EA">
              <w:t xml:space="preserve"> JO L 123 de 12.5.2016, p. 1,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A8794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9</w:t>
            </w:r>
            <w:r w:rsidRPr="005027EA">
              <w:t xml:space="preserve"> JO L 123 de 12.5.2016, p. 1, ELI: http://data.europa.eu/eli/agree_interinstit/2016/512/oj.</w:t>
            </w:r>
          </w:p>
        </w:tc>
      </w:tr>
    </w:tbl>
    <w:p w14:paraId="672023F2" w14:textId="77777777" w:rsidR="00051FF1" w:rsidRPr="005027EA" w:rsidRDefault="00051FF1" w:rsidP="00051FF1"/>
    <w:p w14:paraId="570FEB61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8</w:t>
      </w:r>
    </w:p>
    <w:p w14:paraId="18C5DABB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79650063" w14:textId="77777777" w:rsidR="00051FF1" w:rsidRPr="005027EA" w:rsidRDefault="00051FF1" w:rsidP="00051FF1">
      <w:pPr>
        <w:pStyle w:val="NormalBold"/>
      </w:pPr>
      <w:r w:rsidRPr="005027EA">
        <w:t>Artigo 3 – n.º 2 – parágrafo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7538B8D9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CC89B" w14:textId="77777777" w:rsidR="00051FF1" w:rsidRPr="005027EA" w:rsidRDefault="00051FF1" w:rsidP="00134E7B"/>
        </w:tc>
      </w:tr>
      <w:tr w:rsidR="00051FF1" w:rsidRPr="005027EA" w14:paraId="3D808F2A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8552B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821AB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0137C3AF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1036C" w14:textId="77777777" w:rsidR="00051FF1" w:rsidRPr="005027EA" w:rsidRDefault="00051FF1" w:rsidP="00134E7B">
            <w:pPr>
              <w:pStyle w:val="Normal6a"/>
            </w:pPr>
            <w:r w:rsidRPr="005027EA">
              <w:t>Em derrogação do primeiro parágrafo, o número do documento pode ser inserido na zona I e a designação do género da pessoa é facultativa.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CEC73" w14:textId="77777777" w:rsidR="00051FF1" w:rsidRPr="005027EA" w:rsidRDefault="00051FF1" w:rsidP="00134E7B">
            <w:pPr>
              <w:pStyle w:val="Normal6a"/>
            </w:pPr>
            <w:r w:rsidRPr="005027EA">
              <w:t xml:space="preserve">Em derrogação do primeiro parágrafo, o número do documento pode ser inserido na zona I e a designação do género da pessoa é facultativa. </w:t>
            </w:r>
            <w:r w:rsidRPr="005027EA">
              <w:rPr>
                <w:b/>
                <w:i/>
              </w:rPr>
              <w:t>Se um Estado</w:t>
            </w:r>
            <w:r w:rsidRPr="005027EA">
              <w:rPr>
                <w:b/>
                <w:i/>
              </w:rPr>
              <w:noBreakHyphen/>
              <w:t>Membro incluir o género de uma pessoa num documento abrangido pelo presente regulamento, deve utilizar as especificações previstas do documento 9303 da OACI «F», «M» ou «X» ou a inicial correspondente na língua ou línguas oficiais desse Estado</w:t>
            </w:r>
            <w:r w:rsidRPr="005027EA">
              <w:rPr>
                <w:b/>
                <w:i/>
              </w:rPr>
              <w:noBreakHyphen/>
              <w:t>Membro, consoante o caso.</w:t>
            </w:r>
          </w:p>
        </w:tc>
      </w:tr>
    </w:tbl>
    <w:p w14:paraId="535AC420" w14:textId="77777777" w:rsidR="00051FF1" w:rsidRPr="005027EA" w:rsidRDefault="00051FF1" w:rsidP="00051FF1"/>
    <w:p w14:paraId="5C22D844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9</w:t>
      </w:r>
    </w:p>
    <w:p w14:paraId="3FCF8970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17D85446" w14:textId="77777777" w:rsidR="00051FF1" w:rsidRPr="005027EA" w:rsidRDefault="00051FF1" w:rsidP="00051FF1">
      <w:pPr>
        <w:pStyle w:val="NormalBold"/>
      </w:pPr>
      <w:r w:rsidRPr="005027EA">
        <w:t>Artigo 3 – n.º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7F3532F7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5B8F3" w14:textId="77777777" w:rsidR="00051FF1" w:rsidRPr="005027EA" w:rsidRDefault="00051FF1" w:rsidP="00134E7B"/>
        </w:tc>
      </w:tr>
      <w:tr w:rsidR="00051FF1" w:rsidRPr="005027EA" w14:paraId="52D6A5E6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13520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FEF27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6CCAEDA7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756A1" w14:textId="77777777" w:rsidR="00051FF1" w:rsidRPr="005027EA" w:rsidRDefault="00051FF1" w:rsidP="00134E7B">
            <w:pPr>
              <w:pStyle w:val="Normal6"/>
            </w:pPr>
            <w:r w:rsidRPr="005027EA">
              <w:t>5.</w:t>
            </w:r>
            <w:r w:rsidRPr="005027EA">
              <w:tab/>
              <w:t xml:space="preserve">Os bilhetes de identidade devem incluir um suporte de armazenamento com elevado nível de segurança com uma imagem facial do titular do documento e duas impressões digitais em formatos digitais interoperáveis. Para a recolha </w:t>
            </w:r>
            <w:r w:rsidRPr="005027EA">
              <w:rPr>
                <w:b/>
                <w:i/>
              </w:rPr>
              <w:t>dos</w:t>
            </w:r>
            <w:r w:rsidRPr="005027EA">
              <w:t xml:space="preserve"> identificadores biométricos, os Estados</w:t>
            </w:r>
            <w:r w:rsidRPr="005027EA">
              <w:noBreakHyphen/>
              <w:t>Membros devem aplicar as especificações técnicas estabelecidas pela Decisão de Execução C(2018) 7767 da Comissão</w:t>
            </w:r>
            <w:r w:rsidRPr="005027EA">
              <w:rPr>
                <w:vertAlign w:val="superscript"/>
              </w:rPr>
              <w:t>12</w:t>
            </w:r>
            <w:r w:rsidRPr="005027EA">
              <w:t>, com a redação que lhe foi dada pela Decisão de Execução C(2021) 3726 da Comissão</w:t>
            </w:r>
            <w:r w:rsidRPr="005027EA">
              <w:rPr>
                <w:vertAlign w:val="superscript"/>
              </w:rPr>
              <w:t>13</w:t>
            </w:r>
            <w:r w:rsidRPr="005027E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0B73" w14:textId="77777777" w:rsidR="00051FF1" w:rsidRPr="005027EA" w:rsidRDefault="00051FF1" w:rsidP="00134E7B">
            <w:pPr>
              <w:pStyle w:val="Normal6a"/>
            </w:pPr>
            <w:r w:rsidRPr="005027EA">
              <w:t>5.</w:t>
            </w:r>
            <w:r w:rsidRPr="005027EA">
              <w:tab/>
              <w:t xml:space="preserve">Os bilhetes de identidade devem incluir um suporte de armazenamento com elevado nível de segurança com uma imagem facial do titular do documento e duas impressões digitais em formatos digitais interoperáveis. Para a recolha </w:t>
            </w:r>
            <w:r w:rsidRPr="005027EA">
              <w:rPr>
                <w:b/>
                <w:i/>
              </w:rPr>
              <w:t>destes dois tipos de</w:t>
            </w:r>
            <w:r w:rsidRPr="005027EA">
              <w:t xml:space="preserve"> identificadores biométricos, os Estados</w:t>
            </w:r>
            <w:r w:rsidRPr="005027EA">
              <w:noBreakHyphen/>
              <w:t>Membros devem aplicar as especificações técnicas estabelecidas pela Decisão de Execução C(2018) 7767 da Comissão</w:t>
            </w:r>
            <w:r w:rsidRPr="005027EA">
              <w:rPr>
                <w:vertAlign w:val="superscript"/>
              </w:rPr>
              <w:t>12</w:t>
            </w:r>
            <w:r w:rsidRPr="005027EA">
              <w:t>, com a redação que lhe foi dada pela Decisão de Execução C(2021) 3726 da Comissão</w:t>
            </w:r>
            <w:r w:rsidRPr="005027EA">
              <w:rPr>
                <w:vertAlign w:val="superscript"/>
              </w:rPr>
              <w:t>13</w:t>
            </w:r>
            <w:r w:rsidRPr="005027EA">
              <w:t>.</w:t>
            </w:r>
          </w:p>
        </w:tc>
      </w:tr>
      <w:tr w:rsidR="00051FF1" w:rsidRPr="005027EA" w14:paraId="517CE8FD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C0652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B4BEF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_________________</w:t>
            </w:r>
          </w:p>
        </w:tc>
      </w:tr>
      <w:tr w:rsidR="00051FF1" w:rsidRPr="005027EA" w14:paraId="7599CA18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31198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12</w:t>
            </w:r>
            <w:r w:rsidRPr="005027EA">
              <w:t xml:space="preserve"> Decisão de Execução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6CC55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12</w:t>
            </w:r>
            <w:r w:rsidRPr="005027EA">
              <w:t xml:space="preserve"> Decisão de Execução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</w:tr>
      <w:tr w:rsidR="00051FF1" w:rsidRPr="005027EA" w14:paraId="287CF833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AE62B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13</w:t>
            </w:r>
            <w:r w:rsidRPr="005027EA">
              <w:t xml:space="preserve"> Decisão de Execução C(2021) 3726 da Comissão, de 4 de junho de 2021, que altera o anexo III da Decisão de Execução C(2018) 7767 no que diz respeito à lista de referências normativas.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CC560" w14:textId="77777777" w:rsidR="00051FF1" w:rsidRPr="005027EA" w:rsidRDefault="00051FF1" w:rsidP="00134E7B">
            <w:pPr>
              <w:pStyle w:val="Normal6a"/>
            </w:pPr>
            <w:r w:rsidRPr="005027EA">
              <w:rPr>
                <w:vertAlign w:val="superscript"/>
              </w:rPr>
              <w:t>13</w:t>
            </w:r>
            <w:r w:rsidRPr="005027EA">
              <w:t xml:space="preserve"> Decisão de Execução C(2021) 3726 da Comissão, de 4 de junho de 2021, que altera o anexo III da Decisão de Execução C(2018) 7767 no que diz respeito à lista de referências normativas.</w:t>
            </w:r>
          </w:p>
        </w:tc>
      </w:tr>
    </w:tbl>
    <w:p w14:paraId="5D4A8DF9" w14:textId="77777777" w:rsidR="00051FF1" w:rsidRPr="005027EA" w:rsidRDefault="00051FF1" w:rsidP="00051FF1"/>
    <w:p w14:paraId="1035744F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10</w:t>
      </w:r>
    </w:p>
    <w:p w14:paraId="6DBBAEEC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543284BA" w14:textId="77777777" w:rsidR="00051FF1" w:rsidRPr="005027EA" w:rsidRDefault="00051FF1" w:rsidP="00051FF1">
      <w:pPr>
        <w:pStyle w:val="NormalBold"/>
      </w:pPr>
      <w:r w:rsidRPr="005027EA">
        <w:t>Artigo 10 – n.º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66FCEC81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AAA1D" w14:textId="77777777" w:rsidR="00051FF1" w:rsidRPr="005027EA" w:rsidRDefault="00051FF1" w:rsidP="00134E7B"/>
        </w:tc>
      </w:tr>
      <w:tr w:rsidR="00051FF1" w:rsidRPr="005027EA" w14:paraId="08DC1C30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A0621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9DDBA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29B87F72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21B66" w14:textId="77777777" w:rsidR="00051FF1" w:rsidRPr="005027EA" w:rsidRDefault="00051FF1" w:rsidP="00134E7B">
            <w:pPr>
              <w:pStyle w:val="Normal6a"/>
            </w:pPr>
            <w:r w:rsidRPr="005027EA">
              <w:t>3.</w:t>
            </w:r>
            <w:r w:rsidRPr="005027EA">
              <w:tab/>
            </w:r>
            <w:r w:rsidRPr="005027EA">
              <w:rPr>
                <w:b/>
                <w:i/>
              </w:rPr>
              <w:t>Salvo se necessário para efeitos de tratamento de dados de acordo com o direito da União e com o direito nacional,</w:t>
            </w:r>
            <w:r w:rsidRPr="005027EA">
              <w:t xml:space="preserve"> os identificadores biométricos armazenados para efeitos de personalização dos bilhetes de identidade ou </w:t>
            </w:r>
            <w:r w:rsidRPr="005027EA">
              <w:rPr>
                <w:b/>
                <w:i/>
              </w:rPr>
              <w:t xml:space="preserve">dos </w:t>
            </w:r>
            <w:r w:rsidRPr="005027EA">
              <w:t xml:space="preserve">títulos de residência devem ser conservados de forma altamente segura e apenas até à data de </w:t>
            </w:r>
            <w:r w:rsidRPr="005027EA">
              <w:rPr>
                <w:b/>
                <w:i/>
              </w:rPr>
              <w:t>entrega</w:t>
            </w:r>
            <w:r w:rsidRPr="005027EA">
              <w:t xml:space="preserve"> do documento e, em qualquer caso, não mais de 90 dias a contar da data de emissão</w:t>
            </w:r>
            <w:r w:rsidRPr="005027EA">
              <w:rPr>
                <w:b/>
                <w:i/>
              </w:rPr>
              <w:t xml:space="preserve"> do documento</w:t>
            </w:r>
            <w:r w:rsidRPr="005027EA">
              <w:t xml:space="preserve">. </w:t>
            </w:r>
            <w:r w:rsidRPr="005027EA">
              <w:rPr>
                <w:b/>
                <w:i/>
              </w:rPr>
              <w:t>Após este</w:t>
            </w:r>
            <w:r w:rsidRPr="005027EA">
              <w:t xml:space="preserve"> </w:t>
            </w:r>
            <w:r w:rsidRPr="005027EA">
              <w:rPr>
                <w:b/>
                <w:i/>
              </w:rPr>
              <w:t>período, os identificadores biométricos devem ser imediatamente apagados ou destruídos.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22093" w14:textId="77777777" w:rsidR="00051FF1" w:rsidRPr="005027EA" w:rsidRDefault="00051FF1" w:rsidP="00134E7B">
            <w:pPr>
              <w:pStyle w:val="Normal6a"/>
            </w:pPr>
            <w:r w:rsidRPr="005027EA">
              <w:t>3.</w:t>
            </w:r>
            <w:r w:rsidRPr="005027EA">
              <w:tab/>
              <w:t xml:space="preserve">Os identificadores biométricos armazenados para efeitos de personalização dos bilhetes de identidade ou títulos de residência devem ser conservados de forma altamente segura e apenas até à data de </w:t>
            </w:r>
            <w:r w:rsidRPr="005027EA">
              <w:rPr>
                <w:b/>
                <w:i/>
              </w:rPr>
              <w:t>recolha</w:t>
            </w:r>
            <w:r w:rsidRPr="005027EA">
              <w:t xml:space="preserve"> do documento e, em qualquer caso, não mais de 90 dias a contar da data de emissão. Após este período, os identificadores biométricos devem ser imediatamente apagados ou destruídos. </w:t>
            </w:r>
            <w:r w:rsidRPr="005027EA">
              <w:rPr>
                <w:b/>
                <w:i/>
              </w:rPr>
              <w:t>O tratamento desses dados para outros fins está sujeito às limitações e condições previstas no direito nacional ou no direito da União em matéria de proteção de dados.</w:t>
            </w:r>
          </w:p>
        </w:tc>
      </w:tr>
    </w:tbl>
    <w:p w14:paraId="25FDFC4D" w14:textId="77777777" w:rsidR="00051FF1" w:rsidRPr="005027EA" w:rsidRDefault="00051FF1" w:rsidP="00051FF1"/>
    <w:p w14:paraId="1BC4DF2E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11</w:t>
      </w:r>
    </w:p>
    <w:p w14:paraId="6AB2ACF1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63A19375" w14:textId="77777777" w:rsidR="00051FF1" w:rsidRPr="005027EA" w:rsidRDefault="00051FF1" w:rsidP="00051FF1">
      <w:pPr>
        <w:pStyle w:val="NormalBold"/>
      </w:pPr>
      <w:r w:rsidRPr="005027EA">
        <w:t>Artigo 11 – n.º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2B1E0398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2DDA6" w14:textId="77777777" w:rsidR="00051FF1" w:rsidRPr="005027EA" w:rsidRDefault="00051FF1" w:rsidP="00134E7B"/>
        </w:tc>
      </w:tr>
      <w:tr w:rsidR="00051FF1" w:rsidRPr="005027EA" w14:paraId="0781148B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CB357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D144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2191BBB8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DCF44" w14:textId="77777777" w:rsidR="00051FF1" w:rsidRPr="005027EA" w:rsidRDefault="00051FF1" w:rsidP="00134E7B">
            <w:pPr>
              <w:pStyle w:val="Normal6a"/>
            </w:pPr>
            <w:r w:rsidRPr="005027EA">
              <w:t>4.</w:t>
            </w:r>
            <w:r w:rsidRPr="005027EA">
              <w:tab/>
              <w:t>A cooperação com prestadores de serviços externos não exclui qualquer responsabilidade de um Estado</w:t>
            </w:r>
            <w:r w:rsidRPr="005027EA">
              <w:noBreakHyphen/>
              <w:t>Membro decorrente do direito da União ou do direito nacional em caso de incumprimento das obrigações em matéria de dados pessoais.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55B71" w14:textId="77777777" w:rsidR="00051FF1" w:rsidRPr="005027EA" w:rsidRDefault="00051FF1" w:rsidP="00134E7B">
            <w:pPr>
              <w:pStyle w:val="Normal6a"/>
            </w:pPr>
            <w:r w:rsidRPr="005027EA">
              <w:t>4.</w:t>
            </w:r>
            <w:r w:rsidRPr="005027EA">
              <w:tab/>
              <w:t>A cooperação com prestadores de serviços externos não exclui qualquer responsabilidade de um Estado</w:t>
            </w:r>
            <w:r w:rsidRPr="005027EA">
              <w:noBreakHyphen/>
              <w:t xml:space="preserve">Membro decorrente do direito da União ou do direito nacional em caso de incumprimento das obrigações em matéria de dados pessoais. </w:t>
            </w:r>
            <w:r w:rsidRPr="005027EA">
              <w:rPr>
                <w:b/>
                <w:i/>
              </w:rPr>
              <w:t>Os Estados</w:t>
            </w:r>
            <w:r w:rsidRPr="005027EA">
              <w:rPr>
                <w:b/>
                <w:i/>
              </w:rPr>
              <w:noBreakHyphen/>
              <w:t>Membros asseguram que todos os prestadores de serviços externos cumprem a legislação nacional e da União em matéria de proteção de dados, devendo ser adotadas medidas adequadas para impedir qualquer acesso não autorizado ou utilização indevida de dados pessoais durante os processos externalizados.</w:t>
            </w:r>
          </w:p>
        </w:tc>
      </w:tr>
    </w:tbl>
    <w:p w14:paraId="6EDB4820" w14:textId="77777777" w:rsidR="00051FF1" w:rsidRPr="005027EA" w:rsidRDefault="00051FF1" w:rsidP="00051FF1"/>
    <w:p w14:paraId="6D6ADBFF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12</w:t>
      </w:r>
    </w:p>
    <w:p w14:paraId="3786C6E4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4888D90B" w14:textId="77777777" w:rsidR="00051FF1" w:rsidRPr="005027EA" w:rsidRDefault="00051FF1" w:rsidP="00051FF1">
      <w:pPr>
        <w:pStyle w:val="NormalBold"/>
      </w:pPr>
      <w:r w:rsidRPr="005027EA">
        <w:t>Artigo 11 – n.º 6 – parágrafo 1 – parte introdutória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7706DD87" w14:textId="77777777" w:rsidTr="00134E7B">
        <w:trPr>
          <w:jc w:val="center"/>
        </w:trPr>
        <w:tc>
          <w:tcPr>
            <w:tcW w:w="9752" w:type="dxa"/>
            <w:gridSpan w:val="2"/>
          </w:tcPr>
          <w:p w14:paraId="44FB4806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38FC8F0D" w14:textId="77777777" w:rsidTr="00134E7B">
        <w:trPr>
          <w:jc w:val="center"/>
        </w:trPr>
        <w:tc>
          <w:tcPr>
            <w:tcW w:w="4876" w:type="dxa"/>
          </w:tcPr>
          <w:p w14:paraId="5D6D6B98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49C58142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2C8559D9" w14:textId="77777777" w:rsidTr="00134E7B">
        <w:trPr>
          <w:jc w:val="center"/>
        </w:trPr>
        <w:tc>
          <w:tcPr>
            <w:tcW w:w="4876" w:type="dxa"/>
          </w:tcPr>
          <w:p w14:paraId="4C08C9E7" w14:textId="77777777" w:rsidR="00051FF1" w:rsidRPr="005027EA" w:rsidRDefault="00051FF1" w:rsidP="00134E7B">
            <w:pPr>
              <w:pStyle w:val="Normal6"/>
            </w:pPr>
            <w:r w:rsidRPr="005027EA">
              <w:rPr>
                <w:b/>
                <w:i/>
              </w:rPr>
              <w:t>Os dados biométricos e armazenados</w:t>
            </w:r>
            <w:r w:rsidRPr="005027EA">
              <w:t xml:space="preserve"> no suporte de armazenamento dos bilhetes de identidade e dos títulos de residência só </w:t>
            </w:r>
            <w:r w:rsidRPr="005027EA">
              <w:rPr>
                <w:b/>
                <w:i/>
              </w:rPr>
              <w:t>devem</w:t>
            </w:r>
            <w:r w:rsidRPr="005027EA">
              <w:t xml:space="preserve"> ser </w:t>
            </w:r>
            <w:r w:rsidRPr="005027EA">
              <w:rPr>
                <w:b/>
                <w:i/>
              </w:rPr>
              <w:t>utilizados</w:t>
            </w:r>
            <w:r w:rsidRPr="005027EA">
              <w:t xml:space="preserve"> em conformidade com o direito da União </w:t>
            </w:r>
            <w:r w:rsidRPr="005027EA">
              <w:rPr>
                <w:b/>
                <w:i/>
              </w:rPr>
              <w:t>e o direito nacional</w:t>
            </w:r>
            <w:r w:rsidRPr="005027EA">
              <w:t>, para fins de verificação da:</w:t>
            </w:r>
          </w:p>
        </w:tc>
        <w:tc>
          <w:tcPr>
            <w:tcW w:w="4876" w:type="dxa"/>
          </w:tcPr>
          <w:p w14:paraId="08367724" w14:textId="77777777" w:rsidR="00051FF1" w:rsidRPr="005027EA" w:rsidRDefault="00051FF1" w:rsidP="00134E7B">
            <w:pPr>
              <w:pStyle w:val="Normal6"/>
              <w:rPr>
                <w:szCs w:val="24"/>
              </w:rPr>
            </w:pPr>
            <w:r w:rsidRPr="005027EA">
              <w:rPr>
                <w:b/>
                <w:i/>
              </w:rPr>
              <w:t>A imagem facial do titular do documento armazenada</w:t>
            </w:r>
            <w:r w:rsidRPr="005027EA">
              <w:t xml:space="preserve"> no suporte de armazenamento dos bilhetes de identidade e dos títulos de residência só </w:t>
            </w:r>
            <w:r w:rsidRPr="005027EA">
              <w:rPr>
                <w:b/>
                <w:i/>
              </w:rPr>
              <w:t>deve</w:t>
            </w:r>
            <w:r w:rsidRPr="005027EA">
              <w:t xml:space="preserve"> ser </w:t>
            </w:r>
            <w:r w:rsidRPr="005027EA">
              <w:rPr>
                <w:b/>
                <w:i/>
              </w:rPr>
              <w:t>consultada por pessoal devidamente habilitado das autoridades nacionais competentes, das agências da União e das entidades privadas</w:t>
            </w:r>
            <w:r w:rsidRPr="005027EA">
              <w:t xml:space="preserve"> em conformidade com o direito da União </w:t>
            </w:r>
            <w:r w:rsidRPr="005027EA">
              <w:rPr>
                <w:b/>
                <w:i/>
              </w:rPr>
              <w:t>em matéria de proteção de dados</w:t>
            </w:r>
            <w:r w:rsidRPr="005027EA">
              <w:t>, para fins de verificação da:</w:t>
            </w:r>
          </w:p>
        </w:tc>
      </w:tr>
    </w:tbl>
    <w:p w14:paraId="12D4B566" w14:textId="77777777" w:rsidR="00051FF1" w:rsidRPr="005027EA" w:rsidRDefault="00051FF1" w:rsidP="00051FF1"/>
    <w:p w14:paraId="053FBC30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13</w:t>
      </w:r>
    </w:p>
    <w:p w14:paraId="79231E67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5352529F" w14:textId="77777777" w:rsidR="00051FF1" w:rsidRPr="005027EA" w:rsidRDefault="00051FF1" w:rsidP="00051FF1">
      <w:pPr>
        <w:pStyle w:val="NormalBold"/>
      </w:pPr>
      <w:r w:rsidRPr="005027EA">
        <w:t>Artigo 11 – n.º 6 – parágrafo 1</w:t>
      </w:r>
      <w:r w:rsidRPr="005027EA">
        <w:noBreakHyphen/>
        <w:t>A (novo)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4C537DF5" w14:textId="77777777" w:rsidTr="00134E7B">
        <w:trPr>
          <w:jc w:val="center"/>
        </w:trPr>
        <w:tc>
          <w:tcPr>
            <w:tcW w:w="9752" w:type="dxa"/>
            <w:gridSpan w:val="2"/>
          </w:tcPr>
          <w:p w14:paraId="18388BAF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3F2E6051" w14:textId="77777777" w:rsidTr="00134E7B">
        <w:trPr>
          <w:jc w:val="center"/>
        </w:trPr>
        <w:tc>
          <w:tcPr>
            <w:tcW w:w="4876" w:type="dxa"/>
          </w:tcPr>
          <w:p w14:paraId="3A14017C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2C89D7F3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4EE38A81" w14:textId="77777777" w:rsidTr="00134E7B">
        <w:trPr>
          <w:jc w:val="center"/>
        </w:trPr>
        <w:tc>
          <w:tcPr>
            <w:tcW w:w="4876" w:type="dxa"/>
          </w:tcPr>
          <w:p w14:paraId="7131D180" w14:textId="77777777" w:rsidR="00051FF1" w:rsidRPr="005027EA" w:rsidRDefault="00051FF1" w:rsidP="00134E7B">
            <w:pPr>
              <w:pStyle w:val="Normal6"/>
            </w:pPr>
          </w:p>
        </w:tc>
        <w:tc>
          <w:tcPr>
            <w:tcW w:w="4876" w:type="dxa"/>
          </w:tcPr>
          <w:p w14:paraId="1F3EFFAE" w14:textId="77777777" w:rsidR="00051FF1" w:rsidRPr="005027EA" w:rsidRDefault="00051FF1" w:rsidP="00134E7B">
            <w:pPr>
              <w:pStyle w:val="Normal6"/>
              <w:rPr>
                <w:b/>
                <w:i/>
                <w:szCs w:val="24"/>
              </w:rPr>
            </w:pPr>
            <w:r w:rsidRPr="005027EA">
              <w:rPr>
                <w:b/>
                <w:i/>
              </w:rPr>
              <w:t>O acesso à imagem facial por entidades privadas requer igualmente o consentimento do titular, a menos que o acesso, não obstante a existência de consentimento, seja estritamente necessário para os fins estabelecidos no primeiro parágrafo e esteja previsto no direito da União ou no direito nacional, em conformidade com o direito da União em matéria de proteção de dados.</w:t>
            </w:r>
          </w:p>
        </w:tc>
      </w:tr>
    </w:tbl>
    <w:p w14:paraId="0A455DF8" w14:textId="77777777" w:rsidR="00051FF1" w:rsidRPr="005027EA" w:rsidRDefault="00051FF1" w:rsidP="00051FF1"/>
    <w:p w14:paraId="2232A42D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14</w:t>
      </w:r>
    </w:p>
    <w:p w14:paraId="0BD104DA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6CB3E301" w14:textId="77777777" w:rsidR="00051FF1" w:rsidRPr="005027EA" w:rsidRDefault="00051FF1" w:rsidP="00051FF1">
      <w:pPr>
        <w:pStyle w:val="NormalBold"/>
      </w:pPr>
      <w:r w:rsidRPr="005027EA">
        <w:t>Artigo 11 – n.º 6 – parágrafo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1FF1" w:rsidRPr="005027EA" w14:paraId="63D81E15" w14:textId="77777777" w:rsidTr="00134E7B">
        <w:trPr>
          <w:jc w:val="center"/>
        </w:trPr>
        <w:tc>
          <w:tcPr>
            <w:tcW w:w="9752" w:type="dxa"/>
            <w:gridSpan w:val="2"/>
          </w:tcPr>
          <w:p w14:paraId="4C1885F6" w14:textId="77777777" w:rsidR="00051FF1" w:rsidRPr="005027EA" w:rsidRDefault="00051FF1" w:rsidP="00134E7B">
            <w:pPr>
              <w:keepNext/>
            </w:pPr>
          </w:p>
        </w:tc>
      </w:tr>
      <w:tr w:rsidR="00051FF1" w:rsidRPr="005027EA" w14:paraId="128947EC" w14:textId="77777777" w:rsidTr="00134E7B">
        <w:trPr>
          <w:jc w:val="center"/>
        </w:trPr>
        <w:tc>
          <w:tcPr>
            <w:tcW w:w="4876" w:type="dxa"/>
          </w:tcPr>
          <w:p w14:paraId="75070529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Texto da Comissão</w:t>
            </w:r>
          </w:p>
        </w:tc>
        <w:tc>
          <w:tcPr>
            <w:tcW w:w="4876" w:type="dxa"/>
          </w:tcPr>
          <w:p w14:paraId="295DE790" w14:textId="77777777" w:rsidR="00051FF1" w:rsidRPr="005027EA" w:rsidRDefault="00051FF1" w:rsidP="00134E7B">
            <w:pPr>
              <w:pStyle w:val="ColumnHeading"/>
              <w:keepNext/>
            </w:pPr>
            <w:r w:rsidRPr="005027EA">
              <w:t>Alteração</w:t>
            </w:r>
          </w:p>
        </w:tc>
      </w:tr>
      <w:tr w:rsidR="00051FF1" w:rsidRPr="005027EA" w14:paraId="591762B9" w14:textId="77777777" w:rsidTr="00134E7B">
        <w:trPr>
          <w:jc w:val="center"/>
        </w:trPr>
        <w:tc>
          <w:tcPr>
            <w:tcW w:w="4876" w:type="dxa"/>
          </w:tcPr>
          <w:p w14:paraId="3798DC96" w14:textId="77777777" w:rsidR="00051FF1" w:rsidRPr="005027EA" w:rsidRDefault="00051FF1" w:rsidP="00134E7B">
            <w:pPr>
              <w:pStyle w:val="Normal6"/>
            </w:pPr>
            <w:r w:rsidRPr="005027EA">
              <w:t>As duas impressões digitais armazenadas no suporte de armazenamento só podem ser consultadas por pessoal devidamente habilitado das autoridades nacionais competentes e das agências da União.</w:t>
            </w:r>
          </w:p>
        </w:tc>
        <w:tc>
          <w:tcPr>
            <w:tcW w:w="4876" w:type="dxa"/>
          </w:tcPr>
          <w:p w14:paraId="7E5334A4" w14:textId="77777777" w:rsidR="00051FF1" w:rsidRPr="005027EA" w:rsidRDefault="00051FF1" w:rsidP="00134E7B">
            <w:pPr>
              <w:pStyle w:val="Normal6"/>
              <w:rPr>
                <w:szCs w:val="24"/>
              </w:rPr>
            </w:pPr>
            <w:r w:rsidRPr="005027EA">
              <w:t xml:space="preserve">As duas impressões digitais </w:t>
            </w:r>
            <w:r w:rsidRPr="00FE0018">
              <w:rPr>
                <w:b/>
                <w:i/>
              </w:rPr>
              <w:t>do titular</w:t>
            </w:r>
            <w:r w:rsidRPr="005027EA">
              <w:t xml:space="preserve"> armazenadas no suporte de armazenamento só podem ser consultadas por pessoal devidamente habilitado das autoridades nacionais competentes e das agências da União para os fins previstos no primeiro parágrafo, em consonância com a legislação nacional e da União em matéria de proteção de dados.</w:t>
            </w:r>
          </w:p>
        </w:tc>
      </w:tr>
    </w:tbl>
    <w:p w14:paraId="713349D1" w14:textId="77777777" w:rsidR="00051FF1" w:rsidRPr="005027EA" w:rsidRDefault="00051FF1" w:rsidP="00051FF1"/>
    <w:p w14:paraId="57A3C55E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15</w:t>
      </w:r>
    </w:p>
    <w:p w14:paraId="40D79D76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2AC08A71" w14:textId="77777777" w:rsidR="00051FF1" w:rsidRPr="005027EA" w:rsidRDefault="00051FF1" w:rsidP="00051FF1">
      <w:pPr>
        <w:pStyle w:val="NormalBold"/>
      </w:pPr>
      <w:r w:rsidRPr="005027EA">
        <w:t>Artigo 13 – título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08F67599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BCAF9" w14:textId="77777777" w:rsidR="00051FF1" w:rsidRPr="005027EA" w:rsidRDefault="00051FF1" w:rsidP="00134E7B"/>
        </w:tc>
      </w:tr>
      <w:tr w:rsidR="00051FF1" w:rsidRPr="005027EA" w14:paraId="6BEA6BCB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A1877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97BAE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2A6F6D04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643AF" w14:textId="77777777" w:rsidR="00051FF1" w:rsidRPr="005027EA" w:rsidRDefault="00051FF1" w:rsidP="00134E7B">
            <w:pPr>
              <w:pStyle w:val="Normal6a"/>
            </w:pPr>
            <w:r w:rsidRPr="005027EA">
              <w:t>Avaliação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F4AA6" w14:textId="77777777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Relatórios e</w:t>
            </w:r>
            <w:r w:rsidRPr="005027EA">
              <w:t xml:space="preserve"> avaliação</w:t>
            </w:r>
          </w:p>
        </w:tc>
      </w:tr>
    </w:tbl>
    <w:p w14:paraId="0FB5FA76" w14:textId="77777777" w:rsidR="00051FF1" w:rsidRPr="005027EA" w:rsidRDefault="00051FF1" w:rsidP="00051FF1"/>
    <w:p w14:paraId="535649B2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16</w:t>
      </w:r>
    </w:p>
    <w:p w14:paraId="305620C9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733480CE" w14:textId="77777777" w:rsidR="00051FF1" w:rsidRPr="005027EA" w:rsidRDefault="00051FF1" w:rsidP="00051FF1">
      <w:pPr>
        <w:pStyle w:val="NormalBold"/>
      </w:pPr>
      <w:r w:rsidRPr="005027EA">
        <w:t xml:space="preserve">Artigo 13 – n.º </w:t>
      </w:r>
      <w:r w:rsidRPr="005027EA">
        <w:noBreakHyphen/>
        <w:t>1 (novo)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30D436C8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E4B1C" w14:textId="77777777" w:rsidR="00051FF1" w:rsidRPr="005027EA" w:rsidRDefault="00051FF1" w:rsidP="00134E7B"/>
        </w:tc>
      </w:tr>
      <w:tr w:rsidR="00051FF1" w:rsidRPr="005027EA" w14:paraId="21E973EA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666AE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FAC1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7A2D21D5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09B85" w14:textId="77777777" w:rsidR="00051FF1" w:rsidRPr="005027EA" w:rsidRDefault="00051FF1" w:rsidP="00134E7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B0A0B" w14:textId="1AD23AAB" w:rsidR="00051FF1" w:rsidRPr="005027EA" w:rsidRDefault="00051FF1" w:rsidP="000B7661">
            <w:pPr>
              <w:pStyle w:val="Normal6a"/>
            </w:pPr>
            <w:r w:rsidRPr="005027EA">
              <w:rPr>
                <w:b/>
                <w:i/>
              </w:rPr>
              <w:noBreakHyphen/>
              <w:t>1.</w:t>
            </w:r>
            <w:r w:rsidRPr="005027EA">
              <w:rPr>
                <w:b/>
                <w:i/>
              </w:rPr>
              <w:tab/>
            </w:r>
            <w:r w:rsidR="000B7661">
              <w:rPr>
                <w:b/>
                <w:i/>
              </w:rPr>
              <w:t xml:space="preserve">Até … </w:t>
            </w:r>
            <w:r w:rsidRPr="005027EA">
              <w:rPr>
                <w:b/>
                <w:i/>
              </w:rPr>
              <w:t>[</w:t>
            </w:r>
            <w:r w:rsidR="000B7661">
              <w:rPr>
                <w:b/>
                <w:i/>
              </w:rPr>
              <w:t>d</w:t>
            </w:r>
            <w:r w:rsidRPr="005027EA">
              <w:rPr>
                <w:b/>
                <w:i/>
              </w:rPr>
              <w:t>ois</w:t>
            </w:r>
            <w:r w:rsidR="000B7661">
              <w:rPr>
                <w:b/>
                <w:i/>
              </w:rPr>
              <w:t xml:space="preserve"> anos </w:t>
            </w:r>
            <w:r w:rsidR="000B7661" w:rsidRPr="005027EA">
              <w:rPr>
                <w:b/>
                <w:i/>
              </w:rPr>
              <w:t>após a data de entrada em vigor do presente regulamento</w:t>
            </w:r>
            <w:r w:rsidR="000B7661">
              <w:rPr>
                <w:b/>
                <w:i/>
              </w:rPr>
              <w:t>]</w:t>
            </w:r>
            <w:r w:rsidRPr="005027EA">
              <w:rPr>
                <w:b/>
                <w:i/>
              </w:rPr>
              <w:t xml:space="preserve"> e</w:t>
            </w:r>
            <w:r w:rsidR="000B7661">
              <w:rPr>
                <w:b/>
                <w:i/>
              </w:rPr>
              <w:t xml:space="preserve"> até …[</w:t>
            </w:r>
            <w:r w:rsidRPr="005027EA">
              <w:rPr>
                <w:b/>
                <w:i/>
              </w:rPr>
              <w:t xml:space="preserve"> onze anos após a data de entrada em vigor do presente regulamento], a Comissão deve apresentar ao Parlamento Europeu, ao Conselho e ao Comité Económico e Social Europeu um relatório sobre a aplicação do presente regulamento, em especial no que respeita à proteção dos direitos fundamentais e dos dados pessoais.</w:t>
            </w:r>
          </w:p>
        </w:tc>
      </w:tr>
    </w:tbl>
    <w:p w14:paraId="3077E06A" w14:textId="77777777" w:rsidR="00051FF1" w:rsidRPr="005027EA" w:rsidRDefault="00051FF1" w:rsidP="00051FF1"/>
    <w:p w14:paraId="01E91C0D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17</w:t>
      </w:r>
    </w:p>
    <w:p w14:paraId="66E5D485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1A16DC32" w14:textId="77777777" w:rsidR="00051FF1" w:rsidRPr="005027EA" w:rsidRDefault="00051FF1" w:rsidP="00051FF1">
      <w:pPr>
        <w:pStyle w:val="NormalBold"/>
      </w:pPr>
      <w:r w:rsidRPr="005027EA">
        <w:t>Artigo 13 – n.º 1 – parte introdutória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729B5D2D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A2787" w14:textId="77777777" w:rsidR="00051FF1" w:rsidRPr="005027EA" w:rsidRDefault="00051FF1" w:rsidP="00134E7B"/>
        </w:tc>
      </w:tr>
      <w:tr w:rsidR="00051FF1" w:rsidRPr="005027EA" w14:paraId="02823DF4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2805B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30A62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39F9A9AD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F5FEE" w14:textId="77777777" w:rsidR="00051FF1" w:rsidRPr="005027EA" w:rsidRDefault="00051FF1" w:rsidP="00134E7B">
            <w:pPr>
              <w:pStyle w:val="Normal6a"/>
            </w:pPr>
            <w:r w:rsidRPr="005027EA">
              <w:t>1.</w:t>
            </w:r>
            <w:r w:rsidRPr="005027EA">
              <w:tab/>
              <w:t xml:space="preserve">No </w:t>
            </w:r>
            <w:r w:rsidRPr="005027EA">
              <w:rPr>
                <w:b/>
                <w:i/>
              </w:rPr>
              <w:t>mínimo</w:t>
            </w:r>
            <w:r w:rsidRPr="005027EA">
              <w:t xml:space="preserve"> [seis anos após a entrada em vigor do presente regulamento], a Comissão deve proceder à avaliação do presente regulamento e apresentar um relatório com as principais conclusões ao Parlamento Europeu, ao Conselho e ao Comité Económico e Social Europeu. O relatório deve, nomeadamente, abordar o seguinte: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00055" w14:textId="77777777" w:rsidR="00051FF1" w:rsidRPr="005027EA" w:rsidRDefault="00051FF1" w:rsidP="00134E7B">
            <w:pPr>
              <w:pStyle w:val="Normal6a"/>
            </w:pPr>
            <w:r w:rsidRPr="005027EA">
              <w:t>1.</w:t>
            </w:r>
            <w:r w:rsidRPr="005027EA">
              <w:tab/>
              <w:t xml:space="preserve">No </w:t>
            </w:r>
            <w:r w:rsidRPr="005027EA">
              <w:rPr>
                <w:b/>
                <w:i/>
              </w:rPr>
              <w:t>máximo</w:t>
            </w:r>
            <w:r w:rsidRPr="005027EA">
              <w:t xml:space="preserve"> [seis anos após a entrada em vigor do presente regulamento]</w:t>
            </w:r>
            <w:r w:rsidRPr="005027EA">
              <w:rPr>
                <w:b/>
                <w:i/>
              </w:rPr>
              <w:t>, e, posteriormente, de seis em seis anos</w:t>
            </w:r>
            <w:r w:rsidRPr="005027EA">
              <w:t>, a Comissão deve proceder à avaliação do presente regulamento e apresentar um relatório com as principais conclusões ao Parlamento Europeu, ao Conselho e ao Comité Económico e Social Europeu. O relatório deve, nomeadamente, abordar o seguinte:</w:t>
            </w:r>
          </w:p>
        </w:tc>
      </w:tr>
    </w:tbl>
    <w:p w14:paraId="39EF21CC" w14:textId="77777777" w:rsidR="00051FF1" w:rsidRPr="005027EA" w:rsidRDefault="00051FF1" w:rsidP="00051FF1"/>
    <w:p w14:paraId="25F061AF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18</w:t>
      </w:r>
    </w:p>
    <w:p w14:paraId="11E0307F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60B13B45" w14:textId="77777777" w:rsidR="00051FF1" w:rsidRPr="005027EA" w:rsidRDefault="00051FF1" w:rsidP="00051FF1">
      <w:pPr>
        <w:pStyle w:val="NormalBold"/>
      </w:pPr>
      <w:r w:rsidRPr="005027EA">
        <w:t>Artigo 13 – n.º 1 – alínea d</w:t>
      </w:r>
      <w:r w:rsidRPr="005027EA">
        <w:noBreakHyphen/>
        <w:t>A)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30C2274B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BBCAE" w14:textId="77777777" w:rsidR="00051FF1" w:rsidRPr="005027EA" w:rsidRDefault="00051FF1" w:rsidP="00134E7B"/>
        </w:tc>
      </w:tr>
      <w:tr w:rsidR="00051FF1" w:rsidRPr="005027EA" w14:paraId="1A9B40CD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A380C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4E8FF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4AB045E9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1BADC" w14:textId="77777777" w:rsidR="00051FF1" w:rsidRPr="005027EA" w:rsidRDefault="00051FF1" w:rsidP="00134E7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6137" w14:textId="0E21714A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d</w:t>
            </w:r>
            <w:r w:rsidRPr="005027EA">
              <w:rPr>
                <w:b/>
                <w:i/>
              </w:rPr>
              <w:noBreakHyphen/>
              <w:t>A)</w:t>
            </w:r>
            <w:r w:rsidRPr="005027EA">
              <w:tab/>
            </w:r>
            <w:r w:rsidRPr="005027EA">
              <w:rPr>
                <w:b/>
                <w:i/>
              </w:rPr>
              <w:t>A necessidade de introduzir elementos de segurança comuns para os documentos de identificação utilizados a título provisório, com vista a facilitar o seu reconhecimento;</w:t>
            </w:r>
          </w:p>
        </w:tc>
      </w:tr>
    </w:tbl>
    <w:p w14:paraId="6776C7B2" w14:textId="77777777" w:rsidR="00051FF1" w:rsidRPr="005027EA" w:rsidRDefault="00051FF1" w:rsidP="00051FF1"/>
    <w:p w14:paraId="52D7DF84" w14:textId="77777777" w:rsidR="00051FF1" w:rsidRPr="005027EA" w:rsidRDefault="00051FF1" w:rsidP="00051FF1">
      <w:pPr>
        <w:pStyle w:val="AmNumberTabs"/>
      </w:pPr>
      <w:r w:rsidRPr="005027EA">
        <w:t>Alteração</w:t>
      </w:r>
      <w:r w:rsidRPr="005027EA">
        <w:tab/>
      </w:r>
      <w:r w:rsidRPr="005027EA">
        <w:tab/>
        <w:t>19</w:t>
      </w:r>
    </w:p>
    <w:p w14:paraId="3EA69B5A" w14:textId="77777777" w:rsidR="00051FF1" w:rsidRPr="005027EA" w:rsidRDefault="00051FF1" w:rsidP="00051FF1">
      <w:pPr>
        <w:pStyle w:val="NormalBold12b"/>
      </w:pPr>
      <w:r w:rsidRPr="005027EA">
        <w:t>Proposta de regulamento</w:t>
      </w:r>
    </w:p>
    <w:p w14:paraId="18A2A1B7" w14:textId="77777777" w:rsidR="00051FF1" w:rsidRPr="005027EA" w:rsidRDefault="00051FF1" w:rsidP="00051FF1">
      <w:pPr>
        <w:pStyle w:val="NormalBold"/>
      </w:pPr>
      <w:r w:rsidRPr="005027EA">
        <w:t>Artigo 13 – n.º 1 – alínea d</w:t>
      </w:r>
      <w:r w:rsidRPr="005027EA">
        <w:noBreakHyphen/>
        <w:t>B)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51FF1" w:rsidRPr="005027EA" w14:paraId="77EE9203" w14:textId="77777777" w:rsidTr="00134E7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2B10A" w14:textId="77777777" w:rsidR="00051FF1" w:rsidRPr="005027EA" w:rsidRDefault="00051FF1" w:rsidP="00134E7B"/>
        </w:tc>
      </w:tr>
      <w:tr w:rsidR="00051FF1" w:rsidRPr="005027EA" w14:paraId="7D415C7A" w14:textId="77777777" w:rsidTr="00134E7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484F0" w14:textId="77777777" w:rsidR="00051FF1" w:rsidRPr="005027EA" w:rsidRDefault="00051FF1" w:rsidP="00134E7B">
            <w:pPr>
              <w:pStyle w:val="AmColumnHeading"/>
            </w:pPr>
            <w:r w:rsidRPr="005027E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CAACE" w14:textId="77777777" w:rsidR="00051FF1" w:rsidRPr="005027EA" w:rsidRDefault="00051FF1" w:rsidP="00134E7B">
            <w:pPr>
              <w:pStyle w:val="AmColumnHeading"/>
            </w:pPr>
            <w:r w:rsidRPr="005027EA">
              <w:t>Alteração</w:t>
            </w:r>
          </w:p>
        </w:tc>
      </w:tr>
      <w:tr w:rsidR="00051FF1" w:rsidRPr="005027EA" w14:paraId="77C36722" w14:textId="77777777" w:rsidTr="00134E7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5A4A3" w14:textId="77777777" w:rsidR="00051FF1" w:rsidRPr="005027EA" w:rsidRDefault="00051FF1" w:rsidP="00134E7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9E5D8" w14:textId="3403DC15" w:rsidR="00051FF1" w:rsidRPr="005027EA" w:rsidRDefault="00051FF1" w:rsidP="00134E7B">
            <w:pPr>
              <w:pStyle w:val="Normal6a"/>
            </w:pPr>
            <w:r w:rsidRPr="005027EA">
              <w:rPr>
                <w:b/>
                <w:i/>
              </w:rPr>
              <w:t>d</w:t>
            </w:r>
            <w:r w:rsidRPr="005027EA">
              <w:rPr>
                <w:b/>
                <w:i/>
              </w:rPr>
              <w:noBreakHyphen/>
              <w:t>B)</w:t>
            </w:r>
            <w:r w:rsidRPr="005027EA">
              <w:tab/>
            </w:r>
            <w:r w:rsidRPr="005027EA">
              <w:rPr>
                <w:b/>
                <w:i/>
              </w:rPr>
              <w:t>A necessidade de uma maior harmonização dos elementos de segurança dos títulos de residência.</w:t>
            </w:r>
          </w:p>
        </w:tc>
      </w:tr>
    </w:tbl>
    <w:p w14:paraId="1E587120" w14:textId="77777777" w:rsidR="00E365E1" w:rsidRPr="005027EA" w:rsidRDefault="00E365E1" w:rsidP="005C44DB"/>
    <w:sectPr w:rsidR="00E365E1" w:rsidRPr="005027EA" w:rsidSect="007361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C210D" w14:textId="77777777" w:rsidR="005C44DB" w:rsidRPr="0073613C" w:rsidRDefault="005C44DB">
      <w:r w:rsidRPr="0073613C">
        <w:separator/>
      </w:r>
    </w:p>
  </w:endnote>
  <w:endnote w:type="continuationSeparator" w:id="0">
    <w:p w14:paraId="52EE0CB9" w14:textId="77777777" w:rsidR="005C44DB" w:rsidRPr="0073613C" w:rsidRDefault="005C44DB">
      <w:r w:rsidRPr="007361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4363A" w14:textId="77777777" w:rsidR="00064002" w:rsidRPr="007361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8E6F9" w14:textId="77777777" w:rsidR="00064002" w:rsidRPr="007361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8F015" w14:textId="77777777" w:rsidR="00064002" w:rsidRPr="007361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275C5" w14:textId="77777777" w:rsidR="005C44DB" w:rsidRPr="0073613C" w:rsidRDefault="005C44DB">
      <w:r w:rsidRPr="0073613C">
        <w:separator/>
      </w:r>
    </w:p>
  </w:footnote>
  <w:footnote w:type="continuationSeparator" w:id="0">
    <w:p w14:paraId="475679EF" w14:textId="77777777" w:rsidR="005C44DB" w:rsidRPr="0073613C" w:rsidRDefault="005C44DB">
      <w:r w:rsidRPr="007361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6FADC" w14:textId="77777777" w:rsidR="00064002" w:rsidRPr="007361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1776C" w14:textId="77777777" w:rsidR="00064002" w:rsidRPr="007361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5D9A0" w14:textId="77777777" w:rsidR="00064002" w:rsidRPr="007361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1/2025"/>
    <w:docVar w:name="dvlangue" w:val="PT"/>
    <w:docVar w:name="dvnumam" w:val="19"/>
    <w:docVar w:name="dvpe" w:val="766.606"/>
    <w:docVar w:name="dvrapporteur" w:val="Relator: "/>
    <w:docVar w:name="dvstar" w:val="*"/>
    <w:docVar w:name="dvtitre" w:val="Resolução legislativa do Parlamento Europeu, de ... de ... de 2025,_x000d__x000a_ sobre a proposta de regulamento do Conselho que visa reforçar a segurança dos bilhetes de identidade dos cidadãos da União e dos títulos de residência emitidos aos cidadãos da União e seus familiares que exercem o direito à livre circulação(COM(2024)0316 – C10-0112/2024 – 2024/0187(CNS))"/>
  </w:docVars>
  <w:rsids>
    <w:rsidRoot w:val="005C44DB"/>
    <w:rsid w:val="00002272"/>
    <w:rsid w:val="00051FF1"/>
    <w:rsid w:val="00064002"/>
    <w:rsid w:val="000677B9"/>
    <w:rsid w:val="000831BA"/>
    <w:rsid w:val="000A42CC"/>
    <w:rsid w:val="000B7661"/>
    <w:rsid w:val="000E7DD9"/>
    <w:rsid w:val="0010095E"/>
    <w:rsid w:val="00125B37"/>
    <w:rsid w:val="00187494"/>
    <w:rsid w:val="001F32AE"/>
    <w:rsid w:val="00266E4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7EA"/>
    <w:rsid w:val="0050519A"/>
    <w:rsid w:val="005072A1"/>
    <w:rsid w:val="00514517"/>
    <w:rsid w:val="00545827"/>
    <w:rsid w:val="00560270"/>
    <w:rsid w:val="005C2568"/>
    <w:rsid w:val="005C44DB"/>
    <w:rsid w:val="005F1B17"/>
    <w:rsid w:val="006037C0"/>
    <w:rsid w:val="006615BB"/>
    <w:rsid w:val="006631B6"/>
    <w:rsid w:val="00680577"/>
    <w:rsid w:val="006F74FA"/>
    <w:rsid w:val="00731ADD"/>
    <w:rsid w:val="00734777"/>
    <w:rsid w:val="0073613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BA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481"/>
    <w:rsid w:val="00BD48FE"/>
    <w:rsid w:val="00BD7BD8"/>
    <w:rsid w:val="00BE096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C7C17"/>
  <w15:chartTrackingRefBased/>
  <w15:docId w15:val="{3FCD25E6-F743-448E-B39F-9668A181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1FF1"/>
    <w:pPr>
      <w:spacing w:before="480" w:after="240"/>
    </w:pPr>
  </w:style>
  <w:style w:type="paragraph" w:customStyle="1" w:styleId="Normal6a">
    <w:name w:val="Normal6a"/>
    <w:basedOn w:val="Normal"/>
    <w:rsid w:val="00051FF1"/>
    <w:pPr>
      <w:spacing w:after="120"/>
    </w:pPr>
  </w:style>
  <w:style w:type="paragraph" w:customStyle="1" w:styleId="NormalBold">
    <w:name w:val="NormalBold"/>
    <w:basedOn w:val="Normal"/>
    <w:link w:val="NormalBoldChar"/>
    <w:rsid w:val="00051FF1"/>
    <w:rPr>
      <w:b/>
    </w:rPr>
  </w:style>
  <w:style w:type="paragraph" w:customStyle="1" w:styleId="NormalHanging12a">
    <w:name w:val="NormalHanging12a"/>
    <w:basedOn w:val="Normal"/>
    <w:rsid w:val="00051FF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51FF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51F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51FF1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051FF1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051FF1"/>
    <w:rPr>
      <w:b/>
      <w:sz w:val="24"/>
      <w:lang w:val="pt-PT"/>
    </w:rPr>
  </w:style>
  <w:style w:type="character" w:customStyle="1" w:styleId="Normal6Char">
    <w:name w:val="Normal6 Char"/>
    <w:basedOn w:val="DefaultParagraphFont"/>
    <w:link w:val="Normal6"/>
    <w:rsid w:val="00051FF1"/>
    <w:rPr>
      <w:sz w:val="24"/>
      <w:lang w:val="pt-PT"/>
    </w:rPr>
  </w:style>
  <w:style w:type="paragraph" w:customStyle="1" w:styleId="ColumnHeading">
    <w:name w:val="ColumnHeading"/>
    <w:basedOn w:val="Normal"/>
    <w:rsid w:val="00051FF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51FF1"/>
    <w:rPr>
      <w:b/>
      <w:sz w:val="24"/>
      <w:lang w:val="pt-PT"/>
    </w:rPr>
  </w:style>
  <w:style w:type="character" w:customStyle="1" w:styleId="AmNumberTabsChar">
    <w:name w:val="AmNumberTabs Char"/>
    <w:basedOn w:val="DefaultParagraphFont"/>
    <w:link w:val="AmNumberTabs"/>
    <w:rsid w:val="00051FF1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266E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6E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6E4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66E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6E4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66E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6E4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66E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B76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95A21-1045-4BBA-8BE5-B6806CD7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2802</Words>
  <Characters>15923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 Cons AM</dc:creator>
  <cp:keywords/>
  <cp:lastModifiedBy>SEMEDO Teresa</cp:lastModifiedBy>
  <cp:revision>2</cp:revision>
  <cp:lastPrinted>2004-11-19T15:42:00Z</cp:lastPrinted>
  <dcterms:created xsi:type="dcterms:W3CDTF">2025-04-02T12:11:00Z</dcterms:created>
  <dcterms:modified xsi:type="dcterms:W3CDTF">2025-04-02T12:11:00Z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A10-0041/2025</vt:lpwstr>
  </property>
  <property fmtid="{D5CDD505-2E9C-101B-9397-08002B2CF9AE}" pid="4" name="&lt;Type&gt;">
    <vt:lpwstr>RR</vt:lpwstr>
  </property>
</Properties>
</file>